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24" w:lineRule="auto"/>
        <w:ind w:firstLine="560"/>
        <w:rPr>
          <w:rFonts w:hint="default" w:ascii="Times New Roman" w:hAnsi="Times New Roman" w:eastAsia="黑体" w:cs="Times New Roman"/>
          <w:b/>
          <w:color w:val="auto"/>
          <w:szCs w:val="28"/>
          <w:highlight w:val="none"/>
        </w:rPr>
      </w:pPr>
    </w:p>
    <w:p>
      <w:pPr>
        <w:adjustRightInd w:val="0"/>
        <w:snapToGrid w:val="0"/>
        <w:spacing w:line="324" w:lineRule="auto"/>
        <w:ind w:firstLine="560"/>
        <w:rPr>
          <w:rFonts w:hint="default" w:ascii="Times New Roman" w:hAnsi="Times New Roman" w:eastAsia="黑体" w:cs="Times New Roman"/>
          <w:b/>
          <w:color w:val="auto"/>
          <w:szCs w:val="28"/>
          <w:highlight w:val="none"/>
        </w:rPr>
      </w:pPr>
    </w:p>
    <w:p>
      <w:pPr>
        <w:adjustRightInd w:val="0"/>
        <w:snapToGrid w:val="0"/>
        <w:spacing w:line="324" w:lineRule="auto"/>
        <w:ind w:firstLine="560"/>
        <w:rPr>
          <w:rFonts w:hint="default" w:ascii="Times New Roman" w:hAnsi="Times New Roman" w:eastAsia="黑体" w:cs="Times New Roman"/>
          <w:b/>
          <w:color w:val="auto"/>
          <w:szCs w:val="28"/>
          <w:highlight w:val="none"/>
        </w:rPr>
      </w:pPr>
    </w:p>
    <w:p>
      <w:pPr>
        <w:adjustRightInd w:val="0"/>
        <w:snapToGrid w:val="0"/>
        <w:spacing w:line="324" w:lineRule="auto"/>
        <w:ind w:firstLine="560"/>
        <w:rPr>
          <w:rFonts w:hint="default" w:ascii="Times New Roman" w:hAnsi="Times New Roman" w:eastAsia="黑体" w:cs="Times New Roman"/>
          <w:b/>
          <w:color w:val="auto"/>
          <w:szCs w:val="28"/>
          <w:highlight w:val="none"/>
        </w:rPr>
      </w:pPr>
    </w:p>
    <w:p>
      <w:pPr>
        <w:adjustRightInd w:val="0"/>
        <w:snapToGrid w:val="0"/>
        <w:spacing w:line="360" w:lineRule="auto"/>
        <w:ind w:firstLine="0" w:firstLineChars="0"/>
        <w:jc w:val="center"/>
        <w:rPr>
          <w:rFonts w:hint="eastAsia" w:ascii="黑体" w:hAnsi="黑体" w:eastAsia="黑体" w:cs="Times New Roman"/>
          <w:b/>
          <w:color w:val="000000"/>
          <w:sz w:val="44"/>
          <w:szCs w:val="44"/>
          <w:lang w:eastAsia="zh-CN"/>
        </w:rPr>
      </w:pPr>
      <w:r>
        <w:rPr>
          <w:rFonts w:hint="default" w:ascii="黑体" w:hAnsi="黑体" w:eastAsia="黑体" w:cs="Times New Roman"/>
          <w:b/>
          <w:color w:val="000000"/>
          <w:sz w:val="44"/>
          <w:szCs w:val="44"/>
        </w:rPr>
        <w:t>湖南省</w:t>
      </w:r>
      <w:r>
        <w:rPr>
          <w:rFonts w:hint="eastAsia" w:ascii="黑体" w:hAnsi="黑体" w:eastAsia="黑体" w:cs="Times New Roman"/>
          <w:b/>
          <w:color w:val="000000"/>
          <w:sz w:val="44"/>
          <w:szCs w:val="44"/>
          <w:lang w:eastAsia="zh-CN"/>
        </w:rPr>
        <w:t>祁阳市</w:t>
      </w:r>
    </w:p>
    <w:p>
      <w:pPr>
        <w:adjustRightInd w:val="0"/>
        <w:snapToGrid w:val="0"/>
        <w:spacing w:line="360" w:lineRule="auto"/>
        <w:ind w:firstLine="0" w:firstLineChars="0"/>
        <w:jc w:val="center"/>
        <w:rPr>
          <w:rFonts w:hint="default" w:ascii="黑体" w:hAnsi="黑体" w:eastAsia="黑体" w:cs="Times New Roman"/>
          <w:b/>
          <w:color w:val="000000"/>
          <w:sz w:val="44"/>
          <w:szCs w:val="44"/>
        </w:rPr>
      </w:pPr>
      <w:r>
        <w:rPr>
          <w:rFonts w:hint="default" w:ascii="黑体" w:hAnsi="黑体" w:eastAsia="黑体" w:cs="Times New Roman"/>
          <w:b/>
          <w:color w:val="000000"/>
          <w:sz w:val="44"/>
          <w:szCs w:val="44"/>
        </w:rPr>
        <w:t>大中型及重点小型水利工程</w:t>
      </w:r>
    </w:p>
    <w:p>
      <w:pPr>
        <w:adjustRightInd w:val="0"/>
        <w:snapToGrid w:val="0"/>
        <w:spacing w:line="360" w:lineRule="auto"/>
        <w:ind w:firstLine="0" w:firstLineChars="0"/>
        <w:jc w:val="center"/>
        <w:rPr>
          <w:rFonts w:hint="default" w:ascii="黑体" w:hAnsi="黑体" w:eastAsia="黑体" w:cs="Times New Roman"/>
          <w:b/>
          <w:color w:val="000000"/>
          <w:sz w:val="44"/>
          <w:szCs w:val="44"/>
        </w:rPr>
      </w:pPr>
      <w:r>
        <w:rPr>
          <w:rFonts w:hint="default" w:ascii="黑体" w:hAnsi="黑体" w:eastAsia="黑体" w:cs="Times New Roman"/>
          <w:b/>
          <w:color w:val="000000"/>
          <w:sz w:val="44"/>
          <w:szCs w:val="44"/>
        </w:rPr>
        <w:t>管理与保护范围划界方案</w:t>
      </w:r>
    </w:p>
    <w:p>
      <w:pPr>
        <w:adjustRightInd w:val="0"/>
        <w:snapToGrid w:val="0"/>
        <w:spacing w:line="360" w:lineRule="auto"/>
        <w:jc w:val="center"/>
        <w:rPr>
          <w:rFonts w:hint="default" w:ascii="Times New Roman" w:hAnsi="Times New Roman" w:eastAsia="黑体" w:cs="Times New Roman"/>
          <w:b/>
          <w:color w:val="auto"/>
          <w:sz w:val="38"/>
          <w:szCs w:val="38"/>
          <w:highlight w:val="none"/>
        </w:rPr>
      </w:pPr>
    </w:p>
    <w:p>
      <w:pPr>
        <w:adjustRightInd w:val="0"/>
        <w:snapToGrid w:val="0"/>
        <w:ind w:firstLine="560"/>
        <w:rPr>
          <w:rFonts w:hint="default" w:ascii="Times New Roman" w:hAnsi="Times New Roman" w:eastAsia="黑体" w:cs="Times New Roman"/>
          <w:color w:val="auto"/>
          <w:szCs w:val="28"/>
          <w:highlight w:val="none"/>
        </w:rPr>
      </w:pPr>
    </w:p>
    <w:p>
      <w:pPr>
        <w:adjustRightInd w:val="0"/>
        <w:snapToGrid w:val="0"/>
        <w:ind w:firstLine="560"/>
        <w:rPr>
          <w:rFonts w:hint="default" w:ascii="Times New Roman" w:hAnsi="Times New Roman" w:eastAsia="黑体" w:cs="Times New Roman"/>
          <w:color w:val="auto"/>
          <w:szCs w:val="28"/>
          <w:highlight w:val="none"/>
        </w:rPr>
      </w:pPr>
    </w:p>
    <w:p>
      <w:pPr>
        <w:adjustRightInd w:val="0"/>
        <w:snapToGrid w:val="0"/>
        <w:ind w:firstLine="560"/>
        <w:rPr>
          <w:rFonts w:hint="default" w:ascii="Times New Roman" w:hAnsi="Times New Roman" w:eastAsia="黑体" w:cs="Times New Roman"/>
          <w:color w:val="auto"/>
          <w:szCs w:val="28"/>
          <w:highlight w:val="none"/>
        </w:rPr>
      </w:pPr>
    </w:p>
    <w:p>
      <w:pPr>
        <w:adjustRightInd w:val="0"/>
        <w:snapToGrid w:val="0"/>
        <w:ind w:firstLine="560"/>
        <w:rPr>
          <w:rFonts w:hint="default" w:ascii="Times New Roman" w:hAnsi="Times New Roman" w:eastAsia="黑体" w:cs="Times New Roman"/>
          <w:color w:val="auto"/>
          <w:szCs w:val="28"/>
          <w:highlight w:val="none"/>
        </w:rPr>
      </w:pPr>
    </w:p>
    <w:p>
      <w:pPr>
        <w:adjustRightInd w:val="0"/>
        <w:snapToGrid w:val="0"/>
        <w:ind w:firstLine="560"/>
        <w:rPr>
          <w:rFonts w:hint="default" w:ascii="Times New Roman" w:hAnsi="Times New Roman" w:eastAsia="黑体" w:cs="Times New Roman"/>
          <w:color w:val="auto"/>
          <w:szCs w:val="28"/>
          <w:highlight w:val="none"/>
        </w:rPr>
      </w:pPr>
    </w:p>
    <w:p>
      <w:pPr>
        <w:adjustRightInd w:val="0"/>
        <w:snapToGrid w:val="0"/>
        <w:ind w:firstLine="560"/>
        <w:rPr>
          <w:rFonts w:hint="default" w:ascii="Times New Roman" w:hAnsi="Times New Roman" w:eastAsia="黑体" w:cs="Times New Roman"/>
          <w:color w:val="auto"/>
          <w:szCs w:val="28"/>
          <w:highlight w:val="none"/>
        </w:rPr>
      </w:pPr>
    </w:p>
    <w:p>
      <w:pPr>
        <w:adjustRightInd w:val="0"/>
        <w:snapToGrid w:val="0"/>
        <w:spacing w:line="360" w:lineRule="auto"/>
        <w:ind w:left="420" w:leftChars="200" w:firstLine="1600" w:firstLineChars="500"/>
        <w:rPr>
          <w:rFonts w:hint="default" w:ascii="宋体" w:hAnsi="宋体" w:eastAsia="宋体" w:cs="Times New Roman"/>
          <w:color w:val="000000"/>
          <w:sz w:val="32"/>
          <w:szCs w:val="32"/>
        </w:rPr>
      </w:pPr>
    </w:p>
    <w:p>
      <w:pPr>
        <w:adjustRightInd w:val="0"/>
        <w:snapToGrid w:val="0"/>
        <w:spacing w:line="360" w:lineRule="auto"/>
        <w:ind w:left="420" w:leftChars="200" w:firstLine="1600" w:firstLineChars="500"/>
        <w:rPr>
          <w:rFonts w:hint="default" w:ascii="宋体" w:hAnsi="宋体" w:eastAsia="宋体" w:cs="Times New Roman"/>
          <w:color w:val="000000"/>
          <w:sz w:val="32"/>
          <w:szCs w:val="32"/>
        </w:rPr>
      </w:pPr>
      <w:r>
        <w:rPr>
          <w:rFonts w:hint="default" w:ascii="宋体" w:hAnsi="宋体" w:eastAsia="宋体" w:cs="Times New Roman"/>
          <w:color w:val="000000"/>
          <w:sz w:val="32"/>
          <w:szCs w:val="32"/>
        </w:rPr>
        <w:t>批准单位：</w:t>
      </w:r>
      <w:r>
        <w:rPr>
          <w:rFonts w:hint="eastAsia" w:ascii="宋体" w:hAnsi="宋体" w:eastAsia="宋体" w:cs="Times New Roman"/>
          <w:color w:val="000000"/>
          <w:sz w:val="32"/>
          <w:szCs w:val="32"/>
          <w:lang w:eastAsia="zh-CN"/>
        </w:rPr>
        <w:t>祁阳市</w:t>
      </w:r>
      <w:r>
        <w:rPr>
          <w:rFonts w:hint="default" w:ascii="宋体" w:hAnsi="宋体" w:eastAsia="宋体" w:cs="Times New Roman"/>
          <w:color w:val="000000"/>
          <w:sz w:val="32"/>
          <w:szCs w:val="32"/>
        </w:rPr>
        <w:t>人民政府</w:t>
      </w:r>
    </w:p>
    <w:p>
      <w:pPr>
        <w:adjustRightInd w:val="0"/>
        <w:snapToGrid w:val="0"/>
        <w:spacing w:line="360" w:lineRule="auto"/>
        <w:ind w:left="420" w:leftChars="200" w:firstLine="1600" w:firstLineChars="500"/>
        <w:rPr>
          <w:rFonts w:hint="default" w:ascii="宋体" w:hAnsi="宋体" w:eastAsia="宋体" w:cs="Times New Roman"/>
          <w:color w:val="000000"/>
          <w:sz w:val="32"/>
          <w:szCs w:val="32"/>
          <w:lang w:val="en-US" w:eastAsia="zh-CN"/>
        </w:rPr>
      </w:pPr>
      <w:r>
        <w:rPr>
          <w:rFonts w:hint="default" w:ascii="宋体" w:hAnsi="宋体" w:eastAsia="宋体" w:cs="Times New Roman"/>
          <w:color w:val="000000"/>
          <w:sz w:val="32"/>
          <w:szCs w:val="32"/>
          <w:lang w:val="en-US" w:eastAsia="zh-CN"/>
        </w:rPr>
        <w:t>审核单位：湖南省水利厅</w:t>
      </w:r>
    </w:p>
    <w:p>
      <w:pPr>
        <w:adjustRightInd w:val="0"/>
        <w:snapToGrid w:val="0"/>
        <w:spacing w:line="360" w:lineRule="auto"/>
        <w:ind w:left="420" w:leftChars="200" w:firstLine="1600" w:firstLineChars="500"/>
        <w:rPr>
          <w:rFonts w:hint="default" w:ascii="宋体" w:hAnsi="宋体" w:eastAsia="宋体" w:cs="Times New Roman"/>
          <w:color w:val="000000"/>
          <w:sz w:val="32"/>
          <w:szCs w:val="32"/>
          <w:lang w:val="en-US" w:eastAsia="zh-CN"/>
        </w:rPr>
      </w:pPr>
      <w:r>
        <w:rPr>
          <w:rFonts w:hint="default" w:ascii="宋体" w:hAnsi="宋体" w:eastAsia="宋体" w:cs="Times New Roman"/>
          <w:color w:val="000000"/>
          <w:sz w:val="32"/>
          <w:szCs w:val="32"/>
          <w:lang w:val="en-US" w:eastAsia="zh-CN"/>
        </w:rPr>
        <w:t xml:space="preserve">          湖南省自然资源厅</w:t>
      </w:r>
    </w:p>
    <w:p>
      <w:pPr>
        <w:adjustRightInd w:val="0"/>
        <w:snapToGrid w:val="0"/>
        <w:spacing w:line="360" w:lineRule="auto"/>
        <w:ind w:left="420" w:leftChars="200" w:firstLine="1600" w:firstLineChars="500"/>
        <w:rPr>
          <w:rFonts w:hint="default" w:ascii="宋体" w:hAnsi="宋体" w:eastAsia="宋体" w:cs="Times New Roman"/>
          <w:color w:val="000000"/>
          <w:sz w:val="32"/>
          <w:szCs w:val="32"/>
        </w:rPr>
      </w:pPr>
      <w:r>
        <w:rPr>
          <w:rFonts w:hint="default" w:ascii="宋体" w:hAnsi="宋体" w:eastAsia="宋体" w:cs="Times New Roman"/>
          <w:color w:val="000000"/>
          <w:sz w:val="32"/>
          <w:szCs w:val="32"/>
        </w:rPr>
        <w:t>审</w:t>
      </w:r>
      <w:r>
        <w:rPr>
          <w:rFonts w:hint="default" w:ascii="宋体" w:hAnsi="宋体" w:eastAsia="宋体" w:cs="Times New Roman"/>
          <w:color w:val="000000"/>
          <w:sz w:val="32"/>
          <w:szCs w:val="32"/>
          <w:lang w:val="en-US" w:eastAsia="zh-CN"/>
        </w:rPr>
        <w:t>查</w:t>
      </w:r>
      <w:r>
        <w:rPr>
          <w:rFonts w:hint="default" w:ascii="宋体" w:hAnsi="宋体" w:eastAsia="宋体" w:cs="Times New Roman"/>
          <w:color w:val="000000"/>
          <w:sz w:val="32"/>
          <w:szCs w:val="32"/>
        </w:rPr>
        <w:t>单位：</w:t>
      </w:r>
      <w:r>
        <w:rPr>
          <w:rFonts w:hint="eastAsia" w:ascii="宋体" w:hAnsi="宋体" w:eastAsia="宋体" w:cs="Times New Roman"/>
          <w:color w:val="000000"/>
          <w:sz w:val="32"/>
          <w:szCs w:val="32"/>
          <w:lang w:eastAsia="zh-CN"/>
        </w:rPr>
        <w:t>祁阳市</w:t>
      </w:r>
      <w:r>
        <w:rPr>
          <w:rFonts w:hint="default" w:ascii="宋体" w:hAnsi="宋体" w:eastAsia="宋体" w:cs="Times New Roman"/>
          <w:color w:val="000000"/>
          <w:sz w:val="32"/>
          <w:szCs w:val="32"/>
        </w:rPr>
        <w:t>水利局</w:t>
      </w:r>
    </w:p>
    <w:p>
      <w:pPr>
        <w:adjustRightInd w:val="0"/>
        <w:snapToGrid w:val="0"/>
        <w:spacing w:line="360" w:lineRule="auto"/>
        <w:ind w:left="420" w:leftChars="200" w:firstLine="3200" w:firstLineChars="1000"/>
        <w:rPr>
          <w:rFonts w:hint="default" w:ascii="宋体" w:hAnsi="宋体" w:eastAsia="宋体" w:cs="Times New Roman"/>
          <w:color w:val="000000"/>
          <w:sz w:val="32"/>
          <w:szCs w:val="32"/>
        </w:rPr>
      </w:pPr>
      <w:r>
        <w:rPr>
          <w:rFonts w:hint="eastAsia" w:ascii="宋体" w:hAnsi="宋体" w:eastAsia="宋体" w:cs="Times New Roman"/>
          <w:color w:val="000000"/>
          <w:sz w:val="32"/>
          <w:szCs w:val="32"/>
          <w:lang w:eastAsia="zh-CN"/>
        </w:rPr>
        <w:t>祁阳市</w:t>
      </w:r>
      <w:r>
        <w:rPr>
          <w:rFonts w:hint="default" w:ascii="宋体" w:hAnsi="宋体" w:eastAsia="宋体" w:cs="Times New Roman"/>
          <w:color w:val="000000"/>
          <w:sz w:val="32"/>
          <w:szCs w:val="32"/>
        </w:rPr>
        <w:t>自然资源局</w:t>
      </w:r>
    </w:p>
    <w:p>
      <w:pPr>
        <w:adjustRightInd w:val="0"/>
        <w:snapToGrid w:val="0"/>
        <w:spacing w:line="360" w:lineRule="auto"/>
        <w:ind w:firstLine="3209" w:firstLineChars="1003"/>
        <w:jc w:val="left"/>
        <w:rPr>
          <w:rFonts w:hint="eastAsia" w:ascii="Times New Roman" w:hAnsi="Times New Roman" w:cs="Times New Roman" w:eastAsiaTheme="minorEastAsia"/>
          <w:color w:val="auto"/>
          <w:sz w:val="32"/>
          <w:szCs w:val="32"/>
          <w:highlight w:val="none"/>
          <w:lang w:val="en-US" w:eastAsia="zh-CN"/>
        </w:rPr>
      </w:pPr>
      <w:r>
        <w:rPr>
          <w:rFonts w:hint="eastAsia" w:ascii="Times New Roman" w:hAnsi="Times New Roman" w:cs="Times New Roman"/>
          <w:color w:val="auto"/>
          <w:sz w:val="32"/>
          <w:szCs w:val="32"/>
          <w:highlight w:val="none"/>
          <w:lang w:val="en-US" w:eastAsia="zh-CN"/>
        </w:rPr>
        <w:t xml:space="preserve"> </w:t>
      </w:r>
    </w:p>
    <w:p>
      <w:pPr>
        <w:adjustRightInd w:val="0"/>
        <w:snapToGrid w:val="0"/>
        <w:spacing w:line="360" w:lineRule="auto"/>
        <w:ind w:firstLine="3209" w:firstLineChars="1003"/>
        <w:jc w:val="left"/>
        <w:rPr>
          <w:rFonts w:hint="default" w:ascii="Times New Roman" w:hAnsi="Times New Roman" w:cs="Times New Roman"/>
          <w:color w:val="auto"/>
          <w:sz w:val="32"/>
          <w:szCs w:val="32"/>
          <w:highlight w:val="none"/>
        </w:rPr>
      </w:pPr>
    </w:p>
    <w:p>
      <w:pPr>
        <w:adjustRightInd w:val="0"/>
        <w:snapToGrid w:val="0"/>
        <w:spacing w:line="360" w:lineRule="auto"/>
        <w:ind w:firstLine="3209" w:firstLineChars="1003"/>
        <w:jc w:val="left"/>
        <w:rPr>
          <w:rFonts w:hint="default" w:ascii="Times New Roman" w:hAnsi="Times New Roman" w:cs="Times New Roman"/>
          <w:color w:val="auto"/>
          <w:sz w:val="32"/>
          <w:szCs w:val="32"/>
          <w:highlight w:val="none"/>
        </w:rPr>
      </w:pPr>
    </w:p>
    <w:p>
      <w:pPr>
        <w:adjustRightInd w:val="0"/>
        <w:snapToGrid w:val="0"/>
        <w:spacing w:line="360" w:lineRule="auto"/>
        <w:ind w:firstLine="3209" w:firstLineChars="1003"/>
        <w:jc w:val="left"/>
        <w:rPr>
          <w:rFonts w:hint="eastAsia" w:ascii="Times New Roman" w:hAnsi="Times New Roman" w:cs="Times New Roman" w:eastAsiaTheme="minorEastAsia"/>
          <w:color w:val="auto"/>
          <w:sz w:val="32"/>
          <w:szCs w:val="32"/>
          <w:highlight w:val="none"/>
          <w:lang w:eastAsia="zh-CN"/>
        </w:rPr>
      </w:pPr>
    </w:p>
    <w:p>
      <w:pPr>
        <w:adjustRightInd w:val="0"/>
        <w:snapToGrid w:val="0"/>
        <w:spacing w:line="360" w:lineRule="auto"/>
        <w:jc w:val="center"/>
        <w:rPr>
          <w:rFonts w:hint="default" w:ascii="宋体" w:hAnsi="宋体" w:eastAsia="宋体" w:cs="Times New Roman"/>
          <w:color w:val="000000"/>
          <w:sz w:val="32"/>
          <w:szCs w:val="32"/>
        </w:rPr>
      </w:pPr>
      <w:r>
        <w:rPr>
          <w:rFonts w:hint="default" w:ascii="宋体" w:hAnsi="宋体" w:eastAsia="宋体" w:cs="Times New Roman"/>
          <w:color w:val="000000"/>
          <w:sz w:val="32"/>
          <w:szCs w:val="32"/>
        </w:rPr>
        <w:t>编制单位：湖南省第二测绘院</w:t>
      </w:r>
    </w:p>
    <w:p>
      <w:pPr>
        <w:adjustRightInd w:val="0"/>
        <w:snapToGrid w:val="0"/>
        <w:spacing w:line="360" w:lineRule="auto"/>
        <w:jc w:val="center"/>
        <w:rPr>
          <w:rFonts w:hint="default" w:ascii="宋体" w:hAnsi="宋体" w:eastAsia="宋体" w:cs="Times New Roman"/>
          <w:color w:val="000000"/>
          <w:sz w:val="32"/>
          <w:szCs w:val="32"/>
        </w:rPr>
      </w:pPr>
      <w:r>
        <w:rPr>
          <w:rFonts w:hint="default" w:ascii="宋体" w:hAnsi="宋体" w:eastAsia="宋体" w:cs="Times New Roman"/>
          <w:color w:val="000000"/>
          <w:sz w:val="32"/>
          <w:szCs w:val="32"/>
        </w:rPr>
        <w:t>二〇二</w:t>
      </w:r>
      <w:r>
        <w:rPr>
          <w:rFonts w:hint="eastAsia" w:ascii="宋体" w:hAnsi="宋体" w:eastAsia="宋体" w:cs="Times New Roman"/>
          <w:color w:val="000000"/>
          <w:sz w:val="32"/>
          <w:szCs w:val="32"/>
          <w:lang w:val="en-US" w:eastAsia="zh-CN"/>
        </w:rPr>
        <w:t>一</w:t>
      </w:r>
      <w:r>
        <w:rPr>
          <w:rFonts w:hint="default" w:ascii="宋体" w:hAnsi="宋体" w:eastAsia="宋体" w:cs="Times New Roman"/>
          <w:color w:val="000000"/>
          <w:sz w:val="32"/>
          <w:szCs w:val="32"/>
        </w:rPr>
        <w:t>年</w:t>
      </w:r>
      <w:r>
        <w:rPr>
          <w:rFonts w:hint="eastAsia" w:ascii="宋体" w:hAnsi="宋体" w:eastAsia="宋体" w:cs="Times New Roman"/>
          <w:color w:val="000000"/>
          <w:sz w:val="32"/>
          <w:szCs w:val="32"/>
          <w:lang w:val="en-US" w:eastAsia="zh-CN"/>
        </w:rPr>
        <w:t>七</w:t>
      </w:r>
      <w:r>
        <w:rPr>
          <w:rFonts w:hint="default" w:ascii="宋体" w:hAnsi="宋体" w:eastAsia="宋体" w:cs="Times New Roman"/>
          <w:color w:val="000000"/>
          <w:sz w:val="32"/>
          <w:szCs w:val="32"/>
        </w:rPr>
        <w:t>月</w:t>
      </w:r>
    </w:p>
    <w:p>
      <w:pPr>
        <w:widowControl/>
        <w:jc w:val="left"/>
        <w:rPr>
          <w:rFonts w:hint="default" w:ascii="Times New Roman" w:hAnsi="Times New Roman" w:cs="Times New Roman"/>
          <w:color w:val="auto"/>
          <w:sz w:val="30"/>
          <w:szCs w:val="30"/>
          <w:highlight w:val="none"/>
        </w:rPr>
      </w:pPr>
    </w:p>
    <w:sdt>
      <w:sdtPr>
        <w:rPr>
          <w:rFonts w:hint="default" w:ascii="Times New Roman" w:hAnsi="Times New Roman" w:cs="Times New Roman" w:eastAsiaTheme="minorEastAsia"/>
          <w:b w:val="0"/>
          <w:bCs w:val="0"/>
          <w:color w:val="auto"/>
          <w:kern w:val="2"/>
          <w:sz w:val="32"/>
          <w:szCs w:val="32"/>
          <w:highlight w:val="none"/>
          <w:lang w:val="zh-CN"/>
        </w:rPr>
        <w:id w:val="-1011522906"/>
        <w:docPartObj>
          <w:docPartGallery w:val="Table of Contents"/>
          <w:docPartUnique/>
        </w:docPartObj>
      </w:sdtPr>
      <w:sdtEndPr>
        <w:rPr>
          <w:rFonts w:hint="default" w:ascii="Times New Roman" w:hAnsi="Times New Roman" w:cs="Times New Roman" w:eastAsiaTheme="minorEastAsia"/>
          <w:b w:val="0"/>
          <w:bCs w:val="0"/>
          <w:color w:val="auto"/>
          <w:kern w:val="2"/>
          <w:sz w:val="28"/>
          <w:szCs w:val="28"/>
          <w:highlight w:val="none"/>
          <w:lang w:val="zh-CN"/>
        </w:rPr>
      </w:sdtEndPr>
      <w:sdtContent>
        <w:p>
          <w:pPr>
            <w:pStyle w:val="39"/>
            <w:snapToGrid w:val="0"/>
            <w:spacing w:line="360" w:lineRule="auto"/>
            <w:jc w:val="center"/>
            <w:rPr>
              <w:rFonts w:hint="default" w:ascii="黑体" w:hAnsi="黑体" w:eastAsia="黑体" w:cs="黑体"/>
              <w:b/>
              <w:color w:val="auto"/>
              <w:kern w:val="2"/>
              <w:sz w:val="32"/>
              <w:szCs w:val="32"/>
              <w:lang w:val="en-US" w:eastAsia="zh-CN" w:bidi="ar-SA"/>
            </w:rPr>
          </w:pPr>
          <w:r>
            <w:rPr>
              <w:rFonts w:hint="default" w:ascii="黑体" w:hAnsi="黑体" w:eastAsia="黑体" w:cs="黑体"/>
              <w:b/>
              <w:color w:val="auto"/>
              <w:kern w:val="2"/>
              <w:sz w:val="32"/>
              <w:szCs w:val="32"/>
              <w:lang w:val="zh-CN" w:eastAsia="zh-CN" w:bidi="ar-SA"/>
            </w:rPr>
            <w:t>目  录</w:t>
          </w:r>
        </w:p>
        <w:p>
          <w:pPr>
            <w:pStyle w:val="16"/>
            <w:tabs>
              <w:tab w:val="right" w:leader="dot" w:pos="8306"/>
            </w:tabs>
            <w:rPr>
              <w:rFonts w:hint="default" w:ascii="Times New Roman" w:hAnsi="Times New Roman" w:eastAsia="仿宋_GB2312" w:cs="Times New Roman"/>
              <w:sz w:val="32"/>
              <w:szCs w:val="32"/>
            </w:rPr>
          </w:pPr>
          <w:r>
            <w:rPr>
              <w:rFonts w:hint="default" w:ascii="Times New Roman" w:hAnsi="Times New Roman" w:eastAsia="仿宋_GB2312" w:cs="Times New Roman"/>
              <w:color w:val="auto"/>
              <w:sz w:val="32"/>
              <w:szCs w:val="32"/>
              <w:highlight w:val="none"/>
            </w:rPr>
            <w:fldChar w:fldCharType="begin"/>
          </w:r>
          <w:r>
            <w:rPr>
              <w:rFonts w:hint="default" w:ascii="Times New Roman" w:hAnsi="Times New Roman" w:eastAsia="仿宋_GB2312" w:cs="Times New Roman"/>
              <w:color w:val="auto"/>
              <w:sz w:val="32"/>
              <w:szCs w:val="32"/>
              <w:highlight w:val="none"/>
            </w:rPr>
            <w:instrText xml:space="preserve"> TOC \o "1-2" \h \z \u </w:instrText>
          </w:r>
          <w:r>
            <w:rPr>
              <w:rFonts w:hint="default" w:ascii="Times New Roman" w:hAnsi="Times New Roman" w:eastAsia="仿宋_GB2312" w:cs="Times New Roman"/>
              <w:color w:val="auto"/>
              <w:sz w:val="32"/>
              <w:szCs w:val="32"/>
              <w:highlight w:val="none"/>
            </w:rPr>
            <w:fldChar w:fldCharType="separate"/>
          </w:r>
          <w:r>
            <w:rPr>
              <w:rFonts w:hint="default" w:ascii="Times New Roman" w:hAnsi="Times New Roman" w:eastAsia="仿宋_GB2312" w:cs="Times New Roman"/>
              <w:color w:val="auto"/>
              <w:sz w:val="32"/>
              <w:szCs w:val="32"/>
              <w:highlight w:val="none"/>
            </w:rPr>
            <w:fldChar w:fldCharType="begin"/>
          </w:r>
          <w:r>
            <w:rPr>
              <w:rFonts w:hint="default" w:ascii="Times New Roman" w:hAnsi="Times New Roman" w:eastAsia="仿宋_GB2312" w:cs="Times New Roman"/>
              <w:sz w:val="32"/>
              <w:szCs w:val="32"/>
              <w:highlight w:val="none"/>
            </w:rPr>
            <w:instrText xml:space="preserve"> HYPERLINK \l _Toc28921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sz w:val="32"/>
              <w:szCs w:val="32"/>
            </w:rPr>
            <w:t>1绪论</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_Toc28921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auto"/>
              <w:sz w:val="32"/>
              <w:szCs w:val="32"/>
              <w:highlight w:val="none"/>
            </w:rPr>
            <w:fldChar w:fldCharType="end"/>
          </w:r>
        </w:p>
        <w:p>
          <w:pPr>
            <w:pStyle w:val="20"/>
            <w:tabs>
              <w:tab w:val="right" w:leader="dot" w:pos="8306"/>
            </w:tabs>
            <w:rPr>
              <w:rFonts w:hint="default" w:ascii="Times New Roman" w:hAnsi="Times New Roman" w:eastAsia="仿宋_GB2312" w:cs="Times New Roman"/>
              <w:sz w:val="32"/>
              <w:szCs w:val="32"/>
            </w:rPr>
          </w:pPr>
          <w:r>
            <w:rPr>
              <w:rFonts w:hint="default" w:ascii="Times New Roman" w:hAnsi="Times New Roman" w:eastAsia="仿宋_GB2312" w:cs="Times New Roman"/>
              <w:color w:val="auto"/>
              <w:sz w:val="32"/>
              <w:szCs w:val="32"/>
              <w:highlight w:val="none"/>
            </w:rPr>
            <w:fldChar w:fldCharType="begin"/>
          </w:r>
          <w:r>
            <w:rPr>
              <w:rFonts w:hint="default" w:ascii="Times New Roman" w:hAnsi="Times New Roman" w:eastAsia="仿宋_GB2312" w:cs="Times New Roman"/>
              <w:sz w:val="32"/>
              <w:szCs w:val="32"/>
              <w:highlight w:val="none"/>
            </w:rPr>
            <w:instrText xml:space="preserve"> HYPERLINK \l _Toc23762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sz w:val="32"/>
              <w:szCs w:val="32"/>
            </w:rPr>
            <w:t>1.1</w:t>
          </w:r>
          <w:r>
            <w:rPr>
              <w:rFonts w:hint="default" w:ascii="Times New Roman" w:hAnsi="Times New Roman" w:eastAsia="仿宋_GB2312" w:cs="Times New Roman"/>
              <w:sz w:val="32"/>
              <w:szCs w:val="32"/>
              <w:lang w:eastAsia="zh-CN"/>
            </w:rPr>
            <w:t>祁阳市</w:t>
          </w:r>
          <w:r>
            <w:rPr>
              <w:rFonts w:hint="default" w:ascii="Times New Roman" w:hAnsi="Times New Roman" w:eastAsia="仿宋_GB2312" w:cs="Times New Roman"/>
              <w:sz w:val="32"/>
              <w:szCs w:val="32"/>
            </w:rPr>
            <w:t>基本情况</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_Toc23762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auto"/>
              <w:sz w:val="32"/>
              <w:szCs w:val="32"/>
              <w:highlight w:val="none"/>
            </w:rPr>
            <w:fldChar w:fldCharType="end"/>
          </w:r>
        </w:p>
        <w:p>
          <w:pPr>
            <w:pStyle w:val="20"/>
            <w:tabs>
              <w:tab w:val="right" w:leader="dot" w:pos="8306"/>
            </w:tabs>
            <w:rPr>
              <w:rFonts w:hint="default" w:ascii="Times New Roman" w:hAnsi="Times New Roman" w:eastAsia="仿宋_GB2312" w:cs="Times New Roman"/>
              <w:sz w:val="32"/>
              <w:szCs w:val="32"/>
            </w:rPr>
          </w:pPr>
          <w:r>
            <w:rPr>
              <w:rFonts w:hint="default" w:ascii="Times New Roman" w:hAnsi="Times New Roman" w:eastAsia="仿宋_GB2312" w:cs="Times New Roman"/>
              <w:color w:val="auto"/>
              <w:sz w:val="32"/>
              <w:szCs w:val="32"/>
              <w:highlight w:val="none"/>
            </w:rPr>
            <w:fldChar w:fldCharType="begin"/>
          </w:r>
          <w:r>
            <w:rPr>
              <w:rFonts w:hint="default" w:ascii="Times New Roman" w:hAnsi="Times New Roman" w:eastAsia="仿宋_GB2312" w:cs="Times New Roman"/>
              <w:sz w:val="32"/>
              <w:szCs w:val="32"/>
              <w:highlight w:val="none"/>
            </w:rPr>
            <w:instrText xml:space="preserve"> HYPERLINK \l _Toc31563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sz w:val="32"/>
              <w:szCs w:val="32"/>
            </w:rPr>
            <w:t>1.2划界依据</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_Toc31563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auto"/>
              <w:sz w:val="32"/>
              <w:szCs w:val="32"/>
              <w:highlight w:val="none"/>
            </w:rPr>
            <w:fldChar w:fldCharType="end"/>
          </w:r>
        </w:p>
        <w:p>
          <w:pPr>
            <w:pStyle w:val="20"/>
            <w:tabs>
              <w:tab w:val="right" w:leader="dot" w:pos="8306"/>
            </w:tabs>
            <w:rPr>
              <w:rFonts w:hint="default" w:ascii="Times New Roman" w:hAnsi="Times New Roman" w:eastAsia="仿宋_GB2312" w:cs="Times New Roman"/>
              <w:sz w:val="32"/>
              <w:szCs w:val="32"/>
            </w:rPr>
          </w:pPr>
          <w:r>
            <w:rPr>
              <w:rFonts w:hint="default" w:ascii="Times New Roman" w:hAnsi="Times New Roman" w:eastAsia="仿宋_GB2312" w:cs="Times New Roman"/>
              <w:color w:val="auto"/>
              <w:sz w:val="32"/>
              <w:szCs w:val="32"/>
              <w:highlight w:val="none"/>
            </w:rPr>
            <w:fldChar w:fldCharType="begin"/>
          </w:r>
          <w:r>
            <w:rPr>
              <w:rFonts w:hint="default" w:ascii="Times New Roman" w:hAnsi="Times New Roman" w:eastAsia="仿宋_GB2312" w:cs="Times New Roman"/>
              <w:sz w:val="32"/>
              <w:szCs w:val="32"/>
              <w:highlight w:val="none"/>
            </w:rPr>
            <w:instrText xml:space="preserve"> HYPERLINK \l _Toc7231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sz w:val="32"/>
              <w:szCs w:val="32"/>
            </w:rPr>
            <w:t>1.3 划界成果</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_Toc7231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5</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auto"/>
              <w:sz w:val="32"/>
              <w:szCs w:val="32"/>
              <w:highlight w:val="none"/>
            </w:rPr>
            <w:fldChar w:fldCharType="end"/>
          </w:r>
        </w:p>
        <w:p>
          <w:pPr>
            <w:pStyle w:val="16"/>
            <w:tabs>
              <w:tab w:val="right" w:leader="dot" w:pos="8306"/>
            </w:tabs>
            <w:rPr>
              <w:rFonts w:hint="default" w:ascii="Times New Roman" w:hAnsi="Times New Roman" w:eastAsia="仿宋_GB2312" w:cs="Times New Roman"/>
              <w:sz w:val="32"/>
              <w:szCs w:val="32"/>
            </w:rPr>
          </w:pPr>
          <w:r>
            <w:rPr>
              <w:rFonts w:hint="default" w:ascii="Times New Roman" w:hAnsi="Times New Roman" w:eastAsia="仿宋_GB2312" w:cs="Times New Roman"/>
              <w:color w:val="auto"/>
              <w:sz w:val="32"/>
              <w:szCs w:val="32"/>
              <w:highlight w:val="none"/>
            </w:rPr>
            <w:fldChar w:fldCharType="begin"/>
          </w:r>
          <w:r>
            <w:rPr>
              <w:rFonts w:hint="default" w:ascii="Times New Roman" w:hAnsi="Times New Roman" w:eastAsia="仿宋_GB2312" w:cs="Times New Roman"/>
              <w:sz w:val="32"/>
              <w:szCs w:val="32"/>
              <w:highlight w:val="none"/>
            </w:rPr>
            <w:instrText xml:space="preserve"> HYPERLINK \l _Toc7416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sz w:val="32"/>
              <w:szCs w:val="32"/>
            </w:rPr>
            <w:t>2水利工程基本情况</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_Toc7416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7</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auto"/>
              <w:sz w:val="32"/>
              <w:szCs w:val="32"/>
              <w:highlight w:val="none"/>
            </w:rPr>
            <w:fldChar w:fldCharType="end"/>
          </w:r>
        </w:p>
        <w:p>
          <w:pPr>
            <w:pStyle w:val="20"/>
            <w:tabs>
              <w:tab w:val="right" w:leader="dot" w:pos="8306"/>
            </w:tabs>
            <w:rPr>
              <w:rFonts w:hint="default" w:ascii="Times New Roman" w:hAnsi="Times New Roman" w:eastAsia="仿宋_GB2312" w:cs="Times New Roman"/>
              <w:sz w:val="32"/>
              <w:szCs w:val="32"/>
            </w:rPr>
          </w:pPr>
          <w:r>
            <w:rPr>
              <w:rFonts w:hint="default" w:ascii="Times New Roman" w:hAnsi="Times New Roman" w:eastAsia="仿宋_GB2312" w:cs="Times New Roman"/>
              <w:color w:val="auto"/>
              <w:sz w:val="32"/>
              <w:szCs w:val="32"/>
              <w:highlight w:val="none"/>
            </w:rPr>
            <w:fldChar w:fldCharType="begin"/>
          </w:r>
          <w:r>
            <w:rPr>
              <w:rFonts w:hint="default" w:ascii="Times New Roman" w:hAnsi="Times New Roman" w:eastAsia="仿宋_GB2312" w:cs="Times New Roman"/>
              <w:sz w:val="32"/>
              <w:szCs w:val="32"/>
              <w:highlight w:val="none"/>
            </w:rPr>
            <w:instrText xml:space="preserve"> HYPERLINK \l _Toc9728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sz w:val="32"/>
              <w:szCs w:val="32"/>
            </w:rPr>
            <w:t>2.1水利工程分布情况</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_Toc9728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7</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auto"/>
              <w:sz w:val="32"/>
              <w:szCs w:val="32"/>
              <w:highlight w:val="none"/>
            </w:rPr>
            <w:fldChar w:fldCharType="end"/>
          </w:r>
        </w:p>
        <w:p>
          <w:pPr>
            <w:pStyle w:val="20"/>
            <w:tabs>
              <w:tab w:val="right" w:leader="dot" w:pos="8306"/>
            </w:tabs>
            <w:rPr>
              <w:rFonts w:hint="default" w:ascii="Times New Roman" w:hAnsi="Times New Roman" w:eastAsia="仿宋_GB2312" w:cs="Times New Roman"/>
              <w:sz w:val="32"/>
              <w:szCs w:val="32"/>
            </w:rPr>
          </w:pPr>
          <w:r>
            <w:rPr>
              <w:rFonts w:hint="default" w:ascii="Times New Roman" w:hAnsi="Times New Roman" w:eastAsia="仿宋_GB2312" w:cs="Times New Roman"/>
              <w:color w:val="auto"/>
              <w:sz w:val="32"/>
              <w:szCs w:val="32"/>
              <w:highlight w:val="none"/>
            </w:rPr>
            <w:fldChar w:fldCharType="begin"/>
          </w:r>
          <w:r>
            <w:rPr>
              <w:rFonts w:hint="default" w:ascii="Times New Roman" w:hAnsi="Times New Roman" w:eastAsia="仿宋_GB2312" w:cs="Times New Roman"/>
              <w:sz w:val="32"/>
              <w:szCs w:val="32"/>
              <w:highlight w:val="none"/>
            </w:rPr>
            <w:instrText xml:space="preserve"> HYPERLINK \l _Toc1923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 xml:space="preserve"> 水库基本信息</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_Toc1923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10</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auto"/>
              <w:sz w:val="32"/>
              <w:szCs w:val="32"/>
              <w:highlight w:val="none"/>
            </w:rPr>
            <w:fldChar w:fldCharType="end"/>
          </w:r>
        </w:p>
        <w:p>
          <w:pPr>
            <w:pStyle w:val="20"/>
            <w:tabs>
              <w:tab w:val="right" w:leader="dot" w:pos="8306"/>
            </w:tabs>
            <w:rPr>
              <w:rFonts w:hint="default" w:ascii="Times New Roman" w:hAnsi="Times New Roman" w:eastAsia="仿宋_GB2312" w:cs="Times New Roman"/>
              <w:sz w:val="32"/>
              <w:szCs w:val="32"/>
            </w:rPr>
          </w:pPr>
          <w:r>
            <w:rPr>
              <w:rFonts w:hint="default" w:ascii="Times New Roman" w:hAnsi="Times New Roman" w:eastAsia="仿宋_GB2312" w:cs="Times New Roman"/>
              <w:color w:val="auto"/>
              <w:sz w:val="32"/>
              <w:szCs w:val="32"/>
              <w:highlight w:val="none"/>
            </w:rPr>
            <w:fldChar w:fldCharType="begin"/>
          </w:r>
          <w:r>
            <w:rPr>
              <w:rFonts w:hint="default" w:ascii="Times New Roman" w:hAnsi="Times New Roman" w:eastAsia="仿宋_GB2312" w:cs="Times New Roman"/>
              <w:sz w:val="32"/>
              <w:szCs w:val="32"/>
              <w:highlight w:val="none"/>
            </w:rPr>
            <w:instrText xml:space="preserve"> HYPERLINK \l _Toc21145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 xml:space="preserve"> 灌区基本信息</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_Toc21145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39</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auto"/>
              <w:sz w:val="32"/>
              <w:szCs w:val="32"/>
              <w:highlight w:val="none"/>
            </w:rPr>
            <w:fldChar w:fldCharType="end"/>
          </w:r>
        </w:p>
        <w:p>
          <w:pPr>
            <w:pStyle w:val="20"/>
            <w:tabs>
              <w:tab w:val="right" w:leader="dot" w:pos="8306"/>
            </w:tabs>
            <w:rPr>
              <w:rFonts w:hint="default" w:ascii="Times New Roman" w:hAnsi="Times New Roman" w:eastAsia="仿宋_GB2312" w:cs="Times New Roman"/>
              <w:sz w:val="32"/>
              <w:szCs w:val="32"/>
            </w:rPr>
          </w:pPr>
          <w:r>
            <w:rPr>
              <w:rFonts w:hint="default" w:ascii="Times New Roman" w:hAnsi="Times New Roman" w:eastAsia="仿宋_GB2312" w:cs="Times New Roman"/>
              <w:color w:val="auto"/>
              <w:sz w:val="32"/>
              <w:szCs w:val="32"/>
              <w:highlight w:val="none"/>
            </w:rPr>
            <w:fldChar w:fldCharType="begin"/>
          </w:r>
          <w:r>
            <w:rPr>
              <w:rFonts w:hint="default" w:ascii="Times New Roman" w:hAnsi="Times New Roman" w:eastAsia="仿宋_GB2312" w:cs="Times New Roman"/>
              <w:sz w:val="32"/>
              <w:szCs w:val="32"/>
              <w:highlight w:val="none"/>
            </w:rPr>
            <w:instrText xml:space="preserve"> HYPERLINK \l _Toc12837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 xml:space="preserve"> 泵站基本信息</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_Toc12837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40</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auto"/>
              <w:sz w:val="32"/>
              <w:szCs w:val="32"/>
              <w:highlight w:val="none"/>
            </w:rPr>
            <w:fldChar w:fldCharType="end"/>
          </w:r>
        </w:p>
        <w:p>
          <w:pPr>
            <w:pStyle w:val="20"/>
            <w:tabs>
              <w:tab w:val="right" w:leader="dot" w:pos="8306"/>
            </w:tabs>
            <w:rPr>
              <w:rFonts w:hint="default" w:ascii="Times New Roman" w:hAnsi="Times New Roman" w:eastAsia="仿宋_GB2312" w:cs="Times New Roman"/>
              <w:sz w:val="32"/>
              <w:szCs w:val="32"/>
            </w:rPr>
          </w:pPr>
          <w:r>
            <w:rPr>
              <w:rFonts w:hint="default" w:ascii="Times New Roman" w:hAnsi="Times New Roman" w:eastAsia="仿宋_GB2312" w:cs="Times New Roman"/>
              <w:color w:val="auto"/>
              <w:sz w:val="32"/>
              <w:szCs w:val="32"/>
              <w:highlight w:val="none"/>
            </w:rPr>
            <w:fldChar w:fldCharType="begin"/>
          </w:r>
          <w:r>
            <w:rPr>
              <w:rFonts w:hint="default" w:ascii="Times New Roman" w:hAnsi="Times New Roman" w:eastAsia="仿宋_GB2312" w:cs="Times New Roman"/>
              <w:sz w:val="32"/>
              <w:szCs w:val="32"/>
              <w:highlight w:val="none"/>
            </w:rPr>
            <w:instrText xml:space="preserve"> HYPERLINK \l _Toc25092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 xml:space="preserve"> 水闸基本信息</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_Toc25092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41</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auto"/>
              <w:sz w:val="32"/>
              <w:szCs w:val="32"/>
              <w:highlight w:val="none"/>
            </w:rPr>
            <w:fldChar w:fldCharType="end"/>
          </w:r>
        </w:p>
        <w:p>
          <w:pPr>
            <w:pStyle w:val="16"/>
            <w:tabs>
              <w:tab w:val="right" w:leader="dot" w:pos="8306"/>
            </w:tabs>
            <w:rPr>
              <w:rFonts w:hint="default" w:ascii="Times New Roman" w:hAnsi="Times New Roman" w:eastAsia="仿宋_GB2312" w:cs="Times New Roman"/>
              <w:sz w:val="32"/>
              <w:szCs w:val="32"/>
            </w:rPr>
          </w:pPr>
          <w:r>
            <w:rPr>
              <w:rFonts w:hint="default" w:ascii="Times New Roman" w:hAnsi="Times New Roman" w:eastAsia="仿宋_GB2312" w:cs="Times New Roman"/>
              <w:color w:val="auto"/>
              <w:sz w:val="32"/>
              <w:szCs w:val="32"/>
              <w:highlight w:val="none"/>
            </w:rPr>
            <w:fldChar w:fldCharType="begin"/>
          </w:r>
          <w:r>
            <w:rPr>
              <w:rFonts w:hint="default" w:ascii="Times New Roman" w:hAnsi="Times New Roman" w:eastAsia="仿宋_GB2312" w:cs="Times New Roman"/>
              <w:sz w:val="32"/>
              <w:szCs w:val="32"/>
              <w:highlight w:val="none"/>
            </w:rPr>
            <w:instrText xml:space="preserve"> HYPERLINK \l _Toc29716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管理与保护范围线标绘</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_Toc29716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47</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auto"/>
              <w:sz w:val="32"/>
              <w:szCs w:val="32"/>
              <w:highlight w:val="none"/>
            </w:rPr>
            <w:fldChar w:fldCharType="end"/>
          </w:r>
        </w:p>
        <w:p>
          <w:pPr>
            <w:pStyle w:val="20"/>
            <w:tabs>
              <w:tab w:val="right" w:leader="dot" w:pos="8306"/>
            </w:tabs>
            <w:rPr>
              <w:rFonts w:hint="default" w:ascii="Times New Roman" w:hAnsi="Times New Roman" w:eastAsia="仿宋_GB2312" w:cs="Times New Roman"/>
              <w:sz w:val="32"/>
              <w:szCs w:val="32"/>
            </w:rPr>
          </w:pPr>
          <w:r>
            <w:rPr>
              <w:rFonts w:hint="default" w:ascii="Times New Roman" w:hAnsi="Times New Roman" w:eastAsia="仿宋_GB2312" w:cs="Times New Roman"/>
              <w:color w:val="auto"/>
              <w:sz w:val="32"/>
              <w:szCs w:val="32"/>
              <w:highlight w:val="none"/>
            </w:rPr>
            <w:fldChar w:fldCharType="begin"/>
          </w:r>
          <w:r>
            <w:rPr>
              <w:rFonts w:hint="default" w:ascii="Times New Roman" w:hAnsi="Times New Roman" w:eastAsia="仿宋_GB2312" w:cs="Times New Roman"/>
              <w:sz w:val="32"/>
              <w:szCs w:val="32"/>
              <w:highlight w:val="none"/>
            </w:rPr>
            <w:instrText xml:space="preserve"> HYPERLINK \l _Toc29009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.1库区设计洪水位线分析计算</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_Toc29009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47</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auto"/>
              <w:sz w:val="32"/>
              <w:szCs w:val="32"/>
              <w:highlight w:val="none"/>
            </w:rPr>
            <w:fldChar w:fldCharType="end"/>
          </w:r>
        </w:p>
        <w:p>
          <w:pPr>
            <w:pStyle w:val="20"/>
            <w:tabs>
              <w:tab w:val="right" w:leader="dot" w:pos="8306"/>
            </w:tabs>
            <w:rPr>
              <w:rFonts w:hint="default" w:ascii="Times New Roman" w:hAnsi="Times New Roman" w:eastAsia="仿宋_GB2312" w:cs="Times New Roman"/>
              <w:sz w:val="32"/>
              <w:szCs w:val="32"/>
            </w:rPr>
          </w:pPr>
          <w:r>
            <w:rPr>
              <w:rFonts w:hint="default" w:ascii="Times New Roman" w:hAnsi="Times New Roman" w:eastAsia="仿宋_GB2312" w:cs="Times New Roman"/>
              <w:color w:val="auto"/>
              <w:sz w:val="32"/>
              <w:szCs w:val="32"/>
              <w:highlight w:val="none"/>
            </w:rPr>
            <w:fldChar w:fldCharType="begin"/>
          </w:r>
          <w:r>
            <w:rPr>
              <w:rFonts w:hint="default" w:ascii="Times New Roman" w:hAnsi="Times New Roman" w:eastAsia="仿宋_GB2312" w:cs="Times New Roman"/>
              <w:sz w:val="32"/>
              <w:szCs w:val="32"/>
              <w:highlight w:val="none"/>
            </w:rPr>
            <w:instrText xml:space="preserve"> HYPERLINK \l _Toc22016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 xml:space="preserve"> 管理与保护范围线标绘</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_Toc22016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48</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auto"/>
              <w:sz w:val="32"/>
              <w:szCs w:val="32"/>
              <w:highlight w:val="none"/>
            </w:rPr>
            <w:fldChar w:fldCharType="end"/>
          </w:r>
        </w:p>
        <w:p>
          <w:pPr>
            <w:pStyle w:val="20"/>
            <w:tabs>
              <w:tab w:val="right" w:leader="dot" w:pos="8306"/>
            </w:tabs>
            <w:rPr>
              <w:rFonts w:hint="default" w:ascii="Times New Roman" w:hAnsi="Times New Roman" w:eastAsia="仿宋_GB2312" w:cs="Times New Roman"/>
              <w:sz w:val="32"/>
              <w:szCs w:val="32"/>
            </w:rPr>
          </w:pPr>
          <w:r>
            <w:rPr>
              <w:rFonts w:hint="default" w:ascii="Times New Roman" w:hAnsi="Times New Roman" w:eastAsia="仿宋_GB2312" w:cs="Times New Roman"/>
              <w:color w:val="auto"/>
              <w:sz w:val="32"/>
              <w:szCs w:val="32"/>
              <w:highlight w:val="none"/>
            </w:rPr>
            <w:fldChar w:fldCharType="begin"/>
          </w:r>
          <w:r>
            <w:rPr>
              <w:rFonts w:hint="default" w:ascii="Times New Roman" w:hAnsi="Times New Roman" w:eastAsia="仿宋_GB2312" w:cs="Times New Roman"/>
              <w:sz w:val="32"/>
              <w:szCs w:val="32"/>
              <w:highlight w:val="none"/>
            </w:rPr>
            <w:instrText xml:space="preserve"> HYPERLINK \l _Toc28336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 xml:space="preserve"> 电子桩和电子告示牌布设</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_Toc28336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86</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auto"/>
              <w:sz w:val="32"/>
              <w:szCs w:val="32"/>
              <w:highlight w:val="none"/>
            </w:rPr>
            <w:fldChar w:fldCharType="end"/>
          </w:r>
        </w:p>
        <w:p>
          <w:pPr>
            <w:pStyle w:val="16"/>
            <w:tabs>
              <w:tab w:val="right" w:leader="dot" w:pos="8306"/>
            </w:tabs>
          </w:pPr>
          <w:r>
            <w:rPr>
              <w:rFonts w:hint="default" w:ascii="Times New Roman" w:hAnsi="Times New Roman" w:eastAsia="仿宋_GB2312" w:cs="Times New Roman"/>
              <w:color w:val="auto"/>
              <w:sz w:val="32"/>
              <w:szCs w:val="32"/>
              <w:highlight w:val="none"/>
            </w:rPr>
            <w:fldChar w:fldCharType="begin"/>
          </w:r>
          <w:r>
            <w:rPr>
              <w:rFonts w:hint="default" w:ascii="Times New Roman" w:hAnsi="Times New Roman" w:eastAsia="仿宋_GB2312" w:cs="Times New Roman"/>
              <w:sz w:val="32"/>
              <w:szCs w:val="32"/>
              <w:highlight w:val="none"/>
            </w:rPr>
            <w:instrText xml:space="preserve"> HYPERLINK \l _Toc31896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 xml:space="preserve"> 管理与保护范围线核实勘定</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_Toc31896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89</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auto"/>
              <w:sz w:val="32"/>
              <w:szCs w:val="32"/>
              <w:highlight w:val="none"/>
            </w:rPr>
            <w:fldChar w:fldCharType="end"/>
          </w:r>
        </w:p>
        <w:p>
          <w:pPr>
            <w:snapToGrid w:val="0"/>
            <w:spacing w:line="360" w:lineRule="auto"/>
            <w:rPr>
              <w:rFonts w:hint="default" w:ascii="Times New Roman" w:hAnsi="Times New Roman" w:cs="Times New Roman"/>
              <w:color w:val="auto"/>
              <w:sz w:val="28"/>
              <w:szCs w:val="28"/>
              <w:highlight w:val="none"/>
            </w:rPr>
          </w:pPr>
          <w:r>
            <w:rPr>
              <w:rFonts w:hint="default" w:ascii="Times New Roman" w:hAnsi="Times New Roman" w:eastAsia="仿宋_GB2312" w:cs="Times New Roman"/>
              <w:color w:val="auto"/>
              <w:szCs w:val="32"/>
              <w:highlight w:val="none"/>
            </w:rPr>
            <w:fldChar w:fldCharType="end"/>
          </w:r>
        </w:p>
      </w:sdtContent>
    </w:sdt>
    <w:p>
      <w:pPr>
        <w:tabs>
          <w:tab w:val="left" w:pos="1386"/>
        </w:tabs>
        <w:rPr>
          <w:rFonts w:hint="default" w:ascii="Times New Roman" w:hAnsi="Times New Roman" w:cs="Times New Roman"/>
          <w:color w:val="auto"/>
          <w:highlight w:val="none"/>
        </w:rPr>
      </w:pPr>
    </w:p>
    <w:p>
      <w:pPr>
        <w:pStyle w:val="2"/>
        <w:spacing w:before="156" w:after="156"/>
        <w:jc w:val="left"/>
        <w:rPr>
          <w:rFonts w:hint="default" w:ascii="Times New Roman" w:hAnsi="Times New Roman" w:cs="Times New Roman"/>
          <w:color w:val="auto"/>
          <w:highlight w:val="none"/>
        </w:rPr>
        <w:sectPr>
          <w:pgSz w:w="11906" w:h="16838"/>
          <w:pgMar w:top="1440" w:right="1800" w:bottom="1440" w:left="1800" w:header="851" w:footer="992" w:gutter="0"/>
          <w:pgNumType w:start="1"/>
          <w:cols w:space="425" w:num="1"/>
          <w:docGrid w:type="lines" w:linePitch="312" w:charSpace="0"/>
        </w:sectPr>
      </w:pPr>
    </w:p>
    <w:p>
      <w:pPr>
        <w:pStyle w:val="2"/>
        <w:spacing w:beforeLines="-2147483648" w:afterLines="-2147483648" w:line="680" w:lineRule="exact"/>
        <w:ind w:firstLine="0" w:firstLineChars="0"/>
        <w:jc w:val="both"/>
        <w:rPr>
          <w:rFonts w:hint="default"/>
          <w:b/>
          <w:sz w:val="36"/>
        </w:rPr>
      </w:pPr>
      <w:bookmarkStart w:id="0" w:name="_Toc28921"/>
      <w:r>
        <w:rPr>
          <w:rFonts w:hint="default"/>
          <w:b/>
          <w:sz w:val="36"/>
        </w:rPr>
        <w:t>1绪论</w:t>
      </w:r>
      <w:bookmarkEnd w:id="0"/>
    </w:p>
    <w:p>
      <w:pPr>
        <w:spacing w:line="640" w:lineRule="exact"/>
        <w:ind w:firstLine="640" w:firstLineChars="200"/>
        <w:rPr>
          <w:rFonts w:ascii="Times New Roman" w:hAnsi="Times New Roman" w:eastAsia="仿宋_GB2312"/>
          <w:sz w:val="32"/>
        </w:rPr>
      </w:pPr>
      <w:r>
        <w:rPr>
          <w:rFonts w:ascii="Times New Roman" w:hAnsi="Times New Roman" w:eastAsia="仿宋_GB2312"/>
          <w:sz w:val="32"/>
        </w:rPr>
        <w:t>水利工程管理与保护范围划定工作是根据《中华人民共和国水法》、《湖南省实施＜中华人民共和国水法＞办法》的有关规定和《水利部关于开展河湖管理和水利工程管理与保护范围划定工作的通知》（水建管〔2014〕285号）、《水利部关于加快推进水利工程管理与保护范围划定工作的通知》（水运管〔2018〕339号）文件的精神</w:t>
      </w:r>
      <w:r>
        <w:rPr>
          <w:rFonts w:hint="eastAsia" w:ascii="Times New Roman" w:hAnsi="Times New Roman" w:eastAsia="仿宋_GB2312"/>
          <w:sz w:val="32"/>
        </w:rPr>
        <w:t>和“依法依规、因地制宜、尊重历史、符合实际”的工作原则</w:t>
      </w:r>
      <w:r>
        <w:rPr>
          <w:rFonts w:ascii="Times New Roman" w:hAnsi="Times New Roman" w:eastAsia="仿宋_GB2312"/>
          <w:sz w:val="32"/>
        </w:rPr>
        <w:t>，开展的一项河湖生态空间管控基础工作，同时也是我省水利基础设施空间布局规划这一重大项目前期工作的主要内容。</w:t>
      </w:r>
    </w:p>
    <w:p>
      <w:pPr>
        <w:spacing w:line="640" w:lineRule="exact"/>
        <w:ind w:firstLine="640" w:firstLineChars="200"/>
        <w:rPr>
          <w:rFonts w:ascii="Times New Roman" w:hAnsi="Times New Roman" w:eastAsia="仿宋_GB2312"/>
          <w:sz w:val="32"/>
        </w:rPr>
      </w:pPr>
      <w:r>
        <w:rPr>
          <w:rFonts w:hint="eastAsia" w:ascii="Times New Roman" w:hAnsi="Times New Roman" w:eastAsia="仿宋_GB2312"/>
          <w:sz w:val="32"/>
        </w:rPr>
        <w:t>划界的</w:t>
      </w:r>
      <w:r>
        <w:rPr>
          <w:rFonts w:ascii="Times New Roman" w:hAnsi="Times New Roman" w:eastAsia="仿宋_GB2312"/>
          <w:sz w:val="32"/>
        </w:rPr>
        <w:t>目的是建立范围明确、权属清晰、责任落实的水利工程管理保护责任体系，实现水利工程有效管理，支撑和促进经济社会可持续发展。依法划定水利工程管理与保护范围是“水利工程补短板，水利行业强监管”的基础工作，是确保水利工程安全和效益充分发挥的重要抓手，是水利行业扭转“重建轻管”局面的关键一环，是水利基础设施实现有效空间管控的必然途径，是全力保障我省水安全的战略举措，对水利行业的长远发展具有重大意义。</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br w:type="page"/>
      </w:r>
    </w:p>
    <w:p>
      <w:pPr>
        <w:pStyle w:val="3"/>
        <w:spacing w:line="680" w:lineRule="exact"/>
        <w:ind w:firstLine="643" w:firstLineChars="200"/>
        <w:jc w:val="both"/>
        <w:rPr>
          <w:rFonts w:hint="default" w:eastAsia="楷体_GB2312"/>
          <w:sz w:val="32"/>
        </w:rPr>
      </w:pPr>
      <w:bookmarkStart w:id="1" w:name="_Toc23762"/>
      <w:r>
        <w:rPr>
          <w:rFonts w:hint="default" w:eastAsia="楷体_GB2312"/>
          <w:sz w:val="32"/>
        </w:rPr>
        <w:t>1.1</w:t>
      </w:r>
      <w:r>
        <w:rPr>
          <w:rFonts w:hint="eastAsia" w:eastAsia="楷体_GB2312"/>
          <w:sz w:val="32"/>
          <w:lang w:eastAsia="zh-CN"/>
        </w:rPr>
        <w:t>祁阳市</w:t>
      </w:r>
      <w:r>
        <w:rPr>
          <w:rFonts w:hint="default" w:eastAsia="楷体_GB2312"/>
          <w:sz w:val="32"/>
        </w:rPr>
        <w:t>基本情况</w:t>
      </w:r>
      <w:bookmarkEnd w:id="1"/>
    </w:p>
    <w:p>
      <w:pPr>
        <w:spacing w:line="640" w:lineRule="exact"/>
        <w:ind w:firstLine="640" w:firstLineChars="200"/>
        <w:rPr>
          <w:rFonts w:hint="default" w:ascii="Times New Roman" w:hAnsi="Times New Roman" w:eastAsia="仿宋_GB2312" w:cs="Times New Roman"/>
          <w:color w:val="000000" w:themeColor="text1"/>
          <w:sz w:val="32"/>
          <w14:textFill>
            <w14:solidFill>
              <w14:schemeClr w14:val="tx1"/>
            </w14:solidFill>
          </w14:textFill>
        </w:rPr>
      </w:pPr>
      <w:r>
        <w:rPr>
          <w:rFonts w:hint="eastAsia" w:ascii="Times New Roman" w:hAnsi="Times New Roman" w:eastAsia="仿宋_GB2312" w:cs="Times New Roman"/>
          <w:color w:val="000000" w:themeColor="text1"/>
          <w:sz w:val="32"/>
          <w:lang w:eastAsia="zh-CN"/>
          <w14:textFill>
            <w14:solidFill>
              <w14:schemeClr w14:val="tx1"/>
            </w14:solidFill>
          </w14:textFill>
        </w:rPr>
        <w:t>祁阳市</w:t>
      </w:r>
      <w:r>
        <w:rPr>
          <w:rFonts w:hint="default" w:ascii="Times New Roman" w:hAnsi="Times New Roman" w:eastAsia="仿宋_GB2312" w:cs="Times New Roman"/>
          <w:color w:val="000000" w:themeColor="text1"/>
          <w:sz w:val="32"/>
          <w14:textFill>
            <w14:solidFill>
              <w14:schemeClr w14:val="tx1"/>
            </w14:solidFill>
          </w14:textFill>
        </w:rPr>
        <w:t>位于湖南省西南部，地处湘江中上游，是永州的北大门。东接常宁市，南临新田县、宁远县、双牌县和郴州桂阳县，西抵永州市零陵区和冷水滩区，北连衡阳祁东县，地理坐标为东经110°35′-112°14′，北纬26°02′-26°51′之间，东西横跨64.5公里，南北纵长90.5公里，总面积2538平方公里。全</w:t>
      </w:r>
      <w:r>
        <w:rPr>
          <w:rFonts w:hint="eastAsia" w:ascii="Times New Roman" w:hAnsi="Times New Roman" w:eastAsia="仿宋_GB2312" w:cs="Times New Roman"/>
          <w:color w:val="000000" w:themeColor="text1"/>
          <w:sz w:val="32"/>
          <w:lang w:val="en-US" w:eastAsia="zh-CN"/>
          <w14:textFill>
            <w14:solidFill>
              <w14:schemeClr w14:val="tx1"/>
            </w14:solidFill>
          </w14:textFill>
        </w:rPr>
        <w:t>市</w:t>
      </w:r>
      <w:r>
        <w:rPr>
          <w:rFonts w:hint="default" w:ascii="Times New Roman" w:hAnsi="Times New Roman" w:eastAsia="仿宋_GB2312" w:cs="Times New Roman"/>
          <w:color w:val="000000" w:themeColor="text1"/>
          <w:sz w:val="32"/>
          <w14:textFill>
            <w14:solidFill>
              <w14:schemeClr w14:val="tx1"/>
            </w14:solidFill>
          </w14:textFill>
        </w:rPr>
        <w:t>辖22个镇（街道办事处），614个行政村（社区）。2019年</w:t>
      </w:r>
      <w:r>
        <w:rPr>
          <w:rFonts w:hint="eastAsia" w:ascii="Times New Roman" w:hAnsi="Times New Roman" w:eastAsia="仿宋_GB2312" w:cs="Times New Roman"/>
          <w:color w:val="000000" w:themeColor="text1"/>
          <w:sz w:val="32"/>
          <w:lang w:eastAsia="zh-CN"/>
          <w14:textFill>
            <w14:solidFill>
              <w14:schemeClr w14:val="tx1"/>
            </w14:solidFill>
          </w14:textFill>
        </w:rPr>
        <w:t>祁阳市</w:t>
      </w:r>
      <w:r>
        <w:rPr>
          <w:rFonts w:hint="default" w:ascii="Times New Roman" w:hAnsi="Times New Roman" w:eastAsia="仿宋_GB2312" w:cs="Times New Roman"/>
          <w:color w:val="000000" w:themeColor="text1"/>
          <w:sz w:val="32"/>
          <w14:textFill>
            <w14:solidFill>
              <w14:schemeClr w14:val="tx1"/>
            </w14:solidFill>
          </w14:textFill>
        </w:rPr>
        <w:t>户籍人口106.4万人，常住人口85.67万人，其中农业人口42.32万人，城镇人口43.35万人。全</w:t>
      </w:r>
      <w:r>
        <w:rPr>
          <w:rFonts w:hint="eastAsia" w:ascii="Times New Roman" w:hAnsi="Times New Roman" w:eastAsia="仿宋_GB2312" w:cs="Times New Roman"/>
          <w:color w:val="000000" w:themeColor="text1"/>
          <w:sz w:val="32"/>
          <w:lang w:eastAsia="zh-CN"/>
          <w14:textFill>
            <w14:solidFill>
              <w14:schemeClr w14:val="tx1"/>
            </w14:solidFill>
          </w14:textFill>
        </w:rPr>
        <w:t>市</w:t>
      </w:r>
      <w:r>
        <w:rPr>
          <w:rFonts w:hint="default" w:ascii="Times New Roman" w:hAnsi="Times New Roman" w:eastAsia="仿宋_GB2312" w:cs="Times New Roman"/>
          <w:color w:val="000000" w:themeColor="text1"/>
          <w:sz w:val="32"/>
          <w14:textFill>
            <w14:solidFill>
              <w14:schemeClr w14:val="tx1"/>
            </w14:solidFill>
          </w14:textFill>
        </w:rPr>
        <w:t>地区生产总值332.06亿元，人均地区生产总值38769.7元，全</w:t>
      </w:r>
      <w:r>
        <w:rPr>
          <w:rFonts w:hint="eastAsia" w:ascii="Times New Roman" w:hAnsi="Times New Roman" w:eastAsia="仿宋_GB2312" w:cs="Times New Roman"/>
          <w:color w:val="000000" w:themeColor="text1"/>
          <w:sz w:val="32"/>
          <w:lang w:eastAsia="zh-CN"/>
          <w14:textFill>
            <w14:solidFill>
              <w14:schemeClr w14:val="tx1"/>
            </w14:solidFill>
          </w14:textFill>
        </w:rPr>
        <w:t>市</w:t>
      </w:r>
      <w:r>
        <w:rPr>
          <w:rFonts w:hint="default" w:ascii="Times New Roman" w:hAnsi="Times New Roman" w:eastAsia="仿宋_GB2312" w:cs="Times New Roman"/>
          <w:color w:val="000000" w:themeColor="text1"/>
          <w:sz w:val="32"/>
          <w14:textFill>
            <w14:solidFill>
              <w14:schemeClr w14:val="tx1"/>
            </w14:solidFill>
          </w14:textFill>
        </w:rPr>
        <w:t>粮食种植面积89.4千公顷，祁阳是一个农业大</w:t>
      </w:r>
      <w:r>
        <w:rPr>
          <w:rFonts w:hint="eastAsia" w:ascii="Times New Roman" w:hAnsi="Times New Roman" w:eastAsia="仿宋_GB2312" w:cs="Times New Roman"/>
          <w:color w:val="000000" w:themeColor="text1"/>
          <w:sz w:val="32"/>
          <w:lang w:eastAsia="zh-CN"/>
          <w14:textFill>
            <w14:solidFill>
              <w14:schemeClr w14:val="tx1"/>
            </w14:solidFill>
          </w14:textFill>
        </w:rPr>
        <w:t>市</w:t>
      </w:r>
      <w:r>
        <w:rPr>
          <w:rFonts w:hint="default" w:ascii="Times New Roman" w:hAnsi="Times New Roman" w:eastAsia="仿宋_GB2312" w:cs="Times New Roman"/>
          <w:color w:val="000000" w:themeColor="text1"/>
          <w:sz w:val="32"/>
          <w14:textFill>
            <w14:solidFill>
              <w14:schemeClr w14:val="tx1"/>
            </w14:solidFill>
          </w14:textFill>
        </w:rPr>
        <w:t>，是湖南</w:t>
      </w:r>
      <w:r>
        <w:rPr>
          <w:rFonts w:hint="eastAsia" w:ascii="Times New Roman" w:hAnsi="Times New Roman" w:eastAsia="仿宋_GB2312" w:cs="Times New Roman"/>
          <w:color w:val="000000" w:themeColor="text1"/>
          <w:sz w:val="32"/>
          <w:lang w:eastAsia="zh-CN"/>
          <w14:textFill>
            <w14:solidFill>
              <w14:schemeClr w14:val="tx1"/>
            </w14:solidFill>
          </w14:textFill>
        </w:rPr>
        <w:t>省</w:t>
      </w:r>
      <w:r>
        <w:rPr>
          <w:rFonts w:hint="default" w:ascii="Times New Roman" w:hAnsi="Times New Roman" w:eastAsia="仿宋_GB2312" w:cs="Times New Roman"/>
          <w:color w:val="000000" w:themeColor="text1"/>
          <w:sz w:val="32"/>
          <w14:textFill>
            <w14:solidFill>
              <w14:schemeClr w14:val="tx1"/>
            </w14:solidFill>
          </w14:textFill>
        </w:rPr>
        <w:t>粮食生产重要基地，全</w:t>
      </w:r>
      <w:r>
        <w:rPr>
          <w:rFonts w:hint="eastAsia" w:ascii="Times New Roman" w:hAnsi="Times New Roman" w:eastAsia="仿宋_GB2312" w:cs="Times New Roman"/>
          <w:color w:val="000000" w:themeColor="text1"/>
          <w:sz w:val="32"/>
          <w:lang w:eastAsia="zh-CN"/>
          <w14:textFill>
            <w14:solidFill>
              <w14:schemeClr w14:val="tx1"/>
            </w14:solidFill>
          </w14:textFill>
        </w:rPr>
        <w:t>市</w:t>
      </w:r>
      <w:r>
        <w:rPr>
          <w:rFonts w:hint="default" w:ascii="Times New Roman" w:hAnsi="Times New Roman" w:eastAsia="仿宋_GB2312" w:cs="Times New Roman"/>
          <w:color w:val="000000" w:themeColor="text1"/>
          <w:sz w:val="32"/>
          <w14:textFill>
            <w14:solidFill>
              <w14:schemeClr w14:val="tx1"/>
            </w14:solidFill>
          </w14:textFill>
        </w:rPr>
        <w:t>粮食总产量57.2万吨。</w:t>
      </w:r>
    </w:p>
    <w:p>
      <w:pPr>
        <w:pStyle w:val="3"/>
        <w:spacing w:line="680" w:lineRule="exact"/>
        <w:ind w:firstLine="643" w:firstLineChars="200"/>
        <w:jc w:val="both"/>
        <w:rPr>
          <w:rFonts w:hint="default" w:eastAsia="楷体_GB2312"/>
          <w:sz w:val="32"/>
        </w:rPr>
      </w:pPr>
      <w:bookmarkStart w:id="2" w:name="_Toc31563"/>
      <w:r>
        <w:rPr>
          <w:rFonts w:hint="default" w:eastAsia="楷体_GB2312"/>
          <w:sz w:val="32"/>
        </w:rPr>
        <w:t>1.2划界依据</w:t>
      </w:r>
      <w:bookmarkEnd w:id="2"/>
    </w:p>
    <w:p>
      <w:pPr>
        <w:pStyle w:val="4"/>
        <w:keepNext/>
        <w:keepLines/>
        <w:spacing w:line="680" w:lineRule="exact"/>
        <w:ind w:firstLine="640" w:firstLineChars="200"/>
        <w:rPr>
          <w:rFonts w:hint="default" w:cstheme="minorBidi"/>
          <w:b w:val="0"/>
          <w:sz w:val="32"/>
        </w:rPr>
      </w:pPr>
      <w:r>
        <w:rPr>
          <w:rFonts w:hint="default" w:cstheme="minorBidi"/>
          <w:b w:val="0"/>
          <w:sz w:val="32"/>
        </w:rPr>
        <w:t>1.2.1法律法规</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（1）《中华人民共和国水法》（2016 年修正）</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（2）《中华人民共和国防洪法》（2016 年修正）</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（3）《中华人民共和国土地管理法》（2019 年修正）</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（4）《中华人民共和国河道管理条例》（2018 年修正）</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（5）《地图管理条例》（2015 年）</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（6）《湖南省实施＜中华人民共和国水法＞办法》（2012 年修订）</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（7）《湖南省实施＜中华人民共和国防洪法＞办法》（2018年修订）</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（8）《湖南省实施＜中华人民共和国土地管理法＞办法》（2016 年修正本）</w:t>
      </w:r>
    </w:p>
    <w:p>
      <w:pPr>
        <w:pStyle w:val="4"/>
        <w:keepNext/>
        <w:keepLines/>
        <w:spacing w:line="680" w:lineRule="exact"/>
        <w:ind w:firstLine="640" w:firstLineChars="200"/>
        <w:rPr>
          <w:rFonts w:hint="default" w:cstheme="minorBidi"/>
          <w:b w:val="0"/>
          <w:sz w:val="32"/>
        </w:rPr>
      </w:pPr>
      <w:r>
        <w:rPr>
          <w:rFonts w:hint="default" w:cstheme="minorBidi"/>
          <w:b w:val="0"/>
          <w:sz w:val="32"/>
        </w:rPr>
        <w:t>1.2.2政策文件</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（1）《关于水利水电工程建设用地有关问题的通知》（国土资发〔2001〕355号）》</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（2）《水利部关于深化水利改革的指导意见》(水规计〔2014〕48号)</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（3）《水利部关于加强河湖管理工作的指导意见》（水建管〔2014〕76号）</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（4）《水利部关于开展河湖管理范围和水利工程管理与保护范围划定工作的通知》（水建管〔2014〕285号）</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（5）《水利部关于加快推进水利工程管理与保护范围划定工作的通知》（水运管〔2018〕339号）</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（6）《关于做好全省水利工程管理与保护范围划定工作的通知》（湘水发〔2020〕8号）</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（7）《关于加快推进全省水利工程管理与保护范围划定工作的通知》（湘水办函〔2020〕213号）</w:t>
      </w:r>
    </w:p>
    <w:p>
      <w:pPr>
        <w:pStyle w:val="4"/>
        <w:keepNext/>
        <w:keepLines/>
        <w:spacing w:line="680" w:lineRule="exact"/>
        <w:ind w:firstLine="640" w:firstLineChars="200"/>
        <w:rPr>
          <w:rFonts w:hint="default" w:cstheme="minorBidi"/>
          <w:b w:val="0"/>
          <w:sz w:val="32"/>
        </w:rPr>
      </w:pPr>
      <w:r>
        <w:rPr>
          <w:rFonts w:hint="default" w:cstheme="minorBidi"/>
          <w:b w:val="0"/>
          <w:sz w:val="32"/>
        </w:rPr>
        <w:t>1.2.3规程规范</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（1）《防洪标准》（GB50201-2014）</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（2）《水库工程管理设计规范》（SL106-2017）</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（3）《水闸设计规范》（SL265-2016）</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（4）《堤防工程管理设计规范》（SL/T171-2020）</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（5）《堤防工程设计规范》（GB50286-2020）</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（6）《泵站设计规范》（GB/T50265-2010）</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（7）《灌溉与排水工程设计标准》（GB52088-2018）</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（8）《蓄滞洪区设计规范》（GB50773-2012）</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（9）《调水工程设计指南》（SL430-2008）</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（10）《水利水电工程等级划分及洪水标准》（SL 252-2017）</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（11）《水利水电工程设计洪水计算规范》（SL44-2006）</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（12）《水利对象分类与编码总则》（SL/T213-2020）</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（13）《水利水电工程建设征地移民安置规划设计规范》（SL290-2009）</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（14）《水利水电工程测量规范》（SL197-2013）</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（15）《1:500 1:1000 1:2000地形图航空摄影测量内业规范》（GB/T7930-2008）</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（16）《1:500 1:1000 1:2000地形图航空摄影测量外业规范》（GB/T7931-2008）</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（17）《国家基本比例尺地形图图式第1部分：1:500 1:1000 1:2000地形图图式》（GB/T20257.1-2017）</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（18）《基础地理信息要素分类与代码》（GB/T13923-2006）</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（19）《全球定位系统实时动态测量（RTK）技术规范》（GH/T2009-2010）</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（20）《测绘成果质量检查与验收》（GB/T24356-2009）</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（21）《湖南省水利工程管理与保护范围划界</w:t>
      </w:r>
      <w:r>
        <w:rPr>
          <w:rFonts w:hint="eastAsia" w:ascii="Times New Roman" w:hAnsi="Times New Roman" w:eastAsia="仿宋_GB2312" w:cs="Times New Roman"/>
          <w:color w:val="auto"/>
          <w:sz w:val="32"/>
          <w:highlight w:val="none"/>
          <w:lang w:val="en-US" w:eastAsia="zh-CN"/>
        </w:rPr>
        <w:t>技术</w:t>
      </w:r>
      <w:r>
        <w:rPr>
          <w:rFonts w:hint="default" w:ascii="Times New Roman" w:hAnsi="Times New Roman" w:eastAsia="仿宋_GB2312" w:cs="Times New Roman"/>
          <w:color w:val="auto"/>
          <w:sz w:val="32"/>
          <w:highlight w:val="none"/>
        </w:rPr>
        <w:t>指南（试行）》（湘水办函〔2020〕227号）</w:t>
      </w:r>
    </w:p>
    <w:p>
      <w:pPr>
        <w:pStyle w:val="3"/>
        <w:spacing w:line="680" w:lineRule="exact"/>
        <w:ind w:firstLine="643" w:firstLineChars="200"/>
        <w:jc w:val="both"/>
        <w:rPr>
          <w:rFonts w:hint="default" w:eastAsia="楷体_GB2312"/>
          <w:sz w:val="32"/>
        </w:rPr>
      </w:pPr>
      <w:bookmarkStart w:id="3" w:name="_Toc60738483"/>
      <w:bookmarkStart w:id="4" w:name="_Toc7231"/>
      <w:r>
        <w:rPr>
          <w:rFonts w:hint="default" w:eastAsia="楷体_GB2312"/>
          <w:sz w:val="32"/>
        </w:rPr>
        <w:t>1.3 划界成果</w:t>
      </w:r>
      <w:bookmarkEnd w:id="3"/>
      <w:bookmarkEnd w:id="4"/>
    </w:p>
    <w:p>
      <w:pPr>
        <w:spacing w:line="640" w:lineRule="exact"/>
        <w:ind w:firstLine="640" w:firstLineChars="200"/>
        <w:rPr>
          <w:rFonts w:hint="default" w:ascii="Times New Roman" w:hAnsi="Times New Roman" w:eastAsia="仿宋_GB2312" w:cs="Times New Roman"/>
          <w:color w:val="auto"/>
          <w:sz w:val="32"/>
          <w:highlight w:val="none"/>
        </w:rPr>
      </w:pPr>
      <w:r>
        <w:rPr>
          <w:rFonts w:hint="eastAsia" w:ascii="Times New Roman" w:hAnsi="Times New Roman" w:eastAsia="仿宋_GB2312" w:cs="Times New Roman"/>
          <w:color w:val="auto"/>
          <w:sz w:val="32"/>
          <w:highlight w:val="none"/>
          <w:lang w:eastAsia="zh-CN"/>
        </w:rPr>
        <w:t>祁阳市</w:t>
      </w:r>
      <w:r>
        <w:rPr>
          <w:rFonts w:hint="default" w:ascii="Times New Roman" w:hAnsi="Times New Roman" w:eastAsia="仿宋_GB2312" w:cs="Times New Roman"/>
          <w:color w:val="auto"/>
          <w:sz w:val="32"/>
          <w:highlight w:val="none"/>
        </w:rPr>
        <w:t>大中型及重点小型水利工程管理与保护范围划定成果主要包括文字报告、数据库、图件和表格成果等，相关成果的坐标系统均采用2000国家大地坐标系、1985国家高程基准、高斯-克吕格投影，标准3度分带，中央子午线111度。主要成果内容如下：</w:t>
      </w:r>
    </w:p>
    <w:p>
      <w:pPr>
        <w:pStyle w:val="4"/>
        <w:keepNext/>
        <w:keepLines/>
        <w:spacing w:line="680" w:lineRule="exact"/>
        <w:ind w:firstLine="640" w:firstLineChars="200"/>
        <w:rPr>
          <w:rFonts w:hint="default" w:cstheme="minorBidi"/>
          <w:b w:val="0"/>
          <w:sz w:val="32"/>
        </w:rPr>
      </w:pPr>
      <w:bookmarkStart w:id="5" w:name="_Toc60738484"/>
      <w:r>
        <w:rPr>
          <w:rFonts w:hint="default" w:cstheme="minorBidi"/>
          <w:b w:val="0"/>
          <w:sz w:val="32"/>
        </w:rPr>
        <w:t>1.3.1 文字报告</w:t>
      </w:r>
      <w:bookmarkEnd w:id="5"/>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《湖南省</w:t>
      </w:r>
      <w:r>
        <w:rPr>
          <w:rFonts w:hint="eastAsia" w:ascii="Times New Roman" w:hAnsi="Times New Roman" w:eastAsia="仿宋_GB2312" w:cs="Times New Roman"/>
          <w:color w:val="auto"/>
          <w:sz w:val="32"/>
          <w:highlight w:val="none"/>
          <w:lang w:eastAsia="zh-CN"/>
        </w:rPr>
        <w:t>祁阳市</w:t>
      </w:r>
      <w:r>
        <w:rPr>
          <w:rFonts w:hint="default" w:ascii="Times New Roman" w:hAnsi="Times New Roman" w:eastAsia="仿宋_GB2312" w:cs="Times New Roman"/>
          <w:color w:val="auto"/>
          <w:sz w:val="32"/>
          <w:highlight w:val="none"/>
        </w:rPr>
        <w:t>大中型及重点小型水利工程管理与保护范围划</w:t>
      </w:r>
      <w:r>
        <w:rPr>
          <w:rFonts w:hint="eastAsia" w:ascii="Times New Roman" w:hAnsi="Times New Roman" w:eastAsia="仿宋_GB2312" w:cs="Times New Roman"/>
          <w:color w:val="auto"/>
          <w:sz w:val="32"/>
          <w:highlight w:val="none"/>
          <w:lang w:val="en-US" w:eastAsia="zh-CN"/>
        </w:rPr>
        <w:t>界</w:t>
      </w:r>
      <w:r>
        <w:rPr>
          <w:rFonts w:hint="default" w:ascii="Times New Roman" w:hAnsi="Times New Roman" w:eastAsia="仿宋_GB2312" w:cs="Times New Roman"/>
          <w:color w:val="auto"/>
          <w:sz w:val="32"/>
          <w:highlight w:val="none"/>
        </w:rPr>
        <w:t>方案》。</w:t>
      </w:r>
    </w:p>
    <w:p>
      <w:pPr>
        <w:pStyle w:val="4"/>
        <w:keepNext/>
        <w:keepLines/>
        <w:spacing w:line="680" w:lineRule="exact"/>
        <w:ind w:firstLine="640" w:firstLineChars="200"/>
        <w:rPr>
          <w:rFonts w:hint="default" w:cstheme="minorBidi"/>
          <w:b w:val="0"/>
          <w:sz w:val="32"/>
        </w:rPr>
      </w:pPr>
      <w:bookmarkStart w:id="6" w:name="_Toc60738485"/>
      <w:r>
        <w:rPr>
          <w:rFonts w:hint="default" w:cstheme="minorBidi"/>
          <w:b w:val="0"/>
          <w:sz w:val="32"/>
        </w:rPr>
        <w:t>1.3.2 数据库</w:t>
      </w:r>
      <w:bookmarkEnd w:id="6"/>
    </w:p>
    <w:p>
      <w:pPr>
        <w:spacing w:line="640" w:lineRule="exact"/>
        <w:ind w:firstLine="640" w:firstLineChars="200"/>
        <w:rPr>
          <w:rFonts w:hint="default" w:ascii="Times New Roman" w:hAnsi="Times New Roman" w:eastAsia="仿宋_GB2312" w:cs="Times New Roman"/>
          <w:color w:val="auto"/>
          <w:sz w:val="32"/>
          <w:highlight w:val="none"/>
        </w:rPr>
      </w:pPr>
      <w:r>
        <w:rPr>
          <w:rFonts w:hint="eastAsia" w:ascii="Times New Roman" w:hAnsi="Times New Roman" w:eastAsia="仿宋_GB2312" w:cs="Times New Roman"/>
          <w:color w:val="auto"/>
          <w:sz w:val="32"/>
          <w:highlight w:val="none"/>
          <w:lang w:eastAsia="zh-CN"/>
        </w:rPr>
        <w:t>祁阳市</w:t>
      </w:r>
      <w:r>
        <w:rPr>
          <w:rFonts w:hint="default" w:ascii="Times New Roman" w:hAnsi="Times New Roman" w:eastAsia="仿宋_GB2312" w:cs="Times New Roman"/>
          <w:color w:val="auto"/>
          <w:sz w:val="32"/>
          <w:highlight w:val="none"/>
        </w:rPr>
        <w:t>大中型及重点小型水利工程管理与保护范围划界成果数据库，格式为</w:t>
      </w:r>
      <w:r>
        <w:rPr>
          <w:rFonts w:hint="default" w:ascii="Times New Roman" w:hAnsi="Times New Roman" w:cs="Times New Roman"/>
          <w:color w:val="auto"/>
          <w:sz w:val="32"/>
          <w:szCs w:val="32"/>
          <w:highlight w:val="none"/>
        </w:rPr>
        <w:t>ArcGIS 10 File Geodatabase</w:t>
      </w:r>
      <w:r>
        <w:rPr>
          <w:rFonts w:hint="default" w:ascii="Times New Roman" w:hAnsi="Times New Roman" w:eastAsia="仿宋_GB2312" w:cs="Times New Roman"/>
          <w:color w:val="auto"/>
          <w:sz w:val="32"/>
          <w:highlight w:val="none"/>
        </w:rPr>
        <w:t>。</w:t>
      </w:r>
    </w:p>
    <w:p>
      <w:pPr>
        <w:pStyle w:val="4"/>
        <w:keepNext/>
        <w:keepLines/>
        <w:spacing w:line="680" w:lineRule="exact"/>
        <w:ind w:firstLine="640" w:firstLineChars="200"/>
        <w:rPr>
          <w:rFonts w:hint="default" w:cstheme="minorBidi"/>
          <w:b w:val="0"/>
          <w:sz w:val="32"/>
        </w:rPr>
      </w:pPr>
      <w:bookmarkStart w:id="7" w:name="_Toc60738486"/>
      <w:r>
        <w:rPr>
          <w:rFonts w:hint="default" w:cstheme="minorBidi"/>
          <w:b w:val="0"/>
          <w:sz w:val="32"/>
        </w:rPr>
        <w:t>1.3.3 图件成果</w:t>
      </w:r>
      <w:bookmarkEnd w:id="7"/>
    </w:p>
    <w:p>
      <w:pPr>
        <w:spacing w:line="640" w:lineRule="exact"/>
        <w:ind w:firstLine="640" w:firstLineChars="200"/>
        <w:rPr>
          <w:rFonts w:hint="default" w:ascii="Times New Roman" w:hAnsi="Times New Roman" w:eastAsia="仿宋_GB2312"/>
          <w:sz w:val="32"/>
        </w:rPr>
      </w:pPr>
      <w:r>
        <w:rPr>
          <w:rFonts w:hint="eastAsia" w:ascii="Times New Roman" w:hAnsi="Times New Roman" w:eastAsia="仿宋_GB2312"/>
          <w:sz w:val="32"/>
          <w:lang w:eastAsia="zh-CN"/>
        </w:rPr>
        <w:t>祁阳市</w:t>
      </w:r>
      <w:r>
        <w:rPr>
          <w:rFonts w:hint="default" w:ascii="Times New Roman" w:hAnsi="Times New Roman" w:eastAsia="仿宋_GB2312"/>
          <w:sz w:val="32"/>
        </w:rPr>
        <w:t>32个水库工程、3个灌区、2个泵站、10个水闸管理与保护范围划定成果图</w:t>
      </w:r>
      <w:r>
        <w:rPr>
          <w:rFonts w:hint="eastAsia" w:ascii="Times New Roman" w:hAnsi="Times New Roman" w:eastAsia="仿宋_GB2312"/>
          <w:sz w:val="32"/>
          <w:lang w:val="en-US" w:eastAsia="zh-CN"/>
        </w:rPr>
        <w:t>441</w:t>
      </w:r>
      <w:r>
        <w:rPr>
          <w:rFonts w:hint="default" w:ascii="Times New Roman" w:hAnsi="Times New Roman" w:eastAsia="仿宋_GB2312"/>
          <w:sz w:val="32"/>
        </w:rPr>
        <w:t>幅。成果图件采用A3分幅，各水利工程划定成果图件依据其空间范围采用1:2000比例尺，成果图件电子格式为PDF。</w:t>
      </w:r>
    </w:p>
    <w:p>
      <w:pPr>
        <w:pStyle w:val="4"/>
        <w:keepNext/>
        <w:keepLines/>
        <w:spacing w:line="680" w:lineRule="exact"/>
        <w:ind w:firstLine="640" w:firstLineChars="200"/>
        <w:rPr>
          <w:rFonts w:hint="default" w:ascii="Times New Roman" w:hAnsi="Times New Roman" w:cs="Times New Roman"/>
          <w:b w:val="0"/>
          <w:color w:val="auto"/>
          <w:sz w:val="32"/>
          <w:highlight w:val="none"/>
        </w:rPr>
      </w:pPr>
      <w:bookmarkStart w:id="8" w:name="_Toc60738487"/>
      <w:bookmarkStart w:id="9" w:name="_Toc60738488"/>
      <w:r>
        <w:rPr>
          <w:rFonts w:hint="default" w:ascii="Times New Roman" w:hAnsi="Times New Roman" w:cs="Times New Roman"/>
          <w:b w:val="0"/>
          <w:color w:val="auto"/>
          <w:sz w:val="32"/>
          <w:highlight w:val="none"/>
        </w:rPr>
        <w:t>1.3.4 表格成果</w:t>
      </w:r>
      <w:bookmarkEnd w:id="8"/>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包括各水利工程管理范围电子界桩成果表、电子告示牌成果表，及保护范围电子界桩成果表、电子告示牌成果表。上述表格记录了各电子界桩、电子告示牌的坐标系统、高程系统、编号、所在位置（地名）、X坐标、Y坐标及高程等信息，涉及电子界桩3</w:t>
      </w:r>
      <w:r>
        <w:rPr>
          <w:rFonts w:hint="eastAsia" w:ascii="Times New Roman" w:hAnsi="Times New Roman" w:eastAsia="仿宋_GB2312" w:cs="Times New Roman"/>
          <w:color w:val="auto"/>
          <w:sz w:val="32"/>
          <w:highlight w:val="none"/>
          <w:lang w:val="en-US" w:eastAsia="zh-CN"/>
        </w:rPr>
        <w:t>926</w:t>
      </w:r>
      <w:r>
        <w:rPr>
          <w:rFonts w:hint="default" w:ascii="Times New Roman" w:hAnsi="Times New Roman" w:eastAsia="仿宋_GB2312" w:cs="Times New Roman"/>
          <w:color w:val="auto"/>
          <w:sz w:val="32"/>
          <w:highlight w:val="none"/>
        </w:rPr>
        <w:t>个，电子告示牌199个。</w:t>
      </w:r>
    </w:p>
    <w:p>
      <w:pPr>
        <w:pStyle w:val="4"/>
        <w:keepNext/>
        <w:keepLines/>
        <w:spacing w:line="680" w:lineRule="exact"/>
        <w:ind w:firstLine="640" w:firstLineChars="200"/>
        <w:rPr>
          <w:rFonts w:hint="default" w:ascii="Times New Roman" w:hAnsi="Times New Roman" w:cs="Times New Roman"/>
          <w:b w:val="0"/>
          <w:color w:val="auto"/>
          <w:sz w:val="32"/>
          <w:highlight w:val="none"/>
        </w:rPr>
      </w:pPr>
      <w:r>
        <w:rPr>
          <w:rFonts w:hint="default" w:ascii="Times New Roman" w:hAnsi="Times New Roman" w:cs="Times New Roman"/>
          <w:b w:val="0"/>
          <w:color w:val="auto"/>
          <w:sz w:val="32"/>
          <w:highlight w:val="none"/>
        </w:rPr>
        <w:t>1.3.5 其它成果</w:t>
      </w:r>
      <w:bookmarkEnd w:id="9"/>
    </w:p>
    <w:p>
      <w:pPr>
        <w:spacing w:line="640" w:lineRule="exact"/>
        <w:ind w:firstLine="640" w:firstLineChars="200"/>
        <w:rPr>
          <w:rFonts w:hint="default" w:ascii="Times New Roman" w:hAnsi="Times New Roman" w:eastAsia="黑体" w:cs="Times New Roman"/>
          <w:color w:val="auto"/>
          <w:highlight w:val="none"/>
        </w:rPr>
      </w:pPr>
      <w:r>
        <w:rPr>
          <w:rFonts w:hint="default" w:ascii="Times New Roman" w:hAnsi="Times New Roman" w:eastAsia="仿宋_GB2312" w:cs="Times New Roman"/>
          <w:color w:val="auto"/>
          <w:sz w:val="32"/>
          <w:highlight w:val="none"/>
        </w:rPr>
        <w:t>主要包括记录划界工作过程的各类照片资料、收集的各类基础资料等。</w:t>
      </w:r>
    </w:p>
    <w:p>
      <w:pPr>
        <w:widowControl/>
        <w:jc w:val="left"/>
        <w:rPr>
          <w:rFonts w:hint="default" w:ascii="Times New Roman" w:hAnsi="Times New Roman" w:eastAsia="黑体" w:cs="Times New Roman"/>
          <w:color w:val="auto"/>
          <w:szCs w:val="21"/>
          <w:highlight w:val="none"/>
        </w:rPr>
      </w:pPr>
      <w:r>
        <w:rPr>
          <w:rFonts w:hint="default" w:ascii="Times New Roman" w:hAnsi="Times New Roman" w:eastAsia="黑体" w:cs="Times New Roman"/>
          <w:color w:val="auto"/>
          <w:szCs w:val="21"/>
          <w:highlight w:val="none"/>
        </w:rPr>
        <w:br w:type="page"/>
      </w:r>
    </w:p>
    <w:p>
      <w:pPr>
        <w:pStyle w:val="2"/>
        <w:spacing w:beforeLines="-2147483648" w:afterLines="-2147483648" w:line="680" w:lineRule="exact"/>
        <w:ind w:firstLine="0" w:firstLineChars="0"/>
        <w:jc w:val="both"/>
        <w:rPr>
          <w:rFonts w:hint="default"/>
          <w:b/>
          <w:sz w:val="36"/>
        </w:rPr>
      </w:pPr>
      <w:bookmarkStart w:id="10" w:name="_Toc7416"/>
      <w:r>
        <w:rPr>
          <w:rFonts w:hint="default"/>
          <w:b/>
          <w:sz w:val="36"/>
        </w:rPr>
        <w:t>2水利工程基本情况</w:t>
      </w:r>
      <w:bookmarkEnd w:id="10"/>
    </w:p>
    <w:p>
      <w:pPr>
        <w:pStyle w:val="3"/>
        <w:spacing w:line="680" w:lineRule="exact"/>
        <w:ind w:firstLine="643" w:firstLineChars="200"/>
        <w:jc w:val="both"/>
        <w:rPr>
          <w:rFonts w:hint="default" w:eastAsia="楷体_GB2312"/>
          <w:sz w:val="32"/>
        </w:rPr>
      </w:pPr>
      <w:bookmarkStart w:id="11" w:name="_Toc9728"/>
      <w:r>
        <w:rPr>
          <w:rFonts w:hint="default" w:eastAsia="楷体_GB2312"/>
          <w:sz w:val="32"/>
        </w:rPr>
        <w:t>2.1水利工程分布情况</w:t>
      </w:r>
      <w:bookmarkEnd w:id="11"/>
    </w:p>
    <w:p>
      <w:pPr>
        <w:spacing w:line="640" w:lineRule="exact"/>
        <w:ind w:firstLine="640" w:firstLineChars="200"/>
        <w:rPr>
          <w:rFonts w:hint="default" w:ascii="Times New Roman" w:hAnsi="Times New Roman" w:eastAsia="仿宋_GB2312"/>
          <w:sz w:val="32"/>
        </w:rPr>
      </w:pPr>
      <w:r>
        <w:rPr>
          <w:rFonts w:hint="default" w:ascii="Times New Roman" w:hAnsi="Times New Roman" w:eastAsia="仿宋_GB2312"/>
          <w:sz w:val="32"/>
        </w:rPr>
        <w:t>全</w:t>
      </w:r>
      <w:r>
        <w:rPr>
          <w:rFonts w:hint="eastAsia" w:ascii="Times New Roman" w:hAnsi="Times New Roman" w:eastAsia="仿宋_GB2312" w:cs="Times New Roman"/>
          <w:color w:val="000000" w:themeColor="text1"/>
          <w:sz w:val="32"/>
          <w:lang w:eastAsia="zh-CN"/>
          <w14:textFill>
            <w14:solidFill>
              <w14:schemeClr w14:val="tx1"/>
            </w14:solidFill>
          </w14:textFill>
        </w:rPr>
        <w:t>市</w:t>
      </w:r>
      <w:r>
        <w:rPr>
          <w:rFonts w:hint="default" w:ascii="Times New Roman" w:hAnsi="Times New Roman" w:eastAsia="仿宋_GB2312"/>
          <w:sz w:val="32"/>
        </w:rPr>
        <w:t>大中型水利工程和小（1）型水库管理与保护范围划定对象涉及中型水库大江、内下、龙江桥等3座中型水库，文家冲、石洞源等29座小（1）型水库；大江、石喝、龙江桥3座中型灌区；于家冲、喝罗滩2个Ⅲ级泵站；老屋冲、豹虎龙、白茅滩等10个大中型水闸；总体情况如表2-1所示，总体分布图如图2-1所示。</w:t>
      </w:r>
    </w:p>
    <w:p>
      <w:pPr>
        <w:pStyle w:val="76"/>
        <w:ind w:firstLine="0" w:firstLineChars="0"/>
        <w:rPr>
          <w:rFonts w:hint="default"/>
        </w:rPr>
      </w:pPr>
      <w:r>
        <w:rPr>
          <w:rFonts w:hint="default"/>
        </w:rPr>
        <w:t>表2-1</w:t>
      </w:r>
      <w:r>
        <w:rPr>
          <w:rFonts w:hint="eastAsia"/>
          <w:lang w:eastAsia="zh-CN"/>
        </w:rPr>
        <w:t>祁阳市</w:t>
      </w:r>
      <w:r>
        <w:rPr>
          <w:rFonts w:hint="default"/>
        </w:rPr>
        <w:t>水利工程总体情况表</w:t>
      </w:r>
    </w:p>
    <w:tbl>
      <w:tblPr>
        <w:tblStyle w:val="25"/>
        <w:tblW w:w="82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0"/>
        <w:gridCol w:w="1316"/>
        <w:gridCol w:w="808"/>
        <w:gridCol w:w="1556"/>
        <w:gridCol w:w="1696"/>
        <w:gridCol w:w="15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1280" w:type="dxa"/>
            <w:shd w:val="clear" w:color="auto" w:fill="auto"/>
            <w:noWrap/>
            <w:vAlign w:val="center"/>
          </w:tcPr>
          <w:p>
            <w:pPr>
              <w:pStyle w:val="77"/>
              <w:rPr>
                <w:rFonts w:hint="default" w:ascii="Times New Roman" w:hAnsi="Times New Roman" w:cs="Times New Roman" w:eastAsiaTheme="minorEastAsia"/>
                <w:b/>
                <w:color w:val="auto"/>
                <w:highlight w:val="none"/>
              </w:rPr>
            </w:pPr>
            <w:r>
              <w:rPr>
                <w:rFonts w:hint="default" w:ascii="Times New Roman" w:hAnsi="Times New Roman" w:cs="Times New Roman" w:eastAsiaTheme="minorEastAsia"/>
                <w:b/>
                <w:color w:val="auto"/>
                <w:highlight w:val="none"/>
              </w:rPr>
              <w:t>市州</w:t>
            </w:r>
          </w:p>
        </w:tc>
        <w:tc>
          <w:tcPr>
            <w:tcW w:w="1316" w:type="dxa"/>
            <w:shd w:val="clear" w:color="auto" w:fill="auto"/>
            <w:noWrap/>
            <w:vAlign w:val="center"/>
          </w:tcPr>
          <w:p>
            <w:pPr>
              <w:pStyle w:val="77"/>
              <w:rPr>
                <w:rFonts w:hint="default" w:ascii="Times New Roman" w:hAnsi="Times New Roman" w:cs="Times New Roman" w:eastAsiaTheme="minorEastAsia"/>
                <w:b/>
                <w:color w:val="auto"/>
                <w:highlight w:val="none"/>
              </w:rPr>
            </w:pPr>
            <w:r>
              <w:rPr>
                <w:rFonts w:hint="default" w:ascii="Times New Roman" w:hAnsi="Times New Roman" w:cs="Times New Roman" w:eastAsiaTheme="minorEastAsia"/>
                <w:b/>
                <w:color w:val="auto"/>
                <w:highlight w:val="none"/>
              </w:rPr>
              <w:t>县市区</w:t>
            </w:r>
          </w:p>
        </w:tc>
        <w:tc>
          <w:tcPr>
            <w:tcW w:w="5616" w:type="dxa"/>
            <w:gridSpan w:val="4"/>
            <w:shd w:val="clear" w:color="auto" w:fill="auto"/>
            <w:noWrap/>
            <w:vAlign w:val="center"/>
          </w:tcPr>
          <w:p>
            <w:pPr>
              <w:pStyle w:val="77"/>
              <w:rPr>
                <w:rFonts w:hint="default" w:ascii="Times New Roman" w:hAnsi="Times New Roman" w:cs="Times New Roman" w:eastAsiaTheme="minorEastAsia"/>
                <w:b/>
                <w:color w:val="auto"/>
                <w:highlight w:val="none"/>
              </w:rPr>
            </w:pPr>
            <w:r>
              <w:rPr>
                <w:rFonts w:hint="default" w:ascii="Times New Roman" w:hAnsi="Times New Roman" w:cs="Times New Roman" w:eastAsiaTheme="minorEastAsia"/>
                <w:b/>
                <w:color w:val="auto"/>
                <w:highlight w:val="none"/>
              </w:rPr>
              <w:t>水利工程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1280" w:type="dxa"/>
            <w:vMerge w:val="restart"/>
            <w:shd w:val="clear" w:color="auto" w:fill="auto"/>
            <w:noWrap/>
            <w:vAlign w:val="center"/>
          </w:tcPr>
          <w:p>
            <w:pPr>
              <w:pStyle w:val="77"/>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highlight w:val="none"/>
              </w:rPr>
              <w:t>永州市</w:t>
            </w:r>
          </w:p>
        </w:tc>
        <w:tc>
          <w:tcPr>
            <w:tcW w:w="1316" w:type="dxa"/>
            <w:vMerge w:val="restart"/>
            <w:shd w:val="clear" w:color="auto" w:fill="auto"/>
            <w:noWrap/>
            <w:vAlign w:val="center"/>
          </w:tcPr>
          <w:p>
            <w:pPr>
              <w:pStyle w:val="77"/>
              <w:rPr>
                <w:rFonts w:hint="eastAsia" w:ascii="Times New Roman" w:hAnsi="Times New Roman" w:cs="Times New Roman" w:eastAsiaTheme="minorEastAsia"/>
                <w:color w:val="auto"/>
                <w:szCs w:val="21"/>
                <w:highlight w:val="none"/>
                <w:lang w:eastAsia="zh-CN"/>
              </w:rPr>
            </w:pPr>
            <w:r>
              <w:rPr>
                <w:rFonts w:hint="eastAsia" w:cs="Times New Roman" w:eastAsiaTheme="minorEastAsia"/>
                <w:color w:val="auto"/>
                <w:highlight w:val="none"/>
                <w:lang w:eastAsia="zh-CN"/>
              </w:rPr>
              <w:t>祁阳市</w:t>
            </w:r>
          </w:p>
        </w:tc>
        <w:tc>
          <w:tcPr>
            <w:tcW w:w="5616" w:type="dxa"/>
            <w:gridSpan w:val="4"/>
            <w:shd w:val="clear" w:color="auto" w:fill="auto"/>
            <w:noWrap/>
            <w:vAlign w:val="center"/>
          </w:tcPr>
          <w:p>
            <w:pPr>
              <w:pStyle w:val="77"/>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水库（座）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1280" w:type="dxa"/>
            <w:vMerge w:val="continue"/>
            <w:vAlign w:val="center"/>
          </w:tcPr>
          <w:p>
            <w:pPr>
              <w:pStyle w:val="77"/>
              <w:rPr>
                <w:rFonts w:hint="default" w:ascii="Times New Roman" w:hAnsi="Times New Roman" w:cs="Times New Roman" w:eastAsiaTheme="minorEastAsia"/>
                <w:color w:val="auto"/>
                <w:szCs w:val="21"/>
                <w:highlight w:val="none"/>
              </w:rPr>
            </w:pPr>
          </w:p>
        </w:tc>
        <w:tc>
          <w:tcPr>
            <w:tcW w:w="1316" w:type="dxa"/>
            <w:vMerge w:val="continue"/>
            <w:vAlign w:val="center"/>
          </w:tcPr>
          <w:p>
            <w:pPr>
              <w:pStyle w:val="77"/>
              <w:rPr>
                <w:rFonts w:hint="default" w:ascii="Times New Roman" w:hAnsi="Times New Roman" w:cs="Times New Roman" w:eastAsiaTheme="minorEastAsia"/>
                <w:color w:val="auto"/>
                <w:szCs w:val="21"/>
                <w:highlight w:val="none"/>
              </w:rPr>
            </w:pPr>
          </w:p>
        </w:tc>
        <w:tc>
          <w:tcPr>
            <w:tcW w:w="808" w:type="dxa"/>
            <w:shd w:val="clear" w:color="auto" w:fill="auto"/>
            <w:noWrap/>
            <w:vAlign w:val="center"/>
          </w:tcPr>
          <w:p>
            <w:pPr>
              <w:pStyle w:val="77"/>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小计</w:t>
            </w:r>
          </w:p>
        </w:tc>
        <w:tc>
          <w:tcPr>
            <w:tcW w:w="1556" w:type="dxa"/>
            <w:shd w:val="clear" w:color="auto" w:fill="auto"/>
            <w:noWrap/>
            <w:vAlign w:val="center"/>
          </w:tcPr>
          <w:p>
            <w:pPr>
              <w:pStyle w:val="77"/>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大型</w:t>
            </w:r>
          </w:p>
        </w:tc>
        <w:tc>
          <w:tcPr>
            <w:tcW w:w="1696" w:type="dxa"/>
            <w:shd w:val="clear" w:color="auto" w:fill="auto"/>
            <w:noWrap/>
            <w:vAlign w:val="center"/>
          </w:tcPr>
          <w:p>
            <w:pPr>
              <w:pStyle w:val="77"/>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中型</w:t>
            </w:r>
          </w:p>
        </w:tc>
        <w:tc>
          <w:tcPr>
            <w:tcW w:w="1556" w:type="dxa"/>
            <w:shd w:val="clear" w:color="auto" w:fill="auto"/>
            <w:vAlign w:val="center"/>
          </w:tcPr>
          <w:p>
            <w:pPr>
              <w:pStyle w:val="77"/>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小（1）型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1280" w:type="dxa"/>
            <w:vMerge w:val="continue"/>
            <w:vAlign w:val="center"/>
          </w:tcPr>
          <w:p>
            <w:pPr>
              <w:pStyle w:val="77"/>
              <w:rPr>
                <w:rFonts w:hint="default" w:ascii="Times New Roman" w:hAnsi="Times New Roman" w:cs="Times New Roman"/>
                <w:color w:val="auto"/>
                <w:highlight w:val="none"/>
              </w:rPr>
            </w:pPr>
          </w:p>
        </w:tc>
        <w:tc>
          <w:tcPr>
            <w:tcW w:w="1316" w:type="dxa"/>
            <w:vMerge w:val="continue"/>
            <w:vAlign w:val="center"/>
          </w:tcPr>
          <w:p>
            <w:pPr>
              <w:pStyle w:val="77"/>
              <w:rPr>
                <w:rFonts w:hint="default" w:ascii="Times New Roman" w:hAnsi="Times New Roman" w:cs="Times New Roman"/>
                <w:color w:val="auto"/>
                <w:highlight w:val="none"/>
              </w:rPr>
            </w:pPr>
          </w:p>
        </w:tc>
        <w:tc>
          <w:tcPr>
            <w:tcW w:w="808" w:type="dxa"/>
            <w:vAlign w:val="center"/>
          </w:tcPr>
          <w:p>
            <w:pPr>
              <w:pStyle w:val="77"/>
              <w:rPr>
                <w:rFonts w:hint="default" w:ascii="Times New Roman" w:hAnsi="Times New Roman" w:cs="Times New Roman"/>
                <w:color w:val="auto"/>
                <w:highlight w:val="none"/>
              </w:rPr>
            </w:pPr>
            <w:r>
              <w:rPr>
                <w:rFonts w:hint="default" w:ascii="Times New Roman" w:hAnsi="Times New Roman" w:cs="Times New Roman"/>
                <w:color w:val="auto"/>
                <w:highlight w:val="none"/>
              </w:rPr>
              <w:t>32</w:t>
            </w:r>
          </w:p>
        </w:tc>
        <w:tc>
          <w:tcPr>
            <w:tcW w:w="1556" w:type="dxa"/>
            <w:vAlign w:val="center"/>
          </w:tcPr>
          <w:p>
            <w:pPr>
              <w:pStyle w:val="77"/>
              <w:rPr>
                <w:rFonts w:hint="default" w:ascii="Times New Roman" w:hAnsi="Times New Roman" w:cs="Times New Roman"/>
                <w:color w:val="auto"/>
                <w:highlight w:val="none"/>
              </w:rPr>
            </w:pPr>
            <w:r>
              <w:rPr>
                <w:rFonts w:hint="default" w:ascii="Times New Roman" w:hAnsi="Times New Roman" w:cs="Times New Roman"/>
                <w:color w:val="auto"/>
                <w:highlight w:val="none"/>
              </w:rPr>
              <w:t>0</w:t>
            </w:r>
          </w:p>
        </w:tc>
        <w:tc>
          <w:tcPr>
            <w:tcW w:w="1696" w:type="dxa"/>
            <w:vAlign w:val="center"/>
          </w:tcPr>
          <w:p>
            <w:pPr>
              <w:pStyle w:val="77"/>
              <w:rPr>
                <w:rFonts w:hint="default" w:ascii="Times New Roman" w:hAnsi="Times New Roman" w:cs="Times New Roman"/>
                <w:color w:val="auto"/>
                <w:highlight w:val="none"/>
              </w:rPr>
            </w:pPr>
            <w:r>
              <w:rPr>
                <w:rFonts w:hint="default" w:ascii="Times New Roman" w:hAnsi="Times New Roman" w:cs="Times New Roman"/>
                <w:color w:val="auto"/>
                <w:highlight w:val="none"/>
              </w:rPr>
              <w:t>3</w:t>
            </w:r>
          </w:p>
        </w:tc>
        <w:tc>
          <w:tcPr>
            <w:tcW w:w="1556" w:type="dxa"/>
            <w:vAlign w:val="center"/>
          </w:tcPr>
          <w:p>
            <w:pPr>
              <w:pStyle w:val="77"/>
              <w:rPr>
                <w:rFonts w:hint="default" w:ascii="Times New Roman" w:hAnsi="Times New Roman" w:cs="Times New Roman"/>
                <w:color w:val="auto"/>
                <w:highlight w:val="none"/>
              </w:rPr>
            </w:pPr>
            <w:r>
              <w:rPr>
                <w:rFonts w:hint="default" w:ascii="Times New Roman" w:hAnsi="Times New Roman" w:cs="Times New Roman"/>
                <w:color w:val="auto"/>
                <w:highlight w:val="none"/>
              </w:rPr>
              <w:t>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1280" w:type="dxa"/>
            <w:vMerge w:val="continue"/>
            <w:vAlign w:val="center"/>
          </w:tcPr>
          <w:p>
            <w:pPr>
              <w:pStyle w:val="77"/>
              <w:rPr>
                <w:rFonts w:hint="default" w:ascii="Times New Roman" w:hAnsi="Times New Roman" w:cs="Times New Roman"/>
                <w:color w:val="auto"/>
                <w:szCs w:val="21"/>
                <w:highlight w:val="none"/>
              </w:rPr>
            </w:pPr>
          </w:p>
        </w:tc>
        <w:tc>
          <w:tcPr>
            <w:tcW w:w="1316" w:type="dxa"/>
            <w:vMerge w:val="continue"/>
            <w:vAlign w:val="center"/>
          </w:tcPr>
          <w:p>
            <w:pPr>
              <w:pStyle w:val="77"/>
              <w:rPr>
                <w:rFonts w:hint="default" w:ascii="Times New Roman" w:hAnsi="Times New Roman" w:cs="Times New Roman"/>
                <w:color w:val="auto"/>
                <w:szCs w:val="21"/>
                <w:highlight w:val="none"/>
              </w:rPr>
            </w:pPr>
          </w:p>
        </w:tc>
        <w:tc>
          <w:tcPr>
            <w:tcW w:w="5616" w:type="dxa"/>
            <w:gridSpan w:val="4"/>
            <w:vAlign w:val="center"/>
          </w:tcPr>
          <w:p>
            <w:pPr>
              <w:pStyle w:val="77"/>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灌区（座）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1280" w:type="dxa"/>
            <w:vMerge w:val="continue"/>
            <w:vAlign w:val="center"/>
          </w:tcPr>
          <w:p>
            <w:pPr>
              <w:pStyle w:val="77"/>
              <w:rPr>
                <w:rFonts w:hint="default" w:ascii="Times New Roman" w:hAnsi="Times New Roman" w:cs="Times New Roman"/>
                <w:color w:val="auto"/>
                <w:szCs w:val="21"/>
                <w:highlight w:val="none"/>
              </w:rPr>
            </w:pPr>
          </w:p>
        </w:tc>
        <w:tc>
          <w:tcPr>
            <w:tcW w:w="1316" w:type="dxa"/>
            <w:vMerge w:val="continue"/>
            <w:vAlign w:val="center"/>
          </w:tcPr>
          <w:p>
            <w:pPr>
              <w:pStyle w:val="77"/>
              <w:rPr>
                <w:rFonts w:hint="default" w:ascii="Times New Roman" w:hAnsi="Times New Roman" w:cs="Times New Roman"/>
                <w:color w:val="auto"/>
                <w:szCs w:val="21"/>
                <w:highlight w:val="none"/>
              </w:rPr>
            </w:pPr>
          </w:p>
        </w:tc>
        <w:tc>
          <w:tcPr>
            <w:tcW w:w="808" w:type="dxa"/>
            <w:vAlign w:val="center"/>
          </w:tcPr>
          <w:p>
            <w:pPr>
              <w:pStyle w:val="77"/>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小计</w:t>
            </w:r>
          </w:p>
        </w:tc>
        <w:tc>
          <w:tcPr>
            <w:tcW w:w="1556" w:type="dxa"/>
            <w:vAlign w:val="center"/>
          </w:tcPr>
          <w:p>
            <w:pPr>
              <w:pStyle w:val="77"/>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大型</w:t>
            </w:r>
          </w:p>
        </w:tc>
        <w:tc>
          <w:tcPr>
            <w:tcW w:w="3252" w:type="dxa"/>
            <w:gridSpan w:val="2"/>
            <w:vAlign w:val="center"/>
          </w:tcPr>
          <w:p>
            <w:pPr>
              <w:pStyle w:val="77"/>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重点中型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1280" w:type="dxa"/>
            <w:vMerge w:val="continue"/>
            <w:vAlign w:val="center"/>
          </w:tcPr>
          <w:p>
            <w:pPr>
              <w:pStyle w:val="77"/>
              <w:rPr>
                <w:rFonts w:hint="default" w:ascii="Times New Roman" w:hAnsi="Times New Roman" w:cs="Times New Roman"/>
                <w:color w:val="auto"/>
                <w:szCs w:val="21"/>
                <w:highlight w:val="none"/>
              </w:rPr>
            </w:pPr>
          </w:p>
        </w:tc>
        <w:tc>
          <w:tcPr>
            <w:tcW w:w="1316" w:type="dxa"/>
            <w:vMerge w:val="continue"/>
            <w:vAlign w:val="center"/>
          </w:tcPr>
          <w:p>
            <w:pPr>
              <w:pStyle w:val="77"/>
              <w:rPr>
                <w:rFonts w:hint="default" w:ascii="Times New Roman" w:hAnsi="Times New Roman" w:cs="Times New Roman"/>
                <w:color w:val="auto"/>
                <w:szCs w:val="21"/>
                <w:highlight w:val="none"/>
              </w:rPr>
            </w:pPr>
          </w:p>
        </w:tc>
        <w:tc>
          <w:tcPr>
            <w:tcW w:w="808" w:type="dxa"/>
            <w:vAlign w:val="center"/>
          </w:tcPr>
          <w:p>
            <w:pPr>
              <w:pStyle w:val="77"/>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w:t>
            </w:r>
          </w:p>
        </w:tc>
        <w:tc>
          <w:tcPr>
            <w:tcW w:w="1556" w:type="dxa"/>
            <w:vAlign w:val="center"/>
          </w:tcPr>
          <w:p>
            <w:pPr>
              <w:pStyle w:val="77"/>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0</w:t>
            </w:r>
          </w:p>
        </w:tc>
        <w:tc>
          <w:tcPr>
            <w:tcW w:w="3252" w:type="dxa"/>
            <w:gridSpan w:val="2"/>
            <w:vAlign w:val="center"/>
          </w:tcPr>
          <w:p>
            <w:pPr>
              <w:pStyle w:val="77"/>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1280" w:type="dxa"/>
            <w:vMerge w:val="continue"/>
            <w:vAlign w:val="center"/>
          </w:tcPr>
          <w:p>
            <w:pPr>
              <w:pStyle w:val="77"/>
              <w:rPr>
                <w:rFonts w:hint="default" w:ascii="Times New Roman" w:hAnsi="Times New Roman" w:cs="Times New Roman"/>
                <w:color w:val="auto"/>
                <w:szCs w:val="21"/>
                <w:highlight w:val="none"/>
              </w:rPr>
            </w:pPr>
          </w:p>
        </w:tc>
        <w:tc>
          <w:tcPr>
            <w:tcW w:w="1316" w:type="dxa"/>
            <w:vMerge w:val="continue"/>
            <w:vAlign w:val="center"/>
          </w:tcPr>
          <w:p>
            <w:pPr>
              <w:pStyle w:val="77"/>
              <w:rPr>
                <w:rFonts w:hint="default" w:ascii="Times New Roman" w:hAnsi="Times New Roman" w:cs="Times New Roman"/>
                <w:color w:val="auto"/>
                <w:szCs w:val="21"/>
                <w:highlight w:val="none"/>
              </w:rPr>
            </w:pPr>
          </w:p>
        </w:tc>
        <w:tc>
          <w:tcPr>
            <w:tcW w:w="5616" w:type="dxa"/>
            <w:gridSpan w:val="4"/>
            <w:vAlign w:val="center"/>
          </w:tcPr>
          <w:p>
            <w:pPr>
              <w:pStyle w:val="77"/>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泵站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1280" w:type="dxa"/>
            <w:vMerge w:val="continue"/>
            <w:vAlign w:val="center"/>
          </w:tcPr>
          <w:p>
            <w:pPr>
              <w:pStyle w:val="77"/>
              <w:rPr>
                <w:rFonts w:hint="default" w:ascii="Times New Roman" w:hAnsi="Times New Roman" w:cs="Times New Roman"/>
                <w:color w:val="auto"/>
                <w:szCs w:val="21"/>
                <w:highlight w:val="none"/>
              </w:rPr>
            </w:pPr>
          </w:p>
        </w:tc>
        <w:tc>
          <w:tcPr>
            <w:tcW w:w="1316" w:type="dxa"/>
            <w:vMerge w:val="continue"/>
            <w:vAlign w:val="center"/>
          </w:tcPr>
          <w:p>
            <w:pPr>
              <w:pStyle w:val="77"/>
              <w:rPr>
                <w:rFonts w:hint="default" w:ascii="Times New Roman" w:hAnsi="Times New Roman" w:cs="Times New Roman"/>
                <w:color w:val="auto"/>
                <w:szCs w:val="21"/>
                <w:highlight w:val="none"/>
              </w:rPr>
            </w:pPr>
          </w:p>
        </w:tc>
        <w:tc>
          <w:tcPr>
            <w:tcW w:w="808" w:type="dxa"/>
            <w:vAlign w:val="center"/>
          </w:tcPr>
          <w:p>
            <w:pPr>
              <w:pStyle w:val="77"/>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小计</w:t>
            </w:r>
          </w:p>
        </w:tc>
        <w:tc>
          <w:tcPr>
            <w:tcW w:w="4808" w:type="dxa"/>
            <w:gridSpan w:val="3"/>
            <w:vAlign w:val="center"/>
          </w:tcPr>
          <w:p>
            <w:pPr>
              <w:pStyle w:val="77"/>
              <w:rPr>
                <w:rFonts w:hint="default" w:ascii="Times New Roman" w:hAnsi="Times New Roman" w:cs="Times New Roman" w:eastAsiaTheme="minorEastAsia"/>
                <w:color w:val="auto"/>
                <w:szCs w:val="21"/>
                <w:highlight w:val="none"/>
                <w:lang w:val="en-US" w:eastAsia="zh-CN"/>
              </w:rPr>
            </w:pPr>
            <w:r>
              <w:rPr>
                <w:rFonts w:hint="default" w:ascii="Times New Roman" w:hAnsi="Times New Roman" w:cs="Times New Roman" w:eastAsiaTheme="minorEastAsia"/>
                <w:color w:val="auto"/>
                <w:szCs w:val="21"/>
                <w:highlight w:val="none"/>
              </w:rPr>
              <w:t>Ⅲ</w:t>
            </w:r>
            <w:r>
              <w:rPr>
                <w:rFonts w:hint="default" w:ascii="Times New Roman" w:hAnsi="Times New Roman" w:cs="Times New Roman" w:eastAsiaTheme="minorEastAsia"/>
                <w:color w:val="auto"/>
                <w:szCs w:val="21"/>
                <w:highlight w:val="none"/>
                <w:lang w:val="en-US" w:eastAsia="zh-CN"/>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1280" w:type="dxa"/>
            <w:vMerge w:val="continue"/>
            <w:vAlign w:val="center"/>
          </w:tcPr>
          <w:p>
            <w:pPr>
              <w:pStyle w:val="77"/>
              <w:rPr>
                <w:rFonts w:hint="default" w:ascii="Times New Roman" w:hAnsi="Times New Roman" w:cs="Times New Roman"/>
                <w:color w:val="auto"/>
                <w:szCs w:val="21"/>
                <w:highlight w:val="none"/>
              </w:rPr>
            </w:pPr>
          </w:p>
        </w:tc>
        <w:tc>
          <w:tcPr>
            <w:tcW w:w="1316" w:type="dxa"/>
            <w:vMerge w:val="continue"/>
            <w:vAlign w:val="center"/>
          </w:tcPr>
          <w:p>
            <w:pPr>
              <w:pStyle w:val="77"/>
              <w:rPr>
                <w:rFonts w:hint="default" w:ascii="Times New Roman" w:hAnsi="Times New Roman" w:cs="Times New Roman"/>
                <w:color w:val="auto"/>
                <w:szCs w:val="21"/>
                <w:highlight w:val="none"/>
              </w:rPr>
            </w:pPr>
          </w:p>
        </w:tc>
        <w:tc>
          <w:tcPr>
            <w:tcW w:w="808" w:type="dxa"/>
            <w:vAlign w:val="center"/>
          </w:tcPr>
          <w:p>
            <w:pPr>
              <w:pStyle w:val="77"/>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w:t>
            </w:r>
          </w:p>
        </w:tc>
        <w:tc>
          <w:tcPr>
            <w:tcW w:w="4808" w:type="dxa"/>
            <w:gridSpan w:val="3"/>
            <w:vAlign w:val="center"/>
          </w:tcPr>
          <w:p>
            <w:pPr>
              <w:pStyle w:val="77"/>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1280" w:type="dxa"/>
            <w:vMerge w:val="continue"/>
            <w:vAlign w:val="center"/>
          </w:tcPr>
          <w:p>
            <w:pPr>
              <w:pStyle w:val="77"/>
              <w:rPr>
                <w:rFonts w:hint="default" w:ascii="Times New Roman" w:hAnsi="Times New Roman" w:cs="Times New Roman"/>
                <w:color w:val="auto"/>
                <w:szCs w:val="21"/>
                <w:highlight w:val="none"/>
              </w:rPr>
            </w:pPr>
          </w:p>
        </w:tc>
        <w:tc>
          <w:tcPr>
            <w:tcW w:w="1316" w:type="dxa"/>
            <w:vMerge w:val="continue"/>
            <w:vAlign w:val="center"/>
          </w:tcPr>
          <w:p>
            <w:pPr>
              <w:pStyle w:val="77"/>
              <w:rPr>
                <w:rFonts w:hint="default" w:ascii="Times New Roman" w:hAnsi="Times New Roman" w:cs="Times New Roman"/>
                <w:color w:val="auto"/>
                <w:szCs w:val="21"/>
                <w:highlight w:val="none"/>
              </w:rPr>
            </w:pPr>
          </w:p>
        </w:tc>
        <w:tc>
          <w:tcPr>
            <w:tcW w:w="5616" w:type="dxa"/>
            <w:gridSpan w:val="4"/>
            <w:vAlign w:val="center"/>
          </w:tcPr>
          <w:p>
            <w:pPr>
              <w:pStyle w:val="77"/>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水闸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1280" w:type="dxa"/>
            <w:vMerge w:val="continue"/>
            <w:vAlign w:val="center"/>
          </w:tcPr>
          <w:p>
            <w:pPr>
              <w:pStyle w:val="77"/>
              <w:rPr>
                <w:rFonts w:hint="default" w:ascii="Times New Roman" w:hAnsi="Times New Roman" w:cs="Times New Roman"/>
                <w:color w:val="auto"/>
                <w:szCs w:val="21"/>
                <w:highlight w:val="none"/>
              </w:rPr>
            </w:pPr>
          </w:p>
        </w:tc>
        <w:tc>
          <w:tcPr>
            <w:tcW w:w="1316" w:type="dxa"/>
            <w:vMerge w:val="continue"/>
            <w:vAlign w:val="center"/>
          </w:tcPr>
          <w:p>
            <w:pPr>
              <w:pStyle w:val="77"/>
              <w:rPr>
                <w:rFonts w:hint="default" w:ascii="Times New Roman" w:hAnsi="Times New Roman" w:cs="Times New Roman"/>
                <w:color w:val="auto"/>
                <w:szCs w:val="21"/>
                <w:highlight w:val="none"/>
              </w:rPr>
            </w:pPr>
          </w:p>
        </w:tc>
        <w:tc>
          <w:tcPr>
            <w:tcW w:w="808" w:type="dxa"/>
            <w:vAlign w:val="center"/>
          </w:tcPr>
          <w:p>
            <w:pPr>
              <w:pStyle w:val="77"/>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小计</w:t>
            </w:r>
          </w:p>
        </w:tc>
        <w:tc>
          <w:tcPr>
            <w:tcW w:w="1556" w:type="dxa"/>
            <w:vAlign w:val="center"/>
          </w:tcPr>
          <w:p>
            <w:pPr>
              <w:pStyle w:val="77"/>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大型</w:t>
            </w:r>
          </w:p>
        </w:tc>
        <w:tc>
          <w:tcPr>
            <w:tcW w:w="3252" w:type="dxa"/>
            <w:gridSpan w:val="2"/>
            <w:vAlign w:val="center"/>
          </w:tcPr>
          <w:p>
            <w:pPr>
              <w:pStyle w:val="77"/>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中型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1280" w:type="dxa"/>
            <w:vMerge w:val="continue"/>
            <w:vAlign w:val="center"/>
          </w:tcPr>
          <w:p>
            <w:pPr>
              <w:pStyle w:val="77"/>
              <w:rPr>
                <w:rFonts w:hint="default" w:ascii="Times New Roman" w:hAnsi="Times New Roman" w:cs="Times New Roman"/>
                <w:color w:val="auto"/>
                <w:szCs w:val="21"/>
                <w:highlight w:val="none"/>
              </w:rPr>
            </w:pPr>
          </w:p>
        </w:tc>
        <w:tc>
          <w:tcPr>
            <w:tcW w:w="1316" w:type="dxa"/>
            <w:vMerge w:val="continue"/>
            <w:vAlign w:val="center"/>
          </w:tcPr>
          <w:p>
            <w:pPr>
              <w:pStyle w:val="77"/>
              <w:rPr>
                <w:rFonts w:hint="default" w:ascii="Times New Roman" w:hAnsi="Times New Roman" w:cs="Times New Roman"/>
                <w:color w:val="auto"/>
                <w:szCs w:val="21"/>
                <w:highlight w:val="none"/>
              </w:rPr>
            </w:pPr>
          </w:p>
        </w:tc>
        <w:tc>
          <w:tcPr>
            <w:tcW w:w="808" w:type="dxa"/>
            <w:vAlign w:val="center"/>
          </w:tcPr>
          <w:p>
            <w:pPr>
              <w:pStyle w:val="77"/>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10</w:t>
            </w:r>
          </w:p>
        </w:tc>
        <w:tc>
          <w:tcPr>
            <w:tcW w:w="1556" w:type="dxa"/>
            <w:vAlign w:val="center"/>
          </w:tcPr>
          <w:p>
            <w:pPr>
              <w:pStyle w:val="77"/>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w:t>
            </w:r>
          </w:p>
        </w:tc>
        <w:tc>
          <w:tcPr>
            <w:tcW w:w="3252" w:type="dxa"/>
            <w:gridSpan w:val="2"/>
            <w:vAlign w:val="center"/>
          </w:tcPr>
          <w:p>
            <w:pPr>
              <w:pStyle w:val="77"/>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8</w:t>
            </w:r>
          </w:p>
        </w:tc>
      </w:tr>
    </w:tbl>
    <w:p>
      <w:pPr>
        <w:widowControl/>
        <w:jc w:val="left"/>
        <w:rPr>
          <w:rFonts w:hint="default" w:ascii="Times New Roman" w:hAnsi="Times New Roman" w:cs="Times New Roman"/>
          <w:color w:val="auto"/>
          <w:highlight w:val="none"/>
        </w:rPr>
      </w:pPr>
    </w:p>
    <w:p>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drawing>
          <wp:inline distT="0" distB="0" distL="0" distR="0">
            <wp:extent cx="4975860" cy="7049135"/>
            <wp:effectExtent l="19050" t="19050" r="15240" b="18415"/>
            <wp:docPr id="386" name="图片 2" descr="祁阳县水利工程划界工程水系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 name="图片 2" descr="祁阳县水利工程划界工程水系图"/>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4975860" cy="7049135"/>
                    </a:xfrm>
                    <a:prstGeom prst="rect">
                      <a:avLst/>
                    </a:prstGeom>
                    <a:noFill/>
                    <a:ln w="6350" cmpd="sng">
                      <a:solidFill>
                        <a:srgbClr val="000000"/>
                      </a:solidFill>
                      <a:miter lim="800000"/>
                      <a:headEnd/>
                      <a:tailEnd/>
                    </a:ln>
                    <a:effectLst/>
                  </pic:spPr>
                </pic:pic>
              </a:graphicData>
            </a:graphic>
          </wp:inline>
        </w:drawing>
      </w:r>
    </w:p>
    <w:p>
      <w:pPr>
        <w:pStyle w:val="76"/>
        <w:ind w:firstLine="422" w:firstLineChars="0"/>
        <w:rPr>
          <w:rFonts w:hint="default"/>
        </w:rPr>
      </w:pPr>
      <w:r>
        <w:rPr>
          <w:rFonts w:hint="default"/>
        </w:rPr>
        <w:t xml:space="preserve">图2-1 </w:t>
      </w:r>
      <w:r>
        <w:rPr>
          <w:rFonts w:hint="eastAsia"/>
          <w:lang w:eastAsia="zh-CN"/>
        </w:rPr>
        <w:t>祁阳市</w:t>
      </w:r>
      <w:r>
        <w:rPr>
          <w:rFonts w:hint="default"/>
        </w:rPr>
        <w:t>水利工程总体分布图</w:t>
      </w:r>
    </w:p>
    <w:p>
      <w:pPr>
        <w:widowControl/>
        <w:spacing w:line="600" w:lineRule="exact"/>
        <w:ind w:firstLine="640" w:firstLineChars="200"/>
        <w:rPr>
          <w:rFonts w:hint="default" w:ascii="Times New Roman" w:hAnsi="Times New Roman" w:eastAsia="仿宋_GB2312"/>
          <w:sz w:val="32"/>
        </w:rPr>
      </w:pPr>
      <w:r>
        <w:rPr>
          <w:rFonts w:hint="eastAsia" w:ascii="Times New Roman" w:hAnsi="Times New Roman" w:eastAsia="仿宋_GB2312"/>
          <w:sz w:val="32"/>
          <w:lang w:eastAsia="zh-CN"/>
        </w:rPr>
        <w:t>祁阳市</w:t>
      </w:r>
      <w:r>
        <w:rPr>
          <w:rFonts w:hint="default" w:ascii="Times New Roman" w:hAnsi="Times New Roman" w:eastAsia="仿宋_GB2312"/>
          <w:sz w:val="32"/>
        </w:rPr>
        <w:t>此次划界对象总体分布呈现两个特征：一是覆盖范围较广，全县由南至北，由西至东均有分布；二是由于南部山区较多导致南北差异明显，水库、灌区、水闸、主要集中于中、北部地区的乡镇。水利工程空间位置分布情况如图2-2所示。</w:t>
      </w:r>
    </w:p>
    <w:p>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drawing>
          <wp:inline distT="0" distB="0" distL="0" distR="0">
            <wp:extent cx="5270500" cy="7444740"/>
            <wp:effectExtent l="0" t="0" r="0" b="0"/>
            <wp:docPr id="237" name="图片 237" descr="祁阳县水利工程划界工程分布图无影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 name="图片 237" descr="祁阳县水利工程划界工程分布图无影像"/>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5270500" cy="7444740"/>
                    </a:xfrm>
                    <a:prstGeom prst="rect">
                      <a:avLst/>
                    </a:prstGeom>
                    <a:noFill/>
                    <a:ln>
                      <a:noFill/>
                    </a:ln>
                  </pic:spPr>
                </pic:pic>
              </a:graphicData>
            </a:graphic>
          </wp:inline>
        </w:drawing>
      </w:r>
    </w:p>
    <w:p>
      <w:pPr>
        <w:pStyle w:val="76"/>
        <w:ind w:firstLine="422" w:firstLineChars="0"/>
        <w:rPr>
          <w:rFonts w:hint="default"/>
        </w:rPr>
      </w:pPr>
      <w:r>
        <w:rPr>
          <w:rFonts w:hint="default"/>
        </w:rPr>
        <w:t>图2-2</w:t>
      </w:r>
      <w:r>
        <w:rPr>
          <w:rFonts w:hint="eastAsia"/>
          <w:lang w:eastAsia="zh-CN"/>
        </w:rPr>
        <w:t>祁阳市</w:t>
      </w:r>
      <w:r>
        <w:rPr>
          <w:rFonts w:hint="default"/>
        </w:rPr>
        <w:t>大中型水利工程及重点小型水库空间位置分布图</w:t>
      </w:r>
    </w:p>
    <w:p>
      <w:pPr>
        <w:pStyle w:val="3"/>
        <w:spacing w:line="680" w:lineRule="exact"/>
        <w:ind w:firstLine="643" w:firstLineChars="200"/>
        <w:jc w:val="both"/>
        <w:rPr>
          <w:rFonts w:hint="default" w:eastAsia="楷体_GB2312"/>
          <w:sz w:val="32"/>
        </w:rPr>
      </w:pPr>
      <w:bookmarkStart w:id="12" w:name="_Toc60738491"/>
      <w:bookmarkStart w:id="13" w:name="_Toc1923"/>
      <w:r>
        <w:rPr>
          <w:rFonts w:hint="default" w:eastAsia="楷体_GB2312"/>
          <w:sz w:val="32"/>
        </w:rPr>
        <w:t>2.</w:t>
      </w:r>
      <w:r>
        <w:rPr>
          <w:rFonts w:hint="eastAsia" w:eastAsia="楷体_GB2312"/>
          <w:sz w:val="32"/>
          <w:lang w:val="en-US" w:eastAsia="zh-CN"/>
        </w:rPr>
        <w:t>2</w:t>
      </w:r>
      <w:r>
        <w:rPr>
          <w:rFonts w:hint="default" w:eastAsia="楷体_GB2312"/>
          <w:sz w:val="32"/>
        </w:rPr>
        <w:t xml:space="preserve"> 水库基本信息</w:t>
      </w:r>
      <w:bookmarkEnd w:id="12"/>
      <w:bookmarkEnd w:id="13"/>
    </w:p>
    <w:p>
      <w:pPr>
        <w:spacing w:line="640" w:lineRule="exact"/>
        <w:ind w:firstLine="640" w:firstLineChars="200"/>
        <w:rPr>
          <w:rFonts w:hint="default" w:ascii="Times New Roman" w:hAnsi="Times New Roman" w:eastAsia="仿宋_GB2312"/>
          <w:sz w:val="32"/>
        </w:rPr>
      </w:pPr>
      <w:r>
        <w:rPr>
          <w:rFonts w:hint="default" w:ascii="Times New Roman" w:hAnsi="Times New Roman" w:eastAsia="仿宋_GB2312"/>
          <w:sz w:val="32"/>
        </w:rPr>
        <w:t>（1）内下水库</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内下水库属于</w:t>
      </w:r>
      <w:r>
        <w:rPr>
          <w:rFonts w:hint="eastAsia" w:ascii="Times New Roman" w:hAnsi="Times New Roman" w:eastAsia="仿宋_GB2312" w:cs="Times New Roman"/>
          <w:color w:val="auto"/>
          <w:sz w:val="32"/>
          <w:highlight w:val="none"/>
          <w:lang w:eastAsia="zh-CN"/>
        </w:rPr>
        <w:t>祁阳市</w:t>
      </w:r>
      <w:r>
        <w:rPr>
          <w:rFonts w:hint="default" w:ascii="Times New Roman" w:hAnsi="Times New Roman" w:eastAsia="仿宋_GB2312" w:cs="Times New Roman"/>
          <w:color w:val="auto"/>
          <w:sz w:val="32"/>
          <w:highlight w:val="none"/>
        </w:rPr>
        <w:t>内下电站管理局管理，水库注册登记号为：43110030007-A4。水库位于湘江二级支流白水支流大黄系河上游，枢纽坐落在</w:t>
      </w:r>
      <w:r>
        <w:rPr>
          <w:rFonts w:hint="eastAsia" w:ascii="Times New Roman" w:hAnsi="Times New Roman" w:eastAsia="仿宋_GB2312" w:cs="Times New Roman"/>
          <w:color w:val="auto"/>
          <w:sz w:val="32"/>
          <w:highlight w:val="none"/>
          <w:lang w:eastAsia="zh-CN"/>
        </w:rPr>
        <w:t>祁阳市</w:t>
      </w:r>
      <w:r>
        <w:rPr>
          <w:rFonts w:hint="default" w:ascii="Times New Roman" w:hAnsi="Times New Roman" w:eastAsia="仿宋_GB2312" w:cs="Times New Roman"/>
          <w:color w:val="auto"/>
          <w:sz w:val="32"/>
          <w:highlight w:val="none"/>
        </w:rPr>
        <w:t>八宝镇内下村，地理坐标为东经112°06′03＂，北纬26°07′58＂。于2008年完成除险加固。</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枢纽工程主要由大坝、发电输水隧洞、放空底孔、电站等主要建筑物组成。大坝为浆砌石重力坝，最大坝高76m，坝顶高程473m（56黄海高程），坝顶轴线长214m，坝顶宽7m；溢流坝布置在河道中部，长27m，装2扇10m*9.3m(宽*高)弧形闸门，溢流堰净宽20m，溢流堰顶高程461m（56黄海高程），采用挑流效能。</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坝址控制集雨面积155.00km</w:t>
      </w:r>
      <w:r>
        <w:rPr>
          <w:rFonts w:hint="default" w:ascii="Times New Roman" w:hAnsi="Times New Roman" w:eastAsia="仿宋_GB2312" w:cs="Times New Roman"/>
          <w:color w:val="auto"/>
          <w:sz w:val="32"/>
          <w:highlight w:val="none"/>
          <w:vertAlign w:val="superscript"/>
        </w:rPr>
        <w:t>2</w:t>
      </w:r>
      <w:r>
        <w:rPr>
          <w:rFonts w:hint="default" w:ascii="Times New Roman" w:hAnsi="Times New Roman" w:eastAsia="仿宋_GB2312" w:cs="Times New Roman"/>
          <w:color w:val="auto"/>
          <w:sz w:val="32"/>
          <w:highlight w:val="none"/>
        </w:rPr>
        <w:t>，坝址以上干流长度30.00km，干流平均坡降0.9%，多年平均年径流1.53亿m</w:t>
      </w:r>
      <w:r>
        <w:rPr>
          <w:rFonts w:hint="default" w:ascii="Times New Roman" w:hAnsi="Times New Roman" w:eastAsia="仿宋_GB2312" w:cs="Times New Roman"/>
          <w:color w:val="auto"/>
          <w:sz w:val="32"/>
          <w:highlight w:val="none"/>
          <w:vertAlign w:val="superscript"/>
        </w:rPr>
        <w:t>3</w:t>
      </w:r>
      <w:r>
        <w:rPr>
          <w:rFonts w:hint="default" w:ascii="Times New Roman" w:hAnsi="Times New Roman" w:eastAsia="仿宋_GB2312" w:cs="Times New Roman"/>
          <w:color w:val="auto"/>
          <w:sz w:val="32"/>
          <w:highlight w:val="none"/>
        </w:rPr>
        <w:t>，正常蓄水位470.00m（56黄海高程），正常库容6800万m</w:t>
      </w:r>
      <w:r>
        <w:rPr>
          <w:rFonts w:hint="default" w:ascii="Times New Roman" w:hAnsi="Times New Roman" w:eastAsia="仿宋_GB2312" w:cs="Times New Roman"/>
          <w:color w:val="auto"/>
          <w:sz w:val="32"/>
          <w:highlight w:val="none"/>
          <w:vertAlign w:val="superscript"/>
        </w:rPr>
        <w:t>3</w:t>
      </w:r>
      <w:r>
        <w:rPr>
          <w:rFonts w:hint="default" w:ascii="Times New Roman" w:hAnsi="Times New Roman" w:eastAsia="仿宋_GB2312" w:cs="Times New Roman"/>
          <w:color w:val="auto"/>
          <w:sz w:val="32"/>
          <w:highlight w:val="none"/>
        </w:rPr>
        <w:t>；校核洪水位470.43m（56黄海高程），总库容6923万m</w:t>
      </w:r>
      <w:r>
        <w:rPr>
          <w:rFonts w:hint="default" w:ascii="Times New Roman" w:hAnsi="Times New Roman" w:eastAsia="仿宋_GB2312" w:cs="Times New Roman"/>
          <w:color w:val="auto"/>
          <w:sz w:val="32"/>
          <w:highlight w:val="none"/>
          <w:vertAlign w:val="superscript"/>
        </w:rPr>
        <w:t>3</w:t>
      </w:r>
      <w:r>
        <w:rPr>
          <w:rFonts w:hint="default" w:ascii="Times New Roman" w:hAnsi="Times New Roman" w:eastAsia="仿宋_GB2312" w:cs="Times New Roman"/>
          <w:color w:val="auto"/>
          <w:sz w:val="32"/>
          <w:highlight w:val="none"/>
        </w:rPr>
        <w:t>；死水位430.00m（56黄海高程），相应死库容412万m</w:t>
      </w:r>
      <w:r>
        <w:rPr>
          <w:rFonts w:hint="default" w:ascii="Times New Roman" w:hAnsi="Times New Roman" w:eastAsia="仿宋_GB2312" w:cs="Times New Roman"/>
          <w:color w:val="auto"/>
          <w:sz w:val="32"/>
          <w:highlight w:val="none"/>
          <w:vertAlign w:val="superscript"/>
        </w:rPr>
        <w:t>3</w:t>
      </w:r>
      <w:r>
        <w:rPr>
          <w:rFonts w:hint="default" w:ascii="Times New Roman" w:hAnsi="Times New Roman" w:eastAsia="仿宋_GB2312" w:cs="Times New Roman"/>
          <w:color w:val="auto"/>
          <w:sz w:val="32"/>
          <w:highlight w:val="none"/>
        </w:rPr>
        <w:t>，灌溉面积22000亩。是一座以灌溉为主，兼有防洪、养鱼等综合效益的中型水利工程。</w:t>
      </w:r>
    </w:p>
    <w:p>
      <w:pPr>
        <w:spacing w:line="640" w:lineRule="exact"/>
        <w:ind w:firstLine="640" w:firstLineChars="200"/>
        <w:rPr>
          <w:rFonts w:hint="default" w:ascii="Times New Roman" w:hAnsi="Times New Roman" w:eastAsia="仿宋_GB2312" w:cs="Times New Roman"/>
          <w:color w:val="auto"/>
          <w:sz w:val="32"/>
          <w:highlight w:val="none"/>
        </w:rPr>
      </w:pPr>
    </w:p>
    <w:p>
      <w:pPr>
        <w:spacing w:line="640" w:lineRule="exact"/>
        <w:ind w:firstLine="640" w:firstLineChars="200"/>
        <w:rPr>
          <w:rFonts w:hint="default" w:ascii="Times New Roman" w:hAnsi="Times New Roman" w:eastAsia="仿宋_GB2312"/>
          <w:sz w:val="32"/>
        </w:rPr>
      </w:pPr>
      <w:r>
        <w:rPr>
          <w:rFonts w:hint="default" w:ascii="Times New Roman" w:hAnsi="Times New Roman" w:eastAsia="仿宋_GB2312"/>
          <w:sz w:val="32"/>
        </w:rPr>
        <w:t>（2）大江水库</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大江水库属于</w:t>
      </w:r>
      <w:r>
        <w:rPr>
          <w:rFonts w:hint="eastAsia" w:ascii="Times New Roman" w:hAnsi="Times New Roman" w:eastAsia="仿宋_GB2312" w:cs="Times New Roman"/>
          <w:color w:val="auto"/>
          <w:sz w:val="32"/>
          <w:highlight w:val="none"/>
          <w:lang w:eastAsia="zh-CN"/>
        </w:rPr>
        <w:t>祁阳市</w:t>
      </w:r>
      <w:r>
        <w:rPr>
          <w:rFonts w:hint="default" w:ascii="Times New Roman" w:hAnsi="Times New Roman" w:eastAsia="仿宋_GB2312" w:cs="Times New Roman"/>
          <w:color w:val="auto"/>
          <w:sz w:val="32"/>
          <w:highlight w:val="none"/>
        </w:rPr>
        <w:t>大江水库管理所管理，水库注册登记号为：43110030006-A4。水库位于湘江一级支流白水支流昌木套河，枢纽坐落在</w:t>
      </w:r>
      <w:r>
        <w:rPr>
          <w:rFonts w:hint="eastAsia" w:ascii="Times New Roman" w:hAnsi="Times New Roman" w:eastAsia="仿宋_GB2312" w:cs="Times New Roman"/>
          <w:color w:val="auto"/>
          <w:sz w:val="32"/>
          <w:highlight w:val="none"/>
          <w:lang w:eastAsia="zh-CN"/>
        </w:rPr>
        <w:t>祁阳市</w:t>
      </w:r>
      <w:r>
        <w:rPr>
          <w:rFonts w:hint="default" w:ascii="Times New Roman" w:hAnsi="Times New Roman" w:eastAsia="仿宋_GB2312" w:cs="Times New Roman"/>
          <w:color w:val="auto"/>
          <w:sz w:val="32"/>
          <w:highlight w:val="none"/>
        </w:rPr>
        <w:t>南部的肖家镇，地理坐标为东经111°56′49＂，北纬26°17′35＂。于2002年完成除险加固。</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大江水库枢纽工程主要由大坝、引水发电建筑物、电站厂房、开关站和渠系建筑物等组成。地形以山地为主，水库岸线均为自然岸线段。水库大坝为浆砌石重力坝，坝坝顶轴线长154.50m，坝顶高程185.50m（假设高程），坝顶宽11.0m，最大坝高56.90m。溢流坝段位于河床中部，长度为24.50m，设两孔表孔溢流。溢流面堰顶高程为175.50m（假设高程）。</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水库控制集雨面积117.90km</w:t>
      </w:r>
      <w:r>
        <w:rPr>
          <w:rFonts w:hint="default" w:ascii="Times New Roman" w:hAnsi="Times New Roman" w:eastAsia="仿宋_GB2312" w:cs="Times New Roman"/>
          <w:color w:val="auto"/>
          <w:sz w:val="32"/>
          <w:highlight w:val="none"/>
          <w:vertAlign w:val="superscript"/>
        </w:rPr>
        <w:t>2</w:t>
      </w:r>
      <w:r>
        <w:rPr>
          <w:rFonts w:hint="default" w:ascii="Times New Roman" w:hAnsi="Times New Roman" w:eastAsia="仿宋_GB2312" w:cs="Times New Roman"/>
          <w:color w:val="auto"/>
          <w:sz w:val="32"/>
          <w:highlight w:val="none"/>
        </w:rPr>
        <w:t>，坝址以上干流长度6.20km，河床坡降大，为14.40‰。500年一遇水库校核洪水位184.56m（假设高程），50年一遇设计洪水位184.50m（假设高程），正常蓄水位184.50m（假设高程），死水位146.00m（假设高程）。水库总容4950万m</w:t>
      </w:r>
      <w:r>
        <w:rPr>
          <w:rFonts w:hint="default" w:ascii="Times New Roman" w:hAnsi="Times New Roman" w:eastAsia="仿宋_GB2312" w:cs="Times New Roman"/>
          <w:color w:val="auto"/>
          <w:sz w:val="32"/>
          <w:highlight w:val="none"/>
          <w:vertAlign w:val="superscript"/>
        </w:rPr>
        <w:t>3</w:t>
      </w:r>
      <w:r>
        <w:rPr>
          <w:rFonts w:hint="default" w:ascii="Times New Roman" w:hAnsi="Times New Roman" w:eastAsia="仿宋_GB2312" w:cs="Times New Roman"/>
          <w:color w:val="auto"/>
          <w:sz w:val="32"/>
          <w:highlight w:val="none"/>
        </w:rPr>
        <w:t>，死库容105万m</w:t>
      </w:r>
      <w:r>
        <w:rPr>
          <w:rFonts w:hint="default" w:ascii="Times New Roman" w:hAnsi="Times New Roman" w:eastAsia="仿宋_GB2312" w:cs="Times New Roman"/>
          <w:color w:val="auto"/>
          <w:sz w:val="32"/>
          <w:highlight w:val="none"/>
          <w:vertAlign w:val="superscript"/>
        </w:rPr>
        <w:t>3</w:t>
      </w:r>
      <w:r>
        <w:rPr>
          <w:rFonts w:hint="default" w:ascii="Times New Roman" w:hAnsi="Times New Roman" w:eastAsia="仿宋_GB2312" w:cs="Times New Roman"/>
          <w:color w:val="auto"/>
          <w:sz w:val="32"/>
          <w:highlight w:val="none"/>
        </w:rPr>
        <w:t>，兴利库容4845万m</w:t>
      </w:r>
      <w:r>
        <w:rPr>
          <w:rFonts w:hint="default" w:ascii="Times New Roman" w:hAnsi="Times New Roman" w:eastAsia="仿宋_GB2312" w:cs="Times New Roman"/>
          <w:color w:val="auto"/>
          <w:sz w:val="32"/>
          <w:highlight w:val="none"/>
          <w:vertAlign w:val="superscript"/>
        </w:rPr>
        <w:t>3</w:t>
      </w:r>
      <w:r>
        <w:rPr>
          <w:rFonts w:hint="default" w:ascii="Times New Roman" w:hAnsi="Times New Roman" w:eastAsia="仿宋_GB2312" w:cs="Times New Roman"/>
          <w:color w:val="auto"/>
          <w:sz w:val="32"/>
          <w:highlight w:val="none"/>
        </w:rPr>
        <w:t>，调洪库容355万m</w:t>
      </w:r>
      <w:r>
        <w:rPr>
          <w:rFonts w:hint="default" w:ascii="Times New Roman" w:hAnsi="Times New Roman" w:eastAsia="仿宋_GB2312" w:cs="Times New Roman"/>
          <w:color w:val="auto"/>
          <w:sz w:val="32"/>
          <w:highlight w:val="none"/>
          <w:vertAlign w:val="superscript"/>
        </w:rPr>
        <w:t>3</w:t>
      </w:r>
      <w:r>
        <w:rPr>
          <w:rFonts w:hint="default" w:ascii="Times New Roman" w:hAnsi="Times New Roman" w:eastAsia="仿宋_GB2312" w:cs="Times New Roman"/>
          <w:color w:val="auto"/>
          <w:sz w:val="32"/>
          <w:highlight w:val="none"/>
        </w:rPr>
        <w:t>，灌溉面积168400亩。是一座以灌溉、发电、防洪、供水等综合效益的中型水利工程。</w:t>
      </w:r>
    </w:p>
    <w:p>
      <w:pPr>
        <w:spacing w:line="640" w:lineRule="exact"/>
        <w:ind w:firstLine="640" w:firstLineChars="200"/>
        <w:rPr>
          <w:rFonts w:hint="default" w:ascii="Times New Roman" w:hAnsi="Times New Roman" w:eastAsia="仿宋_GB2312"/>
          <w:sz w:val="32"/>
        </w:rPr>
      </w:pPr>
      <w:r>
        <w:rPr>
          <w:rFonts w:hint="default" w:ascii="Times New Roman" w:hAnsi="Times New Roman" w:eastAsia="仿宋_GB2312"/>
          <w:sz w:val="32"/>
        </w:rPr>
        <w:t>（3）龙江桥水库</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龙江桥水库属于</w:t>
      </w:r>
      <w:r>
        <w:rPr>
          <w:rFonts w:hint="eastAsia" w:ascii="Times New Roman" w:hAnsi="Times New Roman" w:eastAsia="仿宋_GB2312" w:cs="Times New Roman"/>
          <w:color w:val="auto"/>
          <w:sz w:val="32"/>
          <w:highlight w:val="none"/>
          <w:lang w:eastAsia="zh-CN"/>
        </w:rPr>
        <w:t>祁阳市</w:t>
      </w:r>
      <w:r>
        <w:rPr>
          <w:rFonts w:hint="default" w:ascii="Times New Roman" w:hAnsi="Times New Roman" w:eastAsia="仿宋_GB2312" w:cs="Times New Roman"/>
          <w:color w:val="auto"/>
          <w:sz w:val="32"/>
          <w:highlight w:val="none"/>
        </w:rPr>
        <w:t>龙江桥水库管理所管理，水库注册登记号为：43110030005-A4。水库位于位于湘江二级支流祁水支流燕子岩溪上游，枢纽坐落在</w:t>
      </w:r>
      <w:r>
        <w:rPr>
          <w:rFonts w:hint="eastAsia" w:ascii="Times New Roman" w:hAnsi="Times New Roman" w:eastAsia="仿宋_GB2312" w:cs="Times New Roman"/>
          <w:color w:val="auto"/>
          <w:sz w:val="32"/>
          <w:highlight w:val="none"/>
          <w:lang w:eastAsia="zh-CN"/>
        </w:rPr>
        <w:t>祁阳市</w:t>
      </w:r>
      <w:r>
        <w:rPr>
          <w:rFonts w:hint="default" w:ascii="Times New Roman" w:hAnsi="Times New Roman" w:eastAsia="仿宋_GB2312" w:cs="Times New Roman"/>
          <w:color w:val="auto"/>
          <w:sz w:val="32"/>
          <w:highlight w:val="none"/>
        </w:rPr>
        <w:t>文明铺镇，坝址距</w:t>
      </w:r>
      <w:r>
        <w:rPr>
          <w:rFonts w:hint="eastAsia" w:ascii="Times New Roman" w:hAnsi="Times New Roman" w:eastAsia="仿宋_GB2312" w:cs="Times New Roman"/>
          <w:color w:val="auto"/>
          <w:sz w:val="32"/>
          <w:highlight w:val="none"/>
          <w:lang w:eastAsia="zh-CN"/>
        </w:rPr>
        <w:t>祁阳市</w:t>
      </w:r>
      <w:r>
        <w:rPr>
          <w:rFonts w:hint="default" w:ascii="Times New Roman" w:hAnsi="Times New Roman" w:eastAsia="仿宋_GB2312" w:cs="Times New Roman"/>
          <w:color w:val="auto"/>
          <w:sz w:val="32"/>
          <w:highlight w:val="none"/>
        </w:rPr>
        <w:t>城45km。地理坐标为东经111°37′41＂，北纬26°46′29＂。于2006年完成除险加固。</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龙江桥水库枢纽工程主要由大坝、溢洪道、输水涵洞等主要建筑物组成，大坝为均质土坝，最大坝高31.95m，坝顶高程239.40m（假设高程），坝顶宽度5.00m，坝顶轴线长214m，最大坝底宽173.96m。溢洪道位于大坝右岸，为开敞式正槽溢洪道，堰顶高程233.99m（假设高程），总宽度14m，消能方式为消力池底流消能。</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水库坝址控制集雨面积20.20km</w:t>
      </w:r>
      <w:r>
        <w:rPr>
          <w:rFonts w:hint="default" w:ascii="Times New Roman" w:hAnsi="Times New Roman" w:eastAsia="仿宋_GB2312" w:cs="Times New Roman"/>
          <w:color w:val="auto"/>
          <w:sz w:val="32"/>
          <w:highlight w:val="none"/>
          <w:vertAlign w:val="superscript"/>
        </w:rPr>
        <w:t>2</w:t>
      </w:r>
      <w:r>
        <w:rPr>
          <w:rFonts w:hint="default" w:ascii="Times New Roman" w:hAnsi="Times New Roman" w:eastAsia="仿宋_GB2312" w:cs="Times New Roman"/>
          <w:color w:val="auto"/>
          <w:sz w:val="32"/>
          <w:highlight w:val="none"/>
        </w:rPr>
        <w:t>，坝址以上干流长度8.34km，干流平均坡降2.90‰，总库容1102.2万m</w:t>
      </w:r>
      <w:r>
        <w:rPr>
          <w:rFonts w:hint="default" w:ascii="Times New Roman" w:hAnsi="Times New Roman" w:eastAsia="仿宋_GB2312" w:cs="Times New Roman"/>
          <w:color w:val="auto"/>
          <w:sz w:val="32"/>
          <w:highlight w:val="none"/>
          <w:vertAlign w:val="superscript"/>
        </w:rPr>
        <w:t>3</w:t>
      </w:r>
      <w:r>
        <w:rPr>
          <w:rFonts w:hint="default" w:ascii="Times New Roman" w:hAnsi="Times New Roman" w:eastAsia="仿宋_GB2312" w:cs="Times New Roman"/>
          <w:color w:val="auto"/>
          <w:sz w:val="32"/>
          <w:highlight w:val="none"/>
        </w:rPr>
        <w:t>，该水库正常蓄水位233.99m（假设高程），相应正常库容908万m</w:t>
      </w:r>
      <w:r>
        <w:rPr>
          <w:rFonts w:hint="default" w:ascii="Times New Roman" w:hAnsi="Times New Roman" w:eastAsia="仿宋_GB2312" w:cs="Times New Roman"/>
          <w:color w:val="auto"/>
          <w:sz w:val="32"/>
          <w:highlight w:val="none"/>
          <w:vertAlign w:val="superscript"/>
        </w:rPr>
        <w:t>3</w:t>
      </w:r>
      <w:r>
        <w:rPr>
          <w:rFonts w:hint="default" w:ascii="Times New Roman" w:hAnsi="Times New Roman" w:eastAsia="仿宋_GB2312" w:cs="Times New Roman"/>
          <w:color w:val="auto"/>
          <w:sz w:val="32"/>
          <w:highlight w:val="none"/>
        </w:rPr>
        <w:t>。死水位为211.06m（假设高程），相应死库容为6.00万m</w:t>
      </w:r>
      <w:r>
        <w:rPr>
          <w:rFonts w:hint="default" w:ascii="Times New Roman" w:hAnsi="Times New Roman" w:eastAsia="仿宋_GB2312" w:cs="Times New Roman"/>
          <w:color w:val="auto"/>
          <w:sz w:val="32"/>
          <w:highlight w:val="none"/>
          <w:vertAlign w:val="superscript"/>
        </w:rPr>
        <w:t>3</w:t>
      </w:r>
      <w:r>
        <w:rPr>
          <w:rFonts w:hint="default" w:ascii="Times New Roman" w:hAnsi="Times New Roman" w:eastAsia="仿宋_GB2312" w:cs="Times New Roman"/>
          <w:color w:val="auto"/>
          <w:sz w:val="32"/>
          <w:highlight w:val="none"/>
        </w:rPr>
        <w:t>。设计灌溉面积47100亩。是一座以灌溉为主，兼有防洪、养鱼等综合效益的中型水利工程。</w:t>
      </w:r>
    </w:p>
    <w:p>
      <w:pPr>
        <w:spacing w:line="640" w:lineRule="exact"/>
        <w:ind w:firstLine="640" w:firstLineChars="200"/>
        <w:rPr>
          <w:rFonts w:hint="default" w:ascii="Times New Roman" w:hAnsi="Times New Roman" w:eastAsia="仿宋_GB2312"/>
          <w:sz w:val="32"/>
        </w:rPr>
      </w:pPr>
      <w:r>
        <w:rPr>
          <w:rFonts w:hint="default" w:ascii="Times New Roman" w:hAnsi="Times New Roman" w:eastAsia="仿宋_GB2312"/>
          <w:sz w:val="32"/>
        </w:rPr>
        <w:t>（4）高彼塘水库</w:t>
      </w:r>
    </w:p>
    <w:p>
      <w:pPr>
        <w:spacing w:line="58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高彼塘水库属于</w:t>
      </w:r>
      <w:r>
        <w:rPr>
          <w:rFonts w:hint="eastAsia" w:ascii="Times New Roman" w:hAnsi="Times New Roman" w:eastAsia="仿宋_GB2312" w:cs="Times New Roman"/>
          <w:color w:val="auto"/>
          <w:sz w:val="32"/>
          <w:highlight w:val="none"/>
          <w:lang w:eastAsia="zh-CN"/>
        </w:rPr>
        <w:t>祁阳市</w:t>
      </w:r>
      <w:r>
        <w:rPr>
          <w:rFonts w:hint="default" w:ascii="Times New Roman" w:hAnsi="Times New Roman" w:eastAsia="仿宋_GB2312" w:cs="Times New Roman"/>
          <w:color w:val="auto"/>
          <w:sz w:val="32"/>
          <w:highlight w:val="none"/>
        </w:rPr>
        <w:t>长虹街道办事处管理，水库注册登记号为：43112140019-A4。水库位于位于湘江水系祁水一级支流东风水上游，枢纽坐落在</w:t>
      </w:r>
      <w:r>
        <w:rPr>
          <w:rFonts w:hint="eastAsia" w:ascii="Times New Roman" w:hAnsi="Times New Roman" w:eastAsia="仿宋_GB2312" w:cs="Times New Roman"/>
          <w:color w:val="auto"/>
          <w:sz w:val="32"/>
          <w:highlight w:val="none"/>
          <w:lang w:eastAsia="zh-CN"/>
        </w:rPr>
        <w:t>祁阳市</w:t>
      </w:r>
      <w:r>
        <w:rPr>
          <w:rFonts w:hint="default" w:ascii="Times New Roman" w:hAnsi="Times New Roman" w:eastAsia="仿宋_GB2312" w:cs="Times New Roman"/>
          <w:color w:val="auto"/>
          <w:sz w:val="32"/>
          <w:highlight w:val="none"/>
        </w:rPr>
        <w:t>长虹街道办事处东风社区，距</w:t>
      </w:r>
      <w:r>
        <w:rPr>
          <w:rFonts w:hint="eastAsia" w:ascii="Times New Roman" w:hAnsi="Times New Roman" w:eastAsia="仿宋_GB2312" w:cs="Times New Roman"/>
          <w:color w:val="auto"/>
          <w:sz w:val="32"/>
          <w:highlight w:val="none"/>
          <w:lang w:eastAsia="zh-CN"/>
        </w:rPr>
        <w:t>祁阳市</w:t>
      </w:r>
      <w:r>
        <w:rPr>
          <w:rFonts w:hint="default" w:ascii="Times New Roman" w:hAnsi="Times New Roman" w:eastAsia="仿宋_GB2312" w:cs="Times New Roman"/>
          <w:color w:val="auto"/>
          <w:sz w:val="32"/>
          <w:highlight w:val="none"/>
        </w:rPr>
        <w:t>城6km。地理坐标为东经111°48′42＂，北纬26°38′09＂。于2010年完成除险加固。</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高彼塘水库枢纽工程主要由主、副坝、溢洪道、输水高低涵洞和进水卧管等组成。主坝为均质土坝，现状坝顶轴线长140.00m，坝顶宽4.58m，最大坝高为14.58m，坝顶高程为127.67m（56黄海高程）。副坝坝顶高程127.51m，最大坝高11.00m，坝顶长度85.00m，坝顶宽度4.11m；主坝右侧溢洪道位于主坝右侧，堰型为宽顶堰，堰顶高程127.00m（56黄海高程），堰顶宽8m。</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高彼塘水库坝址以上控制流域面积为2.59km</w:t>
      </w:r>
      <w:r>
        <w:rPr>
          <w:rFonts w:hint="default" w:ascii="Times New Roman" w:hAnsi="Times New Roman" w:eastAsia="仿宋_GB2312" w:cs="Times New Roman"/>
          <w:color w:val="auto"/>
          <w:sz w:val="32"/>
          <w:highlight w:val="none"/>
          <w:vertAlign w:val="superscript"/>
        </w:rPr>
        <w:t>2</w:t>
      </w:r>
      <w:r>
        <w:rPr>
          <w:rFonts w:hint="default" w:ascii="Times New Roman" w:hAnsi="Times New Roman" w:eastAsia="仿宋_GB2312" w:cs="Times New Roman"/>
          <w:color w:val="auto"/>
          <w:sz w:val="32"/>
          <w:highlight w:val="none"/>
        </w:rPr>
        <w:t>，干流长度为3.15km，干流平均坡降为10.09‰。总库容174.10万m</w:t>
      </w:r>
      <w:r>
        <w:rPr>
          <w:rFonts w:hint="default" w:ascii="Times New Roman" w:hAnsi="Times New Roman" w:eastAsia="仿宋_GB2312" w:cs="Times New Roman"/>
          <w:color w:val="auto"/>
          <w:sz w:val="32"/>
          <w:highlight w:val="none"/>
          <w:vertAlign w:val="superscript"/>
        </w:rPr>
        <w:t>3</w:t>
      </w:r>
      <w:r>
        <w:rPr>
          <w:rFonts w:hint="default" w:ascii="Times New Roman" w:hAnsi="Times New Roman" w:eastAsia="仿宋_GB2312" w:cs="Times New Roman"/>
          <w:color w:val="auto"/>
          <w:sz w:val="32"/>
          <w:highlight w:val="none"/>
        </w:rPr>
        <w:t>，水库正常蓄水位为127.00m（56黄海高程），相应正常库容为148.00万m</w:t>
      </w:r>
      <w:r>
        <w:rPr>
          <w:rFonts w:hint="default" w:ascii="Times New Roman" w:hAnsi="Times New Roman" w:eastAsia="仿宋_GB2312" w:cs="Times New Roman"/>
          <w:color w:val="auto"/>
          <w:sz w:val="32"/>
          <w:highlight w:val="none"/>
          <w:vertAlign w:val="superscript"/>
        </w:rPr>
        <w:t>3</w:t>
      </w:r>
      <w:r>
        <w:rPr>
          <w:rFonts w:hint="default" w:ascii="Times New Roman" w:hAnsi="Times New Roman" w:eastAsia="仿宋_GB2312" w:cs="Times New Roman"/>
          <w:color w:val="auto"/>
          <w:sz w:val="32"/>
          <w:highlight w:val="none"/>
        </w:rPr>
        <w:t>；30年一遇设计洪水位127.36m（56黄海高程），相应库容为166.9万m</w:t>
      </w:r>
      <w:r>
        <w:rPr>
          <w:rFonts w:hint="default" w:ascii="Times New Roman" w:hAnsi="Times New Roman" w:eastAsia="仿宋_GB2312" w:cs="Times New Roman"/>
          <w:color w:val="auto"/>
          <w:sz w:val="32"/>
          <w:highlight w:val="none"/>
          <w:vertAlign w:val="superscript"/>
        </w:rPr>
        <w:t>3</w:t>
      </w:r>
      <w:r>
        <w:rPr>
          <w:rFonts w:hint="default" w:ascii="Times New Roman" w:hAnsi="Times New Roman" w:eastAsia="仿宋_GB2312" w:cs="Times New Roman"/>
          <w:color w:val="auto"/>
          <w:sz w:val="32"/>
          <w:highlight w:val="none"/>
        </w:rPr>
        <w:t>；死水位为116.00m（56黄海高程），相应死库容为0.7万m</w:t>
      </w:r>
      <w:r>
        <w:rPr>
          <w:rFonts w:hint="default" w:ascii="Times New Roman" w:hAnsi="Times New Roman" w:eastAsia="仿宋_GB2312" w:cs="Times New Roman"/>
          <w:color w:val="auto"/>
          <w:sz w:val="32"/>
          <w:highlight w:val="none"/>
          <w:vertAlign w:val="superscript"/>
        </w:rPr>
        <w:t>3</w:t>
      </w:r>
      <w:r>
        <w:rPr>
          <w:rFonts w:hint="default" w:ascii="Times New Roman" w:hAnsi="Times New Roman" w:eastAsia="仿宋_GB2312" w:cs="Times New Roman"/>
          <w:color w:val="auto"/>
          <w:sz w:val="32"/>
          <w:highlight w:val="none"/>
        </w:rPr>
        <w:t>。设计灌溉面积0.46万亩，实际灌溉面积0.35万亩。是一座以灌溉为主，兼顾防洪、养鱼等综合利用的小（1）型水利工程。</w:t>
      </w:r>
    </w:p>
    <w:p>
      <w:pPr>
        <w:spacing w:line="640" w:lineRule="exact"/>
        <w:ind w:firstLine="640" w:firstLineChars="200"/>
        <w:rPr>
          <w:rFonts w:hint="default" w:ascii="Times New Roman" w:hAnsi="Times New Roman" w:eastAsia="仿宋_GB2312"/>
          <w:sz w:val="32"/>
        </w:rPr>
      </w:pPr>
      <w:r>
        <w:rPr>
          <w:rFonts w:hint="default" w:ascii="Times New Roman" w:hAnsi="Times New Roman" w:eastAsia="仿宋_GB2312"/>
          <w:sz w:val="32"/>
        </w:rPr>
        <w:t>（5）四角丘水库</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四角丘水库属于</w:t>
      </w:r>
      <w:r>
        <w:rPr>
          <w:rFonts w:hint="eastAsia" w:ascii="Times New Roman" w:hAnsi="Times New Roman" w:eastAsia="仿宋_GB2312" w:cs="Times New Roman"/>
          <w:color w:val="auto"/>
          <w:sz w:val="32"/>
          <w:highlight w:val="none"/>
          <w:lang w:eastAsia="zh-CN"/>
        </w:rPr>
        <w:t>祁阳市</w:t>
      </w:r>
      <w:r>
        <w:rPr>
          <w:rFonts w:hint="default" w:ascii="Times New Roman" w:hAnsi="Times New Roman" w:eastAsia="仿宋_GB2312" w:cs="Times New Roman"/>
          <w:color w:val="auto"/>
          <w:sz w:val="32"/>
          <w:highlight w:val="none"/>
        </w:rPr>
        <w:t>龚家坪镇人民政府管理，水库注册登记号为：43112140012-A4。水库位于位于湘江水系祁水一级支流古木堰水上，枢纽坐落在</w:t>
      </w:r>
      <w:r>
        <w:rPr>
          <w:rFonts w:hint="eastAsia" w:ascii="Times New Roman" w:hAnsi="Times New Roman" w:eastAsia="仿宋_GB2312" w:cs="Times New Roman"/>
          <w:color w:val="auto"/>
          <w:sz w:val="32"/>
          <w:highlight w:val="none"/>
          <w:lang w:eastAsia="zh-CN"/>
        </w:rPr>
        <w:t>祁阳市</w:t>
      </w:r>
      <w:r>
        <w:rPr>
          <w:rFonts w:hint="default" w:ascii="Times New Roman" w:hAnsi="Times New Roman" w:eastAsia="仿宋_GB2312" w:cs="Times New Roman"/>
          <w:color w:val="auto"/>
          <w:sz w:val="32"/>
          <w:highlight w:val="none"/>
        </w:rPr>
        <w:t>龚家坪镇四角丘村境内，距龚家坪镇8km。地理坐标为东经111°39′05＂，北纬26°49′33＂。于2010年完成除险加固。</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枢纽工程主要包括大坝、溢洪道、输水建筑物和灌区建筑物等。大坝为均质土坝，坝顶高程246.51m（假设高程），最大坝高33.0m；坝顶宽度4.85m，坝顶轴线长130.6m。溢洪道位于大坝右岸，为正槽式宽顶堰，由溢流堰、槽身段组成，堰顶高程244.00m（假设高程），溢洪道过水宽度9.00m。</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坝址以上控制流域集水面积4.74 km</w:t>
      </w:r>
      <w:r>
        <w:rPr>
          <w:rFonts w:hint="default" w:ascii="Times New Roman" w:hAnsi="Times New Roman" w:eastAsia="仿宋_GB2312" w:cs="Times New Roman"/>
          <w:color w:val="auto"/>
          <w:sz w:val="32"/>
          <w:highlight w:val="none"/>
          <w:vertAlign w:val="superscript"/>
        </w:rPr>
        <w:t>2</w:t>
      </w:r>
      <w:r>
        <w:rPr>
          <w:rFonts w:hint="default" w:ascii="Times New Roman" w:hAnsi="Times New Roman" w:eastAsia="仿宋_GB2312" w:cs="Times New Roman"/>
          <w:color w:val="auto"/>
          <w:sz w:val="32"/>
          <w:highlight w:val="none"/>
        </w:rPr>
        <w:t>，多年平均降雨量1375.3mm。总库容为243.30 万m</w:t>
      </w:r>
      <w:r>
        <w:rPr>
          <w:rFonts w:hint="default" w:ascii="Times New Roman" w:hAnsi="Times New Roman" w:eastAsia="仿宋_GB2312" w:cs="Times New Roman"/>
          <w:color w:val="auto"/>
          <w:sz w:val="32"/>
          <w:highlight w:val="none"/>
          <w:vertAlign w:val="superscript"/>
        </w:rPr>
        <w:t>3</w:t>
      </w:r>
      <w:r>
        <w:rPr>
          <w:rFonts w:hint="default" w:ascii="Times New Roman" w:hAnsi="Times New Roman" w:eastAsia="仿宋_GB2312" w:cs="Times New Roman"/>
          <w:color w:val="auto"/>
          <w:sz w:val="32"/>
          <w:highlight w:val="none"/>
        </w:rPr>
        <w:t>，水库正常蓄水位为244.00m（假设高程），相应正常库容为212.5万m</w:t>
      </w:r>
      <w:r>
        <w:rPr>
          <w:rFonts w:hint="default" w:ascii="Times New Roman" w:hAnsi="Times New Roman" w:eastAsia="仿宋_GB2312" w:cs="Times New Roman"/>
          <w:color w:val="auto"/>
          <w:sz w:val="32"/>
          <w:highlight w:val="none"/>
          <w:vertAlign w:val="superscript"/>
        </w:rPr>
        <w:t>3</w:t>
      </w:r>
      <w:r>
        <w:rPr>
          <w:rFonts w:hint="default" w:ascii="Times New Roman" w:hAnsi="Times New Roman" w:eastAsia="仿宋_GB2312" w:cs="Times New Roman"/>
          <w:color w:val="auto"/>
          <w:sz w:val="32"/>
          <w:highlight w:val="none"/>
        </w:rPr>
        <w:t>；死水位为214.80m（假设高程），相应死库容为4.4万m</w:t>
      </w:r>
      <w:r>
        <w:rPr>
          <w:rFonts w:hint="default" w:ascii="Times New Roman" w:hAnsi="Times New Roman" w:eastAsia="仿宋_GB2312" w:cs="Times New Roman"/>
          <w:color w:val="auto"/>
          <w:sz w:val="32"/>
          <w:highlight w:val="none"/>
          <w:vertAlign w:val="superscript"/>
        </w:rPr>
        <w:t>3</w:t>
      </w:r>
      <w:r>
        <w:rPr>
          <w:rFonts w:hint="default" w:ascii="Times New Roman" w:hAnsi="Times New Roman" w:eastAsia="仿宋_GB2312" w:cs="Times New Roman"/>
          <w:color w:val="auto"/>
          <w:sz w:val="32"/>
          <w:highlight w:val="none"/>
        </w:rPr>
        <w:t>。该水库主要是承担农业灌溉，同时兼顾防洪功能。其中设计灌溉面积0.50万亩，保护耕地面积5100亩，保护人口8000人。是一座以灌溉为主，兼顾防洪保安、养鱼等综合效益的小（1）型水利工程。</w:t>
      </w:r>
    </w:p>
    <w:p>
      <w:pPr>
        <w:spacing w:line="640" w:lineRule="exact"/>
        <w:ind w:firstLine="640" w:firstLineChars="200"/>
        <w:rPr>
          <w:rFonts w:hint="default" w:ascii="Times New Roman" w:hAnsi="Times New Roman" w:eastAsia="仿宋_GB2312"/>
          <w:sz w:val="32"/>
        </w:rPr>
      </w:pPr>
      <w:r>
        <w:rPr>
          <w:rFonts w:hint="default" w:ascii="Times New Roman" w:hAnsi="Times New Roman" w:eastAsia="仿宋_GB2312"/>
          <w:sz w:val="32"/>
        </w:rPr>
        <w:t>（6）东江源水库</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东江源水库属于</w:t>
      </w:r>
      <w:r>
        <w:rPr>
          <w:rFonts w:hint="eastAsia" w:ascii="Times New Roman" w:hAnsi="Times New Roman" w:eastAsia="仿宋_GB2312" w:cs="Times New Roman"/>
          <w:color w:val="auto"/>
          <w:sz w:val="32"/>
          <w:highlight w:val="none"/>
          <w:lang w:eastAsia="zh-CN"/>
        </w:rPr>
        <w:t>祁阳市</w:t>
      </w:r>
      <w:r>
        <w:rPr>
          <w:rFonts w:hint="default" w:ascii="Times New Roman" w:hAnsi="Times New Roman" w:eastAsia="仿宋_GB2312" w:cs="Times New Roman"/>
          <w:color w:val="auto"/>
          <w:sz w:val="32"/>
          <w:highlight w:val="none"/>
        </w:rPr>
        <w:t>潘市镇水利水电管理站管理，水库注册登记号为：43112140024-A4。水库位于湘江支流祁水上游，枢纽坐落在</w:t>
      </w:r>
      <w:r>
        <w:rPr>
          <w:rFonts w:hint="eastAsia" w:ascii="Times New Roman" w:hAnsi="Times New Roman" w:eastAsia="仿宋_GB2312" w:cs="Times New Roman"/>
          <w:color w:val="auto"/>
          <w:sz w:val="32"/>
          <w:highlight w:val="none"/>
          <w:lang w:eastAsia="zh-CN"/>
        </w:rPr>
        <w:t>祁阳市</w:t>
      </w:r>
      <w:r>
        <w:rPr>
          <w:rFonts w:hint="default" w:ascii="Times New Roman" w:hAnsi="Times New Roman" w:eastAsia="仿宋_GB2312" w:cs="Times New Roman"/>
          <w:color w:val="auto"/>
          <w:sz w:val="32"/>
          <w:highlight w:val="none"/>
        </w:rPr>
        <w:t>潘市镇曾家岐村，距</w:t>
      </w:r>
      <w:r>
        <w:rPr>
          <w:rFonts w:hint="eastAsia" w:ascii="Times New Roman" w:hAnsi="Times New Roman" w:eastAsia="仿宋_GB2312" w:cs="Times New Roman"/>
          <w:color w:val="auto"/>
          <w:sz w:val="32"/>
          <w:highlight w:val="none"/>
          <w:lang w:eastAsia="zh-CN"/>
        </w:rPr>
        <w:t>祁阳市</w:t>
      </w:r>
      <w:r>
        <w:rPr>
          <w:rFonts w:hint="default" w:ascii="Times New Roman" w:hAnsi="Times New Roman" w:eastAsia="仿宋_GB2312" w:cs="Times New Roman"/>
          <w:color w:val="auto"/>
          <w:sz w:val="32"/>
          <w:highlight w:val="none"/>
        </w:rPr>
        <w:t>城</w:t>
      </w:r>
      <w:r>
        <w:rPr>
          <w:rFonts w:hint="eastAsia" w:ascii="Times New Roman" w:hAnsi="Times New Roman" w:eastAsia="仿宋_GB2312" w:cs="Times New Roman"/>
          <w:color w:val="auto"/>
          <w:sz w:val="32"/>
          <w:highlight w:val="none"/>
          <w:lang w:eastAsia="zh-CN"/>
        </w:rPr>
        <w:t>区</w:t>
      </w:r>
      <w:r>
        <w:rPr>
          <w:rFonts w:hint="default" w:ascii="Times New Roman" w:hAnsi="Times New Roman" w:eastAsia="仿宋_GB2312" w:cs="Times New Roman"/>
          <w:color w:val="auto"/>
          <w:sz w:val="32"/>
          <w:highlight w:val="none"/>
        </w:rPr>
        <w:t>35km，距祁羊公路1km。地理坐标为东经111°59′18＂，北纬26°29′11＂。东江源水库于1965年9月建成，于2010年完成除险加固。</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枢纽工程主要包括大坝、溢洪道、输水设施等主要建筑物构成。工程等级为Ⅳ等，主要建筑物为4级，次要建筑物为5级。大坝为粘土心墙坝，最大坝高32.00m，坝顶宽度3.60m，坝顶高程124.60m（假设高程），坝长125.00m。溢洪道位于大坝左岸坝端，型式为宽顶堰，堰顶高程118.90m（假设高程），堰顶宽4m。</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水库控制集水面积为6.00 km</w:t>
      </w:r>
      <w:r>
        <w:rPr>
          <w:rFonts w:hint="default" w:ascii="Times New Roman" w:hAnsi="Times New Roman" w:eastAsia="仿宋_GB2312" w:cs="Times New Roman"/>
          <w:color w:val="auto"/>
          <w:sz w:val="32"/>
          <w:highlight w:val="none"/>
          <w:vertAlign w:val="superscript"/>
        </w:rPr>
        <w:t>2</w:t>
      </w:r>
      <w:r>
        <w:rPr>
          <w:rFonts w:hint="default" w:ascii="Times New Roman" w:hAnsi="Times New Roman" w:eastAsia="仿宋_GB2312" w:cs="Times New Roman"/>
          <w:color w:val="auto"/>
          <w:sz w:val="32"/>
          <w:highlight w:val="none"/>
        </w:rPr>
        <w:t>，干流长4.00km，干流平均坡降20‰。总库容174.98万m</w:t>
      </w:r>
      <w:r>
        <w:rPr>
          <w:rFonts w:hint="default" w:ascii="Times New Roman" w:hAnsi="Times New Roman" w:eastAsia="仿宋_GB2312" w:cs="Times New Roman"/>
          <w:color w:val="auto"/>
          <w:sz w:val="32"/>
          <w:highlight w:val="none"/>
          <w:vertAlign w:val="superscript"/>
        </w:rPr>
        <w:t>3</w:t>
      </w:r>
      <w:r>
        <w:rPr>
          <w:rFonts w:hint="default" w:ascii="Times New Roman" w:hAnsi="Times New Roman" w:eastAsia="仿宋_GB2312" w:cs="Times New Roman"/>
          <w:color w:val="auto"/>
          <w:sz w:val="32"/>
          <w:highlight w:val="none"/>
        </w:rPr>
        <w:t>，水库正常蓄水位为118.90m（假设高程），正常库容118.80万m</w:t>
      </w:r>
      <w:r>
        <w:rPr>
          <w:rFonts w:hint="default" w:ascii="Times New Roman" w:hAnsi="Times New Roman" w:eastAsia="仿宋_GB2312" w:cs="Times New Roman"/>
          <w:color w:val="auto"/>
          <w:sz w:val="32"/>
          <w:highlight w:val="none"/>
          <w:vertAlign w:val="superscript"/>
        </w:rPr>
        <w:t>3</w:t>
      </w:r>
      <w:r>
        <w:rPr>
          <w:rFonts w:hint="default" w:ascii="Times New Roman" w:hAnsi="Times New Roman" w:eastAsia="仿宋_GB2312" w:cs="Times New Roman"/>
          <w:color w:val="auto"/>
          <w:sz w:val="32"/>
          <w:highlight w:val="none"/>
        </w:rPr>
        <w:t>，死水位93m（假设高程），死库容7.60万m</w:t>
      </w:r>
      <w:r>
        <w:rPr>
          <w:rFonts w:hint="default" w:ascii="Times New Roman" w:hAnsi="Times New Roman" w:eastAsia="仿宋_GB2312" w:cs="Times New Roman"/>
          <w:color w:val="auto"/>
          <w:sz w:val="32"/>
          <w:highlight w:val="none"/>
          <w:vertAlign w:val="superscript"/>
        </w:rPr>
        <w:t>3</w:t>
      </w:r>
      <w:r>
        <w:rPr>
          <w:rFonts w:hint="default" w:ascii="Times New Roman" w:hAnsi="Times New Roman" w:eastAsia="仿宋_GB2312" w:cs="Times New Roman"/>
          <w:color w:val="auto"/>
          <w:sz w:val="32"/>
          <w:highlight w:val="none"/>
        </w:rPr>
        <w:t>。设计灌溉面积5600亩，实际灌溉面积5000亩。该水库是一座以灌溉为主，兼顾养殖的小（1）型水利工程。</w:t>
      </w:r>
    </w:p>
    <w:p>
      <w:pPr>
        <w:spacing w:line="640" w:lineRule="exact"/>
        <w:ind w:firstLine="640" w:firstLineChars="200"/>
        <w:rPr>
          <w:rFonts w:hint="default" w:ascii="Times New Roman" w:hAnsi="Times New Roman" w:eastAsia="仿宋_GB2312"/>
          <w:sz w:val="32"/>
        </w:rPr>
      </w:pPr>
      <w:r>
        <w:rPr>
          <w:rFonts w:hint="default" w:ascii="Times New Roman" w:hAnsi="Times New Roman" w:eastAsia="仿宋_GB2312"/>
          <w:sz w:val="32"/>
        </w:rPr>
        <w:t>（7）丁源冲水库</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丁源冲水库属于</w:t>
      </w:r>
      <w:r>
        <w:rPr>
          <w:rFonts w:hint="eastAsia" w:ascii="Times New Roman" w:hAnsi="Times New Roman" w:eastAsia="仿宋_GB2312" w:cs="Times New Roman"/>
          <w:color w:val="auto"/>
          <w:sz w:val="32"/>
          <w:highlight w:val="none"/>
          <w:lang w:eastAsia="zh-CN"/>
        </w:rPr>
        <w:t>祁阳市</w:t>
      </w:r>
      <w:r>
        <w:rPr>
          <w:rFonts w:hint="default" w:ascii="Times New Roman" w:hAnsi="Times New Roman" w:eastAsia="仿宋_GB2312" w:cs="Times New Roman"/>
          <w:color w:val="auto"/>
          <w:sz w:val="32"/>
          <w:highlight w:val="none"/>
        </w:rPr>
        <w:t>文富市镇人民政府管理，水库注册登记号为：43112140014-A4。水库位于湘江一级支流祁水河的支流上游，水库枢纽位于</w:t>
      </w:r>
      <w:r>
        <w:rPr>
          <w:rFonts w:hint="eastAsia" w:ascii="Times New Roman" w:hAnsi="Times New Roman" w:eastAsia="仿宋_GB2312" w:cs="Times New Roman"/>
          <w:color w:val="auto"/>
          <w:sz w:val="32"/>
          <w:highlight w:val="none"/>
          <w:lang w:eastAsia="zh-CN"/>
        </w:rPr>
        <w:t>祁阳市</w:t>
      </w:r>
      <w:r>
        <w:rPr>
          <w:rFonts w:hint="default" w:ascii="Times New Roman" w:hAnsi="Times New Roman" w:eastAsia="仿宋_GB2312" w:cs="Times New Roman"/>
          <w:color w:val="auto"/>
          <w:sz w:val="32"/>
          <w:highlight w:val="none"/>
        </w:rPr>
        <w:t>文富市镇南河岭村境内。水库大坝距离</w:t>
      </w:r>
      <w:r>
        <w:rPr>
          <w:rFonts w:hint="eastAsia" w:ascii="Times New Roman" w:hAnsi="Times New Roman" w:eastAsia="仿宋_GB2312" w:cs="Times New Roman"/>
          <w:color w:val="auto"/>
          <w:sz w:val="32"/>
          <w:highlight w:val="none"/>
          <w:lang w:eastAsia="zh-CN"/>
        </w:rPr>
        <w:t>祁阳市</w:t>
      </w:r>
      <w:r>
        <w:rPr>
          <w:rFonts w:hint="default" w:ascii="Times New Roman" w:hAnsi="Times New Roman" w:eastAsia="仿宋_GB2312" w:cs="Times New Roman"/>
          <w:color w:val="auto"/>
          <w:sz w:val="32"/>
          <w:highlight w:val="none"/>
        </w:rPr>
        <w:t>城</w:t>
      </w:r>
      <w:r>
        <w:rPr>
          <w:rFonts w:hint="eastAsia" w:ascii="Times New Roman" w:hAnsi="Times New Roman" w:eastAsia="仿宋_GB2312" w:cs="Times New Roman"/>
          <w:color w:val="auto"/>
          <w:sz w:val="32"/>
          <w:highlight w:val="none"/>
          <w:lang w:eastAsia="zh-CN"/>
        </w:rPr>
        <w:t>区</w:t>
      </w:r>
      <w:r>
        <w:rPr>
          <w:rFonts w:hint="default" w:ascii="Times New Roman" w:hAnsi="Times New Roman" w:eastAsia="仿宋_GB2312" w:cs="Times New Roman"/>
          <w:color w:val="auto"/>
          <w:sz w:val="32"/>
          <w:highlight w:val="none"/>
        </w:rPr>
        <w:t>25km，距322国道及湘桂县1.5km。地理坐标为东经111°51′32＂，北纬26°44′40＂。丁源冲水库大坝于1958年9月动工修建，1959年12月竣工，于2009年完成除险加固。</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枢纽工程主要由大坝、溢洪道、输水涵等组成。大坝为均质土坝，最大坝高26.00m，坝顶宽度8.00m，坝底宽173.00m，坝顶高程122.00m（假设高程），坝长147.00m。溢洪道位于大坝右岸，为侧槽式宽顶堰，溢洪道长120.00m，堰顶高程119.00m（假设高程），堰顶宽4.50m。</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水库控制集雨面积4.7 km</w:t>
      </w:r>
      <w:r>
        <w:rPr>
          <w:rFonts w:hint="default" w:ascii="Times New Roman" w:hAnsi="Times New Roman" w:eastAsia="仿宋_GB2312" w:cs="Times New Roman"/>
          <w:color w:val="auto"/>
          <w:sz w:val="32"/>
          <w:highlight w:val="none"/>
          <w:vertAlign w:val="superscript"/>
        </w:rPr>
        <w:t>2</w:t>
      </w:r>
      <w:r>
        <w:rPr>
          <w:rFonts w:hint="default" w:ascii="Times New Roman" w:hAnsi="Times New Roman" w:eastAsia="仿宋_GB2312" w:cs="Times New Roman"/>
          <w:color w:val="auto"/>
          <w:sz w:val="32"/>
          <w:highlight w:val="none"/>
        </w:rPr>
        <w:t>，坝址以上干流长3km，干流平均坡降20‰。水库总库容257.20万m</w:t>
      </w:r>
      <w:r>
        <w:rPr>
          <w:rFonts w:hint="default" w:ascii="Times New Roman" w:hAnsi="Times New Roman" w:eastAsia="仿宋_GB2312" w:cs="Times New Roman"/>
          <w:color w:val="auto"/>
          <w:sz w:val="32"/>
          <w:highlight w:val="none"/>
          <w:vertAlign w:val="superscript"/>
        </w:rPr>
        <w:t>3</w:t>
      </w:r>
      <w:r>
        <w:rPr>
          <w:rFonts w:hint="default" w:ascii="Times New Roman" w:hAnsi="Times New Roman" w:eastAsia="仿宋_GB2312" w:cs="Times New Roman"/>
          <w:color w:val="auto"/>
          <w:sz w:val="32"/>
          <w:highlight w:val="none"/>
        </w:rPr>
        <w:t>，正常蓄水位119.00m（假设高程），正常库容216.00万m</w:t>
      </w:r>
      <w:r>
        <w:rPr>
          <w:rFonts w:hint="default" w:ascii="Times New Roman" w:hAnsi="Times New Roman" w:eastAsia="仿宋_GB2312" w:cs="Times New Roman"/>
          <w:color w:val="auto"/>
          <w:sz w:val="32"/>
          <w:highlight w:val="none"/>
          <w:vertAlign w:val="superscript"/>
        </w:rPr>
        <w:t>3</w:t>
      </w:r>
      <w:r>
        <w:rPr>
          <w:rFonts w:hint="default" w:ascii="Times New Roman" w:hAnsi="Times New Roman" w:eastAsia="仿宋_GB2312" w:cs="Times New Roman"/>
          <w:color w:val="auto"/>
          <w:sz w:val="32"/>
          <w:highlight w:val="none"/>
        </w:rPr>
        <w:t>，死水位100.00m（假设高程），死库容7.50万m</w:t>
      </w:r>
      <w:r>
        <w:rPr>
          <w:rFonts w:hint="default" w:ascii="Times New Roman" w:hAnsi="Times New Roman" w:eastAsia="仿宋_GB2312" w:cs="Times New Roman"/>
          <w:color w:val="auto"/>
          <w:sz w:val="32"/>
          <w:highlight w:val="none"/>
          <w:vertAlign w:val="superscript"/>
        </w:rPr>
        <w:t>3</w:t>
      </w:r>
      <w:r>
        <w:rPr>
          <w:rFonts w:hint="default" w:ascii="Times New Roman" w:hAnsi="Times New Roman" w:eastAsia="仿宋_GB2312" w:cs="Times New Roman"/>
          <w:color w:val="auto"/>
          <w:sz w:val="32"/>
          <w:highlight w:val="none"/>
        </w:rPr>
        <w:t>。灌溉农田4900亩；丁源冲水库是一座以灌溉为主，兼顾养殖的小（1）型水利工程。</w:t>
      </w:r>
    </w:p>
    <w:p>
      <w:pPr>
        <w:spacing w:line="640" w:lineRule="exact"/>
        <w:ind w:firstLine="640" w:firstLineChars="200"/>
        <w:rPr>
          <w:rFonts w:hint="default" w:ascii="Times New Roman" w:hAnsi="Times New Roman" w:eastAsia="仿宋_GB2312"/>
          <w:sz w:val="32"/>
        </w:rPr>
      </w:pPr>
      <w:r>
        <w:rPr>
          <w:rFonts w:hint="default" w:ascii="Times New Roman" w:hAnsi="Times New Roman" w:eastAsia="仿宋_GB2312"/>
          <w:sz w:val="32"/>
        </w:rPr>
        <w:t>（8）陶家冲水库</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陶家冲水库属于</w:t>
      </w:r>
      <w:r>
        <w:rPr>
          <w:rFonts w:hint="eastAsia" w:ascii="Times New Roman" w:hAnsi="Times New Roman" w:eastAsia="仿宋_GB2312" w:cs="Times New Roman"/>
          <w:color w:val="auto"/>
          <w:sz w:val="32"/>
          <w:highlight w:val="none"/>
          <w:lang w:eastAsia="zh-CN"/>
        </w:rPr>
        <w:t>祁阳市</w:t>
      </w:r>
      <w:r>
        <w:rPr>
          <w:rFonts w:hint="default" w:ascii="Times New Roman" w:hAnsi="Times New Roman" w:eastAsia="仿宋_GB2312" w:cs="Times New Roman"/>
          <w:color w:val="auto"/>
          <w:sz w:val="32"/>
          <w:highlight w:val="none"/>
        </w:rPr>
        <w:t>黎家坪镇人民政府管理，水库注册登记号为：43112140015-A4。水库位于湘江一级支流祁水水系，水库枢纽位于湖南省</w:t>
      </w:r>
      <w:r>
        <w:rPr>
          <w:rFonts w:hint="eastAsia" w:ascii="Times New Roman" w:hAnsi="Times New Roman" w:eastAsia="仿宋_GB2312" w:cs="Times New Roman"/>
          <w:color w:val="auto"/>
          <w:sz w:val="32"/>
          <w:highlight w:val="none"/>
          <w:lang w:eastAsia="zh-CN"/>
        </w:rPr>
        <w:t>祁阳市</w:t>
      </w:r>
      <w:r>
        <w:rPr>
          <w:rFonts w:hint="default" w:ascii="Times New Roman" w:hAnsi="Times New Roman" w:eastAsia="仿宋_GB2312" w:cs="Times New Roman"/>
          <w:color w:val="auto"/>
          <w:sz w:val="32"/>
          <w:highlight w:val="none"/>
        </w:rPr>
        <w:t>黎家坪镇三冲村。地理坐标为东经111°51′30＂，北纬26°43′11＂。陶家冲水库于1970年12月建成，于2009年完成除险加固。</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水库枢纽建筑物主要由大坝、溢洪道、灌溉输水高涵、低涵等建筑物组成。大坝坝型为均质土坝，坝顶高程159.4m（假设高程），最大坝高29.00m，坝长146.00m，坝顶宽5.00m。溢洪道位于大坝右岸，开敞式溢洪道，溢流堰为宽顶堰，堰顶高程154.50m（假设高程），堰顶宽度4.00m，采用面流消能。</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陶家冲水库水库控制集雨面积2.70km</w:t>
      </w:r>
      <w:r>
        <w:rPr>
          <w:rFonts w:hint="default" w:ascii="Times New Roman" w:hAnsi="Times New Roman" w:eastAsia="仿宋_GB2312" w:cs="Times New Roman"/>
          <w:color w:val="auto"/>
          <w:sz w:val="32"/>
          <w:highlight w:val="none"/>
          <w:vertAlign w:val="superscript"/>
        </w:rPr>
        <w:t>2</w:t>
      </w:r>
      <w:r>
        <w:rPr>
          <w:rFonts w:hint="default" w:ascii="Times New Roman" w:hAnsi="Times New Roman" w:eastAsia="仿宋_GB2312" w:cs="Times New Roman"/>
          <w:color w:val="auto"/>
          <w:sz w:val="32"/>
          <w:highlight w:val="none"/>
        </w:rPr>
        <w:t>，坝址以上干流长度1.72km，干流平均坡降13.6‰。总库容128.34万m</w:t>
      </w:r>
      <w:r>
        <w:rPr>
          <w:rFonts w:hint="default" w:ascii="Times New Roman" w:hAnsi="Times New Roman" w:eastAsia="仿宋_GB2312" w:cs="Times New Roman"/>
          <w:color w:val="auto"/>
          <w:sz w:val="32"/>
          <w:highlight w:val="none"/>
          <w:vertAlign w:val="superscript"/>
        </w:rPr>
        <w:t>3</w:t>
      </w:r>
      <w:r>
        <w:rPr>
          <w:rFonts w:hint="default" w:ascii="Times New Roman" w:hAnsi="Times New Roman" w:eastAsia="仿宋_GB2312" w:cs="Times New Roman"/>
          <w:color w:val="auto"/>
          <w:sz w:val="32"/>
          <w:highlight w:val="none"/>
        </w:rPr>
        <w:t>，水库设计正常蓄水位154.50m（假设高程），正常库容107.80万m</w:t>
      </w:r>
      <w:r>
        <w:rPr>
          <w:rFonts w:hint="default" w:ascii="Times New Roman" w:hAnsi="Times New Roman" w:eastAsia="仿宋_GB2312" w:cs="Times New Roman"/>
          <w:color w:val="auto"/>
          <w:sz w:val="32"/>
          <w:highlight w:val="none"/>
          <w:vertAlign w:val="superscript"/>
        </w:rPr>
        <w:t>3</w:t>
      </w:r>
      <w:r>
        <w:rPr>
          <w:rFonts w:hint="default" w:ascii="Times New Roman" w:hAnsi="Times New Roman" w:eastAsia="仿宋_GB2312" w:cs="Times New Roman"/>
          <w:color w:val="auto"/>
          <w:sz w:val="32"/>
          <w:highlight w:val="none"/>
        </w:rPr>
        <w:t>，死水位134.50m（假设高程），死库容8.20万m</w:t>
      </w:r>
      <w:r>
        <w:rPr>
          <w:rFonts w:hint="default" w:ascii="Times New Roman" w:hAnsi="Times New Roman" w:eastAsia="仿宋_GB2312" w:cs="Times New Roman"/>
          <w:color w:val="auto"/>
          <w:sz w:val="32"/>
          <w:highlight w:val="none"/>
          <w:vertAlign w:val="superscript"/>
        </w:rPr>
        <w:t>3</w:t>
      </w:r>
      <w:r>
        <w:rPr>
          <w:rFonts w:hint="default" w:ascii="Times New Roman" w:hAnsi="Times New Roman" w:eastAsia="仿宋_GB2312" w:cs="Times New Roman"/>
          <w:color w:val="auto"/>
          <w:sz w:val="32"/>
          <w:highlight w:val="none"/>
        </w:rPr>
        <w:t>。是一座以灌溉为主，兼顾防洪、养殖等综合利用功能的小（1）型水利工程。</w:t>
      </w:r>
    </w:p>
    <w:p>
      <w:pPr>
        <w:spacing w:line="640" w:lineRule="exact"/>
        <w:ind w:firstLine="640" w:firstLineChars="200"/>
        <w:rPr>
          <w:rFonts w:hint="default" w:ascii="Times New Roman" w:hAnsi="Times New Roman" w:eastAsia="仿宋_GB2312"/>
          <w:sz w:val="32"/>
        </w:rPr>
      </w:pPr>
      <w:r>
        <w:rPr>
          <w:rFonts w:hint="default" w:ascii="Times New Roman" w:hAnsi="Times New Roman" w:eastAsia="仿宋_GB2312"/>
          <w:sz w:val="32"/>
        </w:rPr>
        <w:t>（9）长塘冲水库</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长塘冲水库属于双牌灌区</w:t>
      </w:r>
      <w:r>
        <w:rPr>
          <w:rFonts w:hint="eastAsia" w:ascii="Times New Roman" w:hAnsi="Times New Roman" w:eastAsia="仿宋_GB2312" w:cs="Times New Roman"/>
          <w:color w:val="auto"/>
          <w:sz w:val="32"/>
          <w:highlight w:val="none"/>
          <w:lang w:eastAsia="zh-CN"/>
        </w:rPr>
        <w:t>祁阳市</w:t>
      </w:r>
      <w:r>
        <w:rPr>
          <w:rFonts w:hint="default" w:ascii="Times New Roman" w:hAnsi="Times New Roman" w:eastAsia="仿宋_GB2312" w:cs="Times New Roman"/>
          <w:color w:val="auto"/>
          <w:sz w:val="32"/>
          <w:highlight w:val="none"/>
        </w:rPr>
        <w:t>支渠管理所管理，水库注册登记号为：43112140001-A4。水库位于湘江一级支流湘江小溪上游，水库枢纽位于位于湖南省</w:t>
      </w:r>
      <w:r>
        <w:rPr>
          <w:rFonts w:hint="eastAsia" w:ascii="Times New Roman" w:hAnsi="Times New Roman" w:eastAsia="仿宋_GB2312" w:cs="Times New Roman"/>
          <w:color w:val="auto"/>
          <w:sz w:val="32"/>
          <w:highlight w:val="none"/>
          <w:lang w:eastAsia="zh-CN"/>
        </w:rPr>
        <w:t>祁阳市</w:t>
      </w:r>
      <w:r>
        <w:rPr>
          <w:rFonts w:hint="default" w:ascii="Times New Roman" w:hAnsi="Times New Roman" w:eastAsia="仿宋_GB2312" w:cs="Times New Roman"/>
          <w:color w:val="auto"/>
          <w:sz w:val="32"/>
          <w:highlight w:val="none"/>
        </w:rPr>
        <w:t>观音滩镇团胜村。地理坐标为东经111°53′20＂，北纬26°27′59＂。建成于1973年3月，于2008年完成除险加固。</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水库枢纽主要由大坝、溢洪道、灌溉输水高涵、中涵、导流放空低涵等建筑物组成。大坝坝型为均质土坝，坝顶高程126米（56黄海高程），最大坝高26米，坝顶轴线长228m，坝顶宽5m。溢洪道位于大坝右岸，目前为开敞式溢洪道，溢流堰为实用型堰，堰顶高程122.00m（56黄海高程），堰顶宽度4.9m，采用底流效能。</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水库控制集雨面积3.5km</w:t>
      </w:r>
      <w:r>
        <w:rPr>
          <w:rFonts w:hint="default" w:ascii="Times New Roman" w:hAnsi="Times New Roman" w:eastAsia="仿宋_GB2312" w:cs="Times New Roman"/>
          <w:color w:val="auto"/>
          <w:sz w:val="32"/>
          <w:highlight w:val="none"/>
          <w:vertAlign w:val="superscript"/>
        </w:rPr>
        <w:t>2</w:t>
      </w:r>
      <w:r>
        <w:rPr>
          <w:rFonts w:hint="default" w:ascii="Times New Roman" w:hAnsi="Times New Roman" w:eastAsia="仿宋_GB2312" w:cs="Times New Roman"/>
          <w:color w:val="auto"/>
          <w:sz w:val="32"/>
          <w:highlight w:val="none"/>
        </w:rPr>
        <w:t>，干流长度为2.5km，干流平均坡降为25‰。总库容341.20万m</w:t>
      </w:r>
      <w:r>
        <w:rPr>
          <w:rFonts w:hint="default" w:ascii="Times New Roman" w:hAnsi="Times New Roman" w:eastAsia="仿宋_GB2312" w:cs="Times New Roman"/>
          <w:color w:val="auto"/>
          <w:sz w:val="32"/>
          <w:highlight w:val="none"/>
          <w:vertAlign w:val="superscript"/>
        </w:rPr>
        <w:t>3</w:t>
      </w:r>
      <w:r>
        <w:rPr>
          <w:rFonts w:hint="default" w:ascii="Times New Roman" w:hAnsi="Times New Roman" w:eastAsia="仿宋_GB2312" w:cs="Times New Roman"/>
          <w:color w:val="auto"/>
          <w:sz w:val="32"/>
          <w:highlight w:val="none"/>
        </w:rPr>
        <w:t>。水库设计正常蓄水位122.00m（56黄海高程），正常库容292.4万m</w:t>
      </w:r>
      <w:r>
        <w:rPr>
          <w:rFonts w:hint="default" w:ascii="Times New Roman" w:hAnsi="Times New Roman" w:eastAsia="仿宋_GB2312" w:cs="Times New Roman"/>
          <w:color w:val="auto"/>
          <w:sz w:val="32"/>
          <w:highlight w:val="none"/>
          <w:vertAlign w:val="superscript"/>
        </w:rPr>
        <w:t>3</w:t>
      </w:r>
      <w:r>
        <w:rPr>
          <w:rFonts w:hint="default" w:ascii="Times New Roman" w:hAnsi="Times New Roman" w:eastAsia="仿宋_GB2312" w:cs="Times New Roman"/>
          <w:color w:val="auto"/>
          <w:sz w:val="32"/>
          <w:highlight w:val="none"/>
        </w:rPr>
        <w:t>，死水位101.00m（56黄海高程），死库容2.60万m</w:t>
      </w:r>
      <w:r>
        <w:rPr>
          <w:rFonts w:hint="default" w:ascii="Times New Roman" w:hAnsi="Times New Roman" w:eastAsia="仿宋_GB2312" w:cs="Times New Roman"/>
          <w:color w:val="auto"/>
          <w:sz w:val="32"/>
          <w:highlight w:val="none"/>
          <w:vertAlign w:val="superscript"/>
        </w:rPr>
        <w:t>3</w:t>
      </w:r>
      <w:r>
        <w:rPr>
          <w:rFonts w:hint="default" w:ascii="Times New Roman" w:hAnsi="Times New Roman" w:eastAsia="仿宋_GB2312" w:cs="Times New Roman"/>
          <w:color w:val="auto"/>
          <w:sz w:val="32"/>
          <w:highlight w:val="none"/>
        </w:rPr>
        <w:t>。水库设计灌溉面积1.3万亩。长塘冲水库是一座以灌溉为主，兼顾防洪、养殖等综合利用功能的小（1）型水利工程。</w:t>
      </w:r>
    </w:p>
    <w:p>
      <w:pPr>
        <w:spacing w:line="640" w:lineRule="exact"/>
        <w:ind w:firstLine="640" w:firstLineChars="200"/>
        <w:rPr>
          <w:rFonts w:hint="default" w:ascii="Times New Roman" w:hAnsi="Times New Roman" w:eastAsia="仿宋_GB2312"/>
          <w:sz w:val="32"/>
        </w:rPr>
      </w:pPr>
      <w:r>
        <w:rPr>
          <w:rFonts w:hint="default" w:ascii="Times New Roman" w:hAnsi="Times New Roman" w:eastAsia="仿宋_GB2312"/>
          <w:sz w:val="32"/>
        </w:rPr>
        <w:t>（10）波罗山水库</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波罗山水库属于</w:t>
      </w:r>
      <w:r>
        <w:rPr>
          <w:rFonts w:hint="eastAsia" w:ascii="Times New Roman" w:hAnsi="Times New Roman" w:eastAsia="仿宋_GB2312" w:cs="Times New Roman"/>
          <w:color w:val="auto"/>
          <w:sz w:val="32"/>
          <w:highlight w:val="none"/>
          <w:lang w:eastAsia="zh-CN"/>
        </w:rPr>
        <w:t>祁阳市</w:t>
      </w:r>
      <w:r>
        <w:rPr>
          <w:rFonts w:hint="default" w:ascii="Times New Roman" w:hAnsi="Times New Roman" w:eastAsia="仿宋_GB2312" w:cs="Times New Roman"/>
          <w:color w:val="auto"/>
          <w:sz w:val="32"/>
          <w:highlight w:val="none"/>
        </w:rPr>
        <w:t>长虹街道办事处管理，水库注册登记号为：43112140018-A4。水库位于祁水流域东溪源水上游，水库枢纽座落在</w:t>
      </w:r>
      <w:r>
        <w:rPr>
          <w:rFonts w:hint="eastAsia" w:ascii="Times New Roman" w:hAnsi="Times New Roman" w:eastAsia="仿宋_GB2312" w:cs="Times New Roman"/>
          <w:color w:val="auto"/>
          <w:sz w:val="32"/>
          <w:highlight w:val="none"/>
          <w:lang w:eastAsia="zh-CN"/>
        </w:rPr>
        <w:t>祁阳市</w:t>
      </w:r>
      <w:r>
        <w:rPr>
          <w:rFonts w:hint="default" w:ascii="Times New Roman" w:hAnsi="Times New Roman" w:eastAsia="仿宋_GB2312" w:cs="Times New Roman"/>
          <w:color w:val="auto"/>
          <w:sz w:val="32"/>
          <w:highlight w:val="none"/>
        </w:rPr>
        <w:t>长虹街道办事处光华村。地理坐标为东经111°47′46＂，北纬26°39′23＂。水库建成于1963年2月，于2008年完成除险加固。</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水库枢纽工程由大坝、溢洪道和高低涵放水设施等。大坝为均质土坝，坝项高程为131.50m（假设高程），最大坝高11.50m，坝顶宽4m，坝顶轴长178m。溢洪道位于大坝右侧，为开敞式宽顶堰，堰项宽3.8m，堰顶高程为129.40m（假设高程），采用底流消能。</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水库控制集雨面积3.74km</w:t>
      </w:r>
      <w:r>
        <w:rPr>
          <w:rFonts w:hint="default" w:ascii="Times New Roman" w:hAnsi="Times New Roman" w:eastAsia="仿宋_GB2312" w:cs="Times New Roman"/>
          <w:color w:val="auto"/>
          <w:sz w:val="32"/>
          <w:highlight w:val="none"/>
          <w:vertAlign w:val="superscript"/>
        </w:rPr>
        <w:t>2</w:t>
      </w:r>
      <w:r>
        <w:rPr>
          <w:rFonts w:hint="default" w:ascii="Times New Roman" w:hAnsi="Times New Roman" w:eastAsia="仿宋_GB2312" w:cs="Times New Roman"/>
          <w:color w:val="auto"/>
          <w:sz w:val="32"/>
          <w:highlight w:val="none"/>
        </w:rPr>
        <w:t>，干流长度为2.1km，干流平均坡降为30‰。水库总库容143.60万m</w:t>
      </w:r>
      <w:r>
        <w:rPr>
          <w:rFonts w:hint="default" w:ascii="Times New Roman" w:hAnsi="Times New Roman" w:eastAsia="仿宋_GB2312" w:cs="Times New Roman"/>
          <w:color w:val="auto"/>
          <w:sz w:val="32"/>
          <w:highlight w:val="none"/>
          <w:vertAlign w:val="superscript"/>
        </w:rPr>
        <w:t>3</w:t>
      </w:r>
      <w:r>
        <w:rPr>
          <w:rFonts w:hint="default" w:ascii="Times New Roman" w:hAnsi="Times New Roman" w:eastAsia="仿宋_GB2312" w:cs="Times New Roman"/>
          <w:color w:val="auto"/>
          <w:sz w:val="32"/>
          <w:highlight w:val="none"/>
        </w:rPr>
        <w:t>，水库正常蓄水位129.40m（假设高程），相应库容109万m</w:t>
      </w:r>
      <w:r>
        <w:rPr>
          <w:rFonts w:hint="default" w:ascii="Times New Roman" w:hAnsi="Times New Roman" w:eastAsia="仿宋_GB2312" w:cs="Times New Roman"/>
          <w:color w:val="auto"/>
          <w:sz w:val="32"/>
          <w:highlight w:val="none"/>
          <w:vertAlign w:val="superscript"/>
        </w:rPr>
        <w:t>3</w:t>
      </w:r>
      <w:r>
        <w:rPr>
          <w:rFonts w:hint="default" w:ascii="Times New Roman" w:hAnsi="Times New Roman" w:eastAsia="仿宋_GB2312" w:cs="Times New Roman"/>
          <w:color w:val="auto"/>
          <w:sz w:val="32"/>
          <w:highlight w:val="none"/>
        </w:rPr>
        <w:t>。死水位123.50m（假设高程），死库容18万m</w:t>
      </w:r>
      <w:r>
        <w:rPr>
          <w:rFonts w:hint="default" w:ascii="Times New Roman" w:hAnsi="Times New Roman" w:eastAsia="仿宋_GB2312" w:cs="Times New Roman"/>
          <w:color w:val="auto"/>
          <w:sz w:val="32"/>
          <w:highlight w:val="none"/>
          <w:vertAlign w:val="superscript"/>
        </w:rPr>
        <w:t>3</w:t>
      </w:r>
      <w:r>
        <w:rPr>
          <w:rFonts w:hint="default" w:ascii="Times New Roman" w:hAnsi="Times New Roman" w:eastAsia="仿宋_GB2312" w:cs="Times New Roman"/>
          <w:color w:val="auto"/>
          <w:sz w:val="32"/>
          <w:highlight w:val="none"/>
        </w:rPr>
        <w:t>。设计灌溉面积4208亩。波罗山水库是一座以灌溉为主，兼有防洪、养殖等综合效益的小（1）型水利工程。</w:t>
      </w:r>
    </w:p>
    <w:p>
      <w:pPr>
        <w:spacing w:line="640" w:lineRule="exact"/>
        <w:ind w:firstLine="640" w:firstLineChars="200"/>
        <w:rPr>
          <w:rFonts w:hint="default" w:ascii="Times New Roman" w:hAnsi="Times New Roman" w:eastAsia="仿宋_GB2312"/>
          <w:sz w:val="32"/>
        </w:rPr>
      </w:pPr>
      <w:r>
        <w:rPr>
          <w:rFonts w:hint="default" w:ascii="Times New Roman" w:hAnsi="Times New Roman" w:eastAsia="仿宋_GB2312"/>
          <w:sz w:val="32"/>
        </w:rPr>
        <w:t>（11）大桥水库</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大桥水库属于</w:t>
      </w:r>
      <w:r>
        <w:rPr>
          <w:rFonts w:hint="eastAsia" w:ascii="Times New Roman" w:hAnsi="Times New Roman" w:eastAsia="仿宋_GB2312" w:cs="Times New Roman"/>
          <w:color w:val="auto"/>
          <w:sz w:val="32"/>
          <w:highlight w:val="none"/>
          <w:lang w:eastAsia="zh-CN"/>
        </w:rPr>
        <w:t>祁阳市</w:t>
      </w:r>
      <w:r>
        <w:rPr>
          <w:rFonts w:hint="default" w:ascii="Times New Roman" w:hAnsi="Times New Roman" w:eastAsia="仿宋_GB2312" w:cs="Times New Roman"/>
          <w:color w:val="auto"/>
          <w:sz w:val="32"/>
          <w:highlight w:val="none"/>
        </w:rPr>
        <w:t>下马渡镇人民政府管理，水库注册登记号为：43112140022-A4。水库位于</w:t>
      </w:r>
      <w:r>
        <w:rPr>
          <w:rFonts w:hint="eastAsia" w:ascii="Times New Roman" w:hAnsi="Times New Roman" w:eastAsia="仿宋_GB2312" w:cs="Times New Roman"/>
          <w:color w:val="auto"/>
          <w:sz w:val="32"/>
          <w:highlight w:val="none"/>
          <w:lang w:eastAsia="zh-CN"/>
        </w:rPr>
        <w:t>祁阳市</w:t>
      </w:r>
      <w:r>
        <w:rPr>
          <w:rFonts w:hint="default" w:ascii="Times New Roman" w:hAnsi="Times New Roman" w:eastAsia="仿宋_GB2312" w:cs="Times New Roman"/>
          <w:color w:val="auto"/>
          <w:sz w:val="32"/>
          <w:highlight w:val="none"/>
        </w:rPr>
        <w:t>祁水流域东溪源水，水库枢纽座落在</w:t>
      </w:r>
      <w:r>
        <w:rPr>
          <w:rFonts w:hint="eastAsia" w:ascii="Times New Roman" w:hAnsi="Times New Roman" w:eastAsia="仿宋_GB2312" w:cs="Times New Roman"/>
          <w:color w:val="auto"/>
          <w:sz w:val="32"/>
          <w:highlight w:val="none"/>
          <w:lang w:eastAsia="zh-CN"/>
        </w:rPr>
        <w:t>祁阳市</w:t>
      </w:r>
      <w:r>
        <w:rPr>
          <w:rFonts w:hint="default" w:ascii="Times New Roman" w:hAnsi="Times New Roman" w:eastAsia="仿宋_GB2312" w:cs="Times New Roman"/>
          <w:color w:val="auto"/>
          <w:sz w:val="32"/>
          <w:highlight w:val="none"/>
        </w:rPr>
        <w:t>下马渡镇司马源村。地理坐标为东经111°54′36＂，北纬26°41′10＂。建成于1958年11月，于2008年完成除险加固。</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枢纽工程主要由大坝、溢洪道、输水涵洞等组成。大坝为均质土坝，最大坝高31.60m，坝顶高程131.60m（假设高程），坝顶轴线长125m，坝顶宽4m；溢洪道为开敞式宽项堰，位于坝左端，堰项高程128.80m（假设高程），堰宽11.0m；放水涵进口底板高程102.80m；</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水库控制流域面积4.74km</w:t>
      </w:r>
      <w:r>
        <w:rPr>
          <w:rFonts w:hint="default" w:ascii="Times New Roman" w:hAnsi="Times New Roman" w:eastAsia="仿宋_GB2312" w:cs="Times New Roman"/>
          <w:color w:val="auto"/>
          <w:sz w:val="32"/>
          <w:highlight w:val="none"/>
          <w:vertAlign w:val="superscript"/>
        </w:rPr>
        <w:t>2</w:t>
      </w:r>
      <w:r>
        <w:rPr>
          <w:rFonts w:hint="default" w:ascii="Times New Roman" w:hAnsi="Times New Roman" w:eastAsia="仿宋_GB2312" w:cs="Times New Roman"/>
          <w:color w:val="auto"/>
          <w:sz w:val="32"/>
          <w:highlight w:val="none"/>
        </w:rPr>
        <w:t>，干流长度为1.65km，干流平均坡降为25‰。水库总库容265.9万m</w:t>
      </w:r>
      <w:r>
        <w:rPr>
          <w:rFonts w:hint="default" w:ascii="Times New Roman" w:hAnsi="Times New Roman" w:eastAsia="仿宋_GB2312" w:cs="Times New Roman"/>
          <w:color w:val="auto"/>
          <w:sz w:val="32"/>
          <w:highlight w:val="none"/>
          <w:vertAlign w:val="superscript"/>
        </w:rPr>
        <w:t>3</w:t>
      </w:r>
      <w:r>
        <w:rPr>
          <w:rFonts w:hint="default" w:ascii="Times New Roman" w:hAnsi="Times New Roman" w:eastAsia="仿宋_GB2312" w:cs="Times New Roman"/>
          <w:color w:val="auto"/>
          <w:sz w:val="32"/>
          <w:highlight w:val="none"/>
        </w:rPr>
        <w:t>，正常蓄水位164.06m（假设高程）；相应库容230.4万m</w:t>
      </w:r>
      <w:r>
        <w:rPr>
          <w:rFonts w:hint="default" w:ascii="Times New Roman" w:hAnsi="Times New Roman" w:eastAsia="仿宋_GB2312" w:cs="Times New Roman"/>
          <w:color w:val="auto"/>
          <w:sz w:val="32"/>
          <w:highlight w:val="none"/>
          <w:vertAlign w:val="superscript"/>
        </w:rPr>
        <w:t>3</w:t>
      </w:r>
      <w:r>
        <w:rPr>
          <w:rFonts w:hint="default" w:ascii="Times New Roman" w:hAnsi="Times New Roman" w:eastAsia="仿宋_GB2312" w:cs="Times New Roman"/>
          <w:color w:val="auto"/>
          <w:sz w:val="32"/>
          <w:highlight w:val="none"/>
        </w:rPr>
        <w:t>，死水位102.80m（假设高程），死库容0.4万m</w:t>
      </w:r>
      <w:r>
        <w:rPr>
          <w:rFonts w:hint="default" w:ascii="Times New Roman" w:hAnsi="Times New Roman" w:eastAsia="仿宋_GB2312" w:cs="Times New Roman"/>
          <w:color w:val="auto"/>
          <w:sz w:val="32"/>
          <w:highlight w:val="none"/>
          <w:vertAlign w:val="superscript"/>
        </w:rPr>
        <w:t>3</w:t>
      </w:r>
      <w:r>
        <w:rPr>
          <w:rFonts w:hint="default" w:ascii="Times New Roman" w:hAnsi="Times New Roman" w:eastAsia="仿宋_GB2312" w:cs="Times New Roman"/>
          <w:color w:val="auto"/>
          <w:sz w:val="32"/>
          <w:highlight w:val="none"/>
        </w:rPr>
        <w:t>。设计灌溉农田5200亩。大桥水库是一座以灌溉为主，兼有防洪保安、养殖等综合效益的小（1）型水利工程。</w:t>
      </w:r>
    </w:p>
    <w:p>
      <w:pPr>
        <w:spacing w:line="640" w:lineRule="exact"/>
        <w:ind w:firstLine="640" w:firstLineChars="200"/>
        <w:rPr>
          <w:rFonts w:hint="default" w:ascii="Times New Roman" w:hAnsi="Times New Roman" w:eastAsia="仿宋_GB2312"/>
          <w:sz w:val="32"/>
        </w:rPr>
      </w:pPr>
      <w:r>
        <w:rPr>
          <w:rFonts w:hint="default" w:ascii="Times New Roman" w:hAnsi="Times New Roman" w:eastAsia="仿宋_GB2312"/>
          <w:sz w:val="32"/>
        </w:rPr>
        <w:t>（12）水口庙水库</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水口庙水库属于</w:t>
      </w:r>
      <w:r>
        <w:rPr>
          <w:rFonts w:hint="eastAsia" w:ascii="Times New Roman" w:hAnsi="Times New Roman" w:eastAsia="仿宋_GB2312" w:cs="Times New Roman"/>
          <w:color w:val="auto"/>
          <w:sz w:val="32"/>
          <w:highlight w:val="none"/>
          <w:lang w:eastAsia="zh-CN"/>
        </w:rPr>
        <w:t>祁阳市</w:t>
      </w:r>
      <w:r>
        <w:rPr>
          <w:rFonts w:hint="default" w:ascii="Times New Roman" w:hAnsi="Times New Roman" w:eastAsia="仿宋_GB2312" w:cs="Times New Roman"/>
          <w:color w:val="auto"/>
          <w:sz w:val="32"/>
          <w:highlight w:val="none"/>
        </w:rPr>
        <w:t>潘市镇水利水电管理站管理，水库注册登记号为：43112140025-A4。水库位于湘江水系一级支流上堡桥水，水库枢纽座落在</w:t>
      </w:r>
      <w:r>
        <w:rPr>
          <w:rFonts w:hint="eastAsia" w:ascii="Times New Roman" w:hAnsi="Times New Roman" w:eastAsia="仿宋_GB2312" w:cs="Times New Roman"/>
          <w:color w:val="auto"/>
          <w:sz w:val="32"/>
          <w:highlight w:val="none"/>
          <w:lang w:eastAsia="zh-CN"/>
        </w:rPr>
        <w:t>祁阳市</w:t>
      </w:r>
      <w:r>
        <w:rPr>
          <w:rFonts w:hint="default" w:ascii="Times New Roman" w:hAnsi="Times New Roman" w:eastAsia="仿宋_GB2312" w:cs="Times New Roman"/>
          <w:color w:val="auto"/>
          <w:sz w:val="32"/>
          <w:highlight w:val="none"/>
        </w:rPr>
        <w:t>潘市镇下七渡村。地理坐标为东经111°57′46＂，北纬26°31′13＂。建成于1970年12月，于2011年完成除险加固。</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水口庙水库工程主要由大坝、溢洪道、输水涵洞和进水卧管等组成。大坝为均质土坝，最大坝高为23.06m，坝顶宽度5.6m，坝顶轴线长170m。坝顶高程为159.35m（56黄海高程）。溢洪道为梯形实用堰，堰顶高程为155.80m（56黄海高程），溢洪道过水宽度为12.0m。</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水库控制流域面积6.64km</w:t>
      </w:r>
      <w:r>
        <w:rPr>
          <w:rFonts w:hint="default" w:ascii="Times New Roman" w:hAnsi="Times New Roman" w:eastAsia="仿宋_GB2312" w:cs="Times New Roman"/>
          <w:color w:val="auto"/>
          <w:sz w:val="32"/>
          <w:highlight w:val="none"/>
          <w:vertAlign w:val="superscript"/>
        </w:rPr>
        <w:t>2</w:t>
      </w:r>
      <w:r>
        <w:rPr>
          <w:rFonts w:hint="default" w:ascii="Times New Roman" w:hAnsi="Times New Roman" w:eastAsia="仿宋_GB2312" w:cs="Times New Roman"/>
          <w:color w:val="auto"/>
          <w:sz w:val="32"/>
          <w:highlight w:val="none"/>
        </w:rPr>
        <w:t>，干流长度为4.55km，干流坡降为39.93‰。水库总库容196.6万m</w:t>
      </w:r>
      <w:r>
        <w:rPr>
          <w:rFonts w:hint="default" w:ascii="Times New Roman" w:hAnsi="Times New Roman" w:eastAsia="仿宋_GB2312" w:cs="Times New Roman"/>
          <w:color w:val="auto"/>
          <w:sz w:val="32"/>
          <w:highlight w:val="none"/>
          <w:vertAlign w:val="superscript"/>
        </w:rPr>
        <w:t>3</w:t>
      </w:r>
      <w:r>
        <w:rPr>
          <w:rFonts w:hint="default" w:ascii="Times New Roman" w:hAnsi="Times New Roman" w:eastAsia="仿宋_GB2312" w:cs="Times New Roman"/>
          <w:color w:val="auto"/>
          <w:sz w:val="32"/>
          <w:highlight w:val="none"/>
        </w:rPr>
        <w:t>，水库正常蓄水位为155.80m（56黄海高程），相应正常库容为154万m</w:t>
      </w:r>
      <w:r>
        <w:rPr>
          <w:rFonts w:hint="default" w:ascii="Times New Roman" w:hAnsi="Times New Roman" w:eastAsia="仿宋_GB2312" w:cs="Times New Roman"/>
          <w:color w:val="auto"/>
          <w:sz w:val="32"/>
          <w:highlight w:val="none"/>
          <w:vertAlign w:val="superscript"/>
        </w:rPr>
        <w:t>3</w:t>
      </w:r>
      <w:r>
        <w:rPr>
          <w:rFonts w:hint="default" w:ascii="Times New Roman" w:hAnsi="Times New Roman" w:eastAsia="仿宋_GB2312" w:cs="Times New Roman"/>
          <w:color w:val="auto"/>
          <w:sz w:val="32"/>
          <w:highlight w:val="none"/>
        </w:rPr>
        <w:t>；死水位为141.80m（56黄海高程），相应死库容为11.6万m</w:t>
      </w:r>
      <w:r>
        <w:rPr>
          <w:rFonts w:hint="default" w:ascii="Times New Roman" w:hAnsi="Times New Roman" w:eastAsia="仿宋_GB2312" w:cs="Times New Roman"/>
          <w:color w:val="auto"/>
          <w:sz w:val="32"/>
          <w:highlight w:val="none"/>
          <w:vertAlign w:val="superscript"/>
        </w:rPr>
        <w:t>3</w:t>
      </w:r>
      <w:r>
        <w:rPr>
          <w:rFonts w:hint="default" w:ascii="Times New Roman" w:hAnsi="Times New Roman" w:eastAsia="仿宋_GB2312" w:cs="Times New Roman"/>
          <w:color w:val="auto"/>
          <w:sz w:val="32"/>
          <w:highlight w:val="none"/>
        </w:rPr>
        <w:t>。设计灌溉面积3300亩。该枢纽工程是一座以灌溉为主，兼顾防洪、养鱼等综合利用的小（1）型水利工程。</w:t>
      </w:r>
    </w:p>
    <w:p>
      <w:pPr>
        <w:spacing w:line="640" w:lineRule="exact"/>
        <w:ind w:firstLine="640" w:firstLineChars="200"/>
        <w:rPr>
          <w:rFonts w:hint="default" w:ascii="Times New Roman" w:hAnsi="Times New Roman" w:eastAsia="仿宋_GB2312"/>
          <w:sz w:val="32"/>
        </w:rPr>
      </w:pPr>
      <w:r>
        <w:rPr>
          <w:rFonts w:hint="default" w:ascii="Times New Roman" w:hAnsi="Times New Roman" w:eastAsia="仿宋_GB2312"/>
          <w:sz w:val="32"/>
        </w:rPr>
        <w:t>（13）楠木皂水库</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楠木皂水库属于</w:t>
      </w:r>
      <w:r>
        <w:rPr>
          <w:rFonts w:hint="eastAsia" w:ascii="Times New Roman" w:hAnsi="Times New Roman" w:eastAsia="仿宋_GB2312" w:cs="Times New Roman"/>
          <w:color w:val="auto"/>
          <w:sz w:val="32"/>
          <w:highlight w:val="none"/>
          <w:lang w:eastAsia="zh-CN"/>
        </w:rPr>
        <w:t>祁阳市</w:t>
      </w:r>
      <w:r>
        <w:rPr>
          <w:rFonts w:hint="default" w:ascii="Times New Roman" w:hAnsi="Times New Roman" w:eastAsia="仿宋_GB2312" w:cs="Times New Roman"/>
          <w:color w:val="auto"/>
          <w:sz w:val="32"/>
          <w:highlight w:val="none"/>
        </w:rPr>
        <w:t>羊角塘镇人民政府管理，水库注册登记号为：43112140027-A4。水库位于位于湖南省永州市</w:t>
      </w:r>
      <w:r>
        <w:rPr>
          <w:rFonts w:hint="eastAsia" w:ascii="Times New Roman" w:hAnsi="Times New Roman" w:eastAsia="仿宋_GB2312" w:cs="Times New Roman"/>
          <w:color w:val="auto"/>
          <w:sz w:val="32"/>
          <w:highlight w:val="none"/>
          <w:lang w:eastAsia="zh-CN"/>
        </w:rPr>
        <w:t>祁阳市</w:t>
      </w:r>
      <w:r>
        <w:rPr>
          <w:rFonts w:hint="default" w:ascii="Times New Roman" w:hAnsi="Times New Roman" w:eastAsia="仿宋_GB2312" w:cs="Times New Roman"/>
          <w:color w:val="auto"/>
          <w:sz w:val="32"/>
          <w:highlight w:val="none"/>
        </w:rPr>
        <w:t>羊角塘镇北部，水库枢纽座落在永州市</w:t>
      </w:r>
      <w:r>
        <w:rPr>
          <w:rFonts w:hint="eastAsia" w:ascii="Times New Roman" w:hAnsi="Times New Roman" w:eastAsia="仿宋_GB2312" w:cs="Times New Roman"/>
          <w:color w:val="auto"/>
          <w:sz w:val="32"/>
          <w:highlight w:val="none"/>
          <w:lang w:eastAsia="zh-CN"/>
        </w:rPr>
        <w:t>祁阳市</w:t>
      </w:r>
      <w:r>
        <w:rPr>
          <w:rFonts w:hint="default" w:ascii="Times New Roman" w:hAnsi="Times New Roman" w:eastAsia="仿宋_GB2312" w:cs="Times New Roman"/>
          <w:color w:val="auto"/>
          <w:sz w:val="32"/>
          <w:highlight w:val="none"/>
        </w:rPr>
        <w:t>羊角塘镇雪坪村境内。地理坐标为东经112°00′47＂，北纬26°38′07＂。建成于1973年12月，于2011年完成除险加固。</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楠木皂水库工程主要由大坝、溢洪道、输水涵洞和进水卧管等组成。大坝为粘土心墙土坝，最大坝高为30.94m，坝顶高程为184.56m（56黄海高程）。溢洪道为折线型实用堰，堰顶高程为180.00m（56黄海高程），溢洪道过水宽度为10.0m。</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水库控制流域面积7.91km</w:t>
      </w:r>
      <w:r>
        <w:rPr>
          <w:rFonts w:hint="default" w:ascii="Times New Roman" w:hAnsi="Times New Roman" w:eastAsia="仿宋_GB2312" w:cs="Times New Roman"/>
          <w:color w:val="auto"/>
          <w:sz w:val="32"/>
          <w:highlight w:val="none"/>
          <w:vertAlign w:val="superscript"/>
        </w:rPr>
        <w:t>2</w:t>
      </w:r>
      <w:r>
        <w:rPr>
          <w:rFonts w:hint="default" w:ascii="Times New Roman" w:hAnsi="Times New Roman" w:eastAsia="仿宋_GB2312" w:cs="Times New Roman"/>
          <w:color w:val="auto"/>
          <w:sz w:val="32"/>
          <w:highlight w:val="none"/>
        </w:rPr>
        <w:t>，干流长度5.03km，干流平均坡降72.65‰。水库总库容196.6万m</w:t>
      </w:r>
      <w:r>
        <w:rPr>
          <w:rFonts w:hint="default" w:ascii="Times New Roman" w:hAnsi="Times New Roman" w:eastAsia="仿宋_GB2312" w:cs="Times New Roman"/>
          <w:color w:val="auto"/>
          <w:sz w:val="32"/>
          <w:highlight w:val="none"/>
          <w:vertAlign w:val="superscript"/>
        </w:rPr>
        <w:t>3</w:t>
      </w:r>
      <w:r>
        <w:rPr>
          <w:rFonts w:hint="default" w:ascii="Times New Roman" w:hAnsi="Times New Roman" w:eastAsia="仿宋_GB2312" w:cs="Times New Roman"/>
          <w:color w:val="auto"/>
          <w:sz w:val="32"/>
          <w:highlight w:val="none"/>
        </w:rPr>
        <w:t>，水库正常蓄水位为180.00m（56黄海高程），相应正常库容为122.5万m</w:t>
      </w:r>
      <w:r>
        <w:rPr>
          <w:rFonts w:hint="default" w:ascii="Times New Roman" w:hAnsi="Times New Roman" w:eastAsia="仿宋_GB2312" w:cs="Times New Roman"/>
          <w:color w:val="auto"/>
          <w:sz w:val="32"/>
          <w:highlight w:val="none"/>
          <w:vertAlign w:val="superscript"/>
        </w:rPr>
        <w:t>3</w:t>
      </w:r>
      <w:r>
        <w:rPr>
          <w:rFonts w:hint="default" w:ascii="Times New Roman" w:hAnsi="Times New Roman" w:eastAsia="仿宋_GB2312" w:cs="Times New Roman"/>
          <w:color w:val="auto"/>
          <w:sz w:val="32"/>
          <w:highlight w:val="none"/>
        </w:rPr>
        <w:t>；死水位为162.04m（56黄海高程），相应死库容为8.1万m</w:t>
      </w:r>
      <w:r>
        <w:rPr>
          <w:rFonts w:hint="default" w:ascii="Times New Roman" w:hAnsi="Times New Roman" w:eastAsia="仿宋_GB2312" w:cs="Times New Roman"/>
          <w:color w:val="auto"/>
          <w:sz w:val="32"/>
          <w:highlight w:val="none"/>
          <w:vertAlign w:val="superscript"/>
        </w:rPr>
        <w:t>3</w:t>
      </w:r>
      <w:r>
        <w:rPr>
          <w:rFonts w:hint="default" w:ascii="Times New Roman" w:hAnsi="Times New Roman" w:eastAsia="仿宋_GB2312" w:cs="Times New Roman"/>
          <w:color w:val="auto"/>
          <w:sz w:val="32"/>
          <w:highlight w:val="none"/>
        </w:rPr>
        <w:t>。设计灌溉面积4000亩。楠木皂水库是一座具有防洪、灌溉、养鱼等综合效益的小（1）型水利工程。</w:t>
      </w:r>
    </w:p>
    <w:p>
      <w:pPr>
        <w:spacing w:line="640" w:lineRule="exact"/>
        <w:ind w:firstLine="640" w:firstLineChars="200"/>
        <w:rPr>
          <w:rFonts w:hint="default" w:ascii="Times New Roman" w:hAnsi="Times New Roman" w:eastAsia="仿宋_GB2312"/>
          <w:sz w:val="32"/>
        </w:rPr>
      </w:pPr>
      <w:r>
        <w:rPr>
          <w:rFonts w:hint="default" w:ascii="Times New Roman" w:hAnsi="Times New Roman" w:eastAsia="仿宋_GB2312"/>
          <w:sz w:val="32"/>
        </w:rPr>
        <w:t>（14）炭木冲水库</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炭木冲水库属于</w:t>
      </w:r>
      <w:r>
        <w:rPr>
          <w:rFonts w:hint="eastAsia" w:ascii="Times New Roman" w:hAnsi="Times New Roman" w:eastAsia="仿宋_GB2312" w:cs="Times New Roman"/>
          <w:color w:val="auto"/>
          <w:sz w:val="32"/>
          <w:highlight w:val="none"/>
          <w:lang w:eastAsia="zh-CN"/>
        </w:rPr>
        <w:t>祁阳市</w:t>
      </w:r>
      <w:r>
        <w:rPr>
          <w:rFonts w:hint="default" w:ascii="Times New Roman" w:hAnsi="Times New Roman" w:eastAsia="仿宋_GB2312" w:cs="Times New Roman"/>
          <w:color w:val="auto"/>
          <w:sz w:val="32"/>
          <w:highlight w:val="none"/>
        </w:rPr>
        <w:t>羊角塘镇人民政府管理，水库注册登记号为：43112140028-A4。水库属湘江水系清江一级支流黄坪水，水库枢纽座落在永州市</w:t>
      </w:r>
      <w:r>
        <w:rPr>
          <w:rFonts w:hint="eastAsia" w:ascii="Times New Roman" w:hAnsi="Times New Roman" w:eastAsia="仿宋_GB2312" w:cs="Times New Roman"/>
          <w:color w:val="auto"/>
          <w:sz w:val="32"/>
          <w:highlight w:val="none"/>
          <w:lang w:eastAsia="zh-CN"/>
        </w:rPr>
        <w:t>祁阳市</w:t>
      </w:r>
      <w:r>
        <w:rPr>
          <w:rFonts w:hint="default" w:ascii="Times New Roman" w:hAnsi="Times New Roman" w:eastAsia="仿宋_GB2312" w:cs="Times New Roman"/>
          <w:color w:val="auto"/>
          <w:sz w:val="32"/>
          <w:highlight w:val="none"/>
        </w:rPr>
        <w:t>羊角塘镇雪坪村境内，距羊角塘镇3.5km，距</w:t>
      </w:r>
      <w:r>
        <w:rPr>
          <w:rFonts w:hint="eastAsia" w:ascii="Times New Roman" w:hAnsi="Times New Roman" w:eastAsia="仿宋_GB2312" w:cs="Times New Roman"/>
          <w:color w:val="auto"/>
          <w:sz w:val="32"/>
          <w:highlight w:val="none"/>
          <w:lang w:eastAsia="zh-CN"/>
        </w:rPr>
        <w:t>祁阳市</w:t>
      </w:r>
      <w:r>
        <w:rPr>
          <w:rFonts w:hint="default" w:ascii="Times New Roman" w:hAnsi="Times New Roman" w:eastAsia="仿宋_GB2312" w:cs="Times New Roman"/>
          <w:color w:val="auto"/>
          <w:sz w:val="32"/>
          <w:highlight w:val="none"/>
        </w:rPr>
        <w:t>城60km。地理坐标为东经111°59′56＂，北纬26°38′46＂。建成于1975年2月，于2011年完成除险加固。</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炭木冲水库工程主要由大坝、溢洪道、输水涵洞和进水卧管等组成。大坝为均质土坝，最大坝高为24.44m，坝顶高程为190.40m（56黄海高程）。水库正常蓄水位为188.00m（56黄海高程），相应正常库容为136.2万m</w:t>
      </w:r>
      <w:r>
        <w:rPr>
          <w:rFonts w:hint="default" w:ascii="Times New Roman" w:hAnsi="Times New Roman" w:eastAsia="仿宋_GB2312" w:cs="Times New Roman"/>
          <w:color w:val="auto"/>
          <w:sz w:val="32"/>
          <w:highlight w:val="none"/>
          <w:vertAlign w:val="superscript"/>
        </w:rPr>
        <w:t>3</w:t>
      </w:r>
      <w:r>
        <w:rPr>
          <w:rFonts w:hint="default" w:ascii="Times New Roman" w:hAnsi="Times New Roman" w:eastAsia="仿宋_GB2312" w:cs="Times New Roman"/>
          <w:color w:val="auto"/>
          <w:sz w:val="32"/>
          <w:highlight w:val="none"/>
        </w:rPr>
        <w:t>，溢洪道为无坎宽顶堰，堰顶高程为188.00m（56黄海高程），溢洪道过水宽度为8.7m。</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水库控制流域面积2.09km</w:t>
      </w:r>
      <w:r>
        <w:rPr>
          <w:rFonts w:hint="default" w:ascii="Times New Roman" w:hAnsi="Times New Roman" w:eastAsia="仿宋_GB2312" w:cs="Times New Roman"/>
          <w:color w:val="auto"/>
          <w:sz w:val="32"/>
          <w:highlight w:val="none"/>
          <w:vertAlign w:val="superscript"/>
        </w:rPr>
        <w:t>2</w:t>
      </w:r>
      <w:r>
        <w:rPr>
          <w:rFonts w:hint="default" w:ascii="Times New Roman" w:hAnsi="Times New Roman" w:eastAsia="仿宋_GB2312" w:cs="Times New Roman"/>
          <w:color w:val="auto"/>
          <w:sz w:val="32"/>
          <w:highlight w:val="none"/>
        </w:rPr>
        <w:t>，干流长度为2.75km，干流平均坡降为124.17‰。水库总库容158.00万m</w:t>
      </w:r>
      <w:r>
        <w:rPr>
          <w:rFonts w:hint="default" w:ascii="Times New Roman" w:hAnsi="Times New Roman" w:eastAsia="仿宋_GB2312" w:cs="Times New Roman"/>
          <w:color w:val="auto"/>
          <w:sz w:val="32"/>
          <w:highlight w:val="none"/>
          <w:vertAlign w:val="superscript"/>
        </w:rPr>
        <w:t>3</w:t>
      </w:r>
      <w:r>
        <w:rPr>
          <w:rFonts w:hint="default" w:ascii="Times New Roman" w:hAnsi="Times New Roman" w:eastAsia="仿宋_GB2312" w:cs="Times New Roman"/>
          <w:color w:val="auto"/>
          <w:sz w:val="32"/>
          <w:highlight w:val="none"/>
        </w:rPr>
        <w:t>，水库正常蓄水位为188.00m（56黄海高程），相应正常库容为136.20万m</w:t>
      </w:r>
      <w:r>
        <w:rPr>
          <w:rFonts w:hint="default" w:ascii="Times New Roman" w:hAnsi="Times New Roman" w:eastAsia="仿宋_GB2312" w:cs="Times New Roman"/>
          <w:color w:val="auto"/>
          <w:sz w:val="32"/>
          <w:highlight w:val="none"/>
          <w:vertAlign w:val="superscript"/>
        </w:rPr>
        <w:t>3</w:t>
      </w:r>
      <w:r>
        <w:rPr>
          <w:rFonts w:hint="default" w:ascii="Times New Roman" w:hAnsi="Times New Roman" w:eastAsia="仿宋_GB2312" w:cs="Times New Roman"/>
          <w:color w:val="auto"/>
          <w:sz w:val="32"/>
          <w:highlight w:val="none"/>
        </w:rPr>
        <w:t>；死水位为168.86m（56黄海高程），相应死库容为1.5万m</w:t>
      </w:r>
      <w:r>
        <w:rPr>
          <w:rFonts w:hint="default" w:ascii="Times New Roman" w:hAnsi="Times New Roman" w:eastAsia="仿宋_GB2312" w:cs="Times New Roman"/>
          <w:color w:val="auto"/>
          <w:sz w:val="32"/>
          <w:highlight w:val="none"/>
          <w:vertAlign w:val="superscript"/>
        </w:rPr>
        <w:t>3</w:t>
      </w:r>
      <w:r>
        <w:rPr>
          <w:rFonts w:hint="default" w:ascii="Times New Roman" w:hAnsi="Times New Roman" w:eastAsia="仿宋_GB2312" w:cs="Times New Roman"/>
          <w:color w:val="auto"/>
          <w:sz w:val="32"/>
          <w:highlight w:val="none"/>
        </w:rPr>
        <w:t>。设计灌溉面积3400亩。该枢纽工程是一座以灌溉为主，兼顾防洪、养鱼等综合利用的小（1）型水利工程。</w:t>
      </w:r>
    </w:p>
    <w:p>
      <w:pPr>
        <w:spacing w:line="640" w:lineRule="exact"/>
        <w:ind w:firstLine="640" w:firstLineChars="200"/>
        <w:rPr>
          <w:rFonts w:hint="default" w:ascii="Times New Roman" w:hAnsi="Times New Roman" w:eastAsia="仿宋_GB2312"/>
          <w:sz w:val="32"/>
        </w:rPr>
      </w:pPr>
      <w:r>
        <w:rPr>
          <w:rFonts w:hint="default" w:ascii="Times New Roman" w:hAnsi="Times New Roman" w:eastAsia="仿宋_GB2312"/>
          <w:sz w:val="32"/>
        </w:rPr>
        <w:t>（15）月口冲水库</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月口冲水库属于</w:t>
      </w:r>
      <w:r>
        <w:rPr>
          <w:rFonts w:hint="eastAsia" w:ascii="Times New Roman" w:hAnsi="Times New Roman" w:eastAsia="仿宋_GB2312" w:cs="Times New Roman"/>
          <w:color w:val="auto"/>
          <w:sz w:val="32"/>
          <w:highlight w:val="none"/>
          <w:lang w:eastAsia="zh-CN"/>
        </w:rPr>
        <w:t>祁阳市</w:t>
      </w:r>
      <w:r>
        <w:rPr>
          <w:rFonts w:hint="default" w:ascii="Times New Roman" w:hAnsi="Times New Roman" w:eastAsia="仿宋_GB2312" w:cs="Times New Roman"/>
          <w:color w:val="auto"/>
          <w:sz w:val="32"/>
          <w:highlight w:val="none"/>
        </w:rPr>
        <w:t>文明铺镇人民政府管理，水库注册登记号为：43112140011-A4。水库属湘江水系祁水一级支流宝塔水，水库枢纽座落在</w:t>
      </w:r>
      <w:r>
        <w:rPr>
          <w:rFonts w:hint="eastAsia" w:ascii="Times New Roman" w:hAnsi="Times New Roman" w:eastAsia="仿宋_GB2312" w:cs="Times New Roman"/>
          <w:color w:val="auto"/>
          <w:sz w:val="32"/>
          <w:highlight w:val="none"/>
          <w:lang w:eastAsia="zh-CN"/>
        </w:rPr>
        <w:t>祁阳市</w:t>
      </w:r>
      <w:r>
        <w:rPr>
          <w:rFonts w:hint="default" w:ascii="Times New Roman" w:hAnsi="Times New Roman" w:eastAsia="仿宋_GB2312" w:cs="Times New Roman"/>
          <w:color w:val="auto"/>
          <w:sz w:val="32"/>
          <w:highlight w:val="none"/>
        </w:rPr>
        <w:t>文明铺镇同德堂村境内，距文明铺镇5.5km，距</w:t>
      </w:r>
      <w:r>
        <w:rPr>
          <w:rFonts w:hint="eastAsia" w:ascii="Times New Roman" w:hAnsi="Times New Roman" w:eastAsia="仿宋_GB2312" w:cs="Times New Roman"/>
          <w:color w:val="auto"/>
          <w:sz w:val="32"/>
          <w:highlight w:val="none"/>
          <w:lang w:eastAsia="zh-CN"/>
        </w:rPr>
        <w:t>祁阳市</w:t>
      </w:r>
      <w:r>
        <w:rPr>
          <w:rFonts w:hint="default" w:ascii="Times New Roman" w:hAnsi="Times New Roman" w:eastAsia="仿宋_GB2312" w:cs="Times New Roman"/>
          <w:color w:val="auto"/>
          <w:sz w:val="32"/>
          <w:highlight w:val="none"/>
        </w:rPr>
        <w:t>城</w:t>
      </w:r>
      <w:r>
        <w:rPr>
          <w:rFonts w:hint="eastAsia" w:ascii="Times New Roman" w:hAnsi="Times New Roman" w:eastAsia="仿宋_GB2312" w:cs="Times New Roman"/>
          <w:color w:val="auto"/>
          <w:sz w:val="32"/>
          <w:highlight w:val="none"/>
          <w:lang w:eastAsia="zh-CN"/>
        </w:rPr>
        <w:t>区</w:t>
      </w:r>
      <w:r>
        <w:rPr>
          <w:rFonts w:hint="default" w:ascii="Times New Roman" w:hAnsi="Times New Roman" w:eastAsia="仿宋_GB2312" w:cs="Times New Roman"/>
          <w:color w:val="auto"/>
          <w:sz w:val="32"/>
          <w:highlight w:val="none"/>
        </w:rPr>
        <w:t>35km。地理坐标为东经111°40′44＂，北纬26°44′38＂。建成于1977年1月，于2011年完成除险加固。</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月口冲水库工程主要由大坝、溢洪道、输水涵洞和进水卧管等组成。大坝为均质土坝，最大坝高为16.82m，坝顶高程为195.40m（假设高程）。溢洪道为正槽式宽顶堰，堰顶高程为192.70m（假设高程），溢洪道过水宽度为7.0m。</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水库控制流域面积3.08km</w:t>
      </w:r>
      <w:r>
        <w:rPr>
          <w:rFonts w:hint="default" w:ascii="Times New Roman" w:hAnsi="Times New Roman" w:eastAsia="仿宋_GB2312" w:cs="Times New Roman"/>
          <w:color w:val="auto"/>
          <w:sz w:val="32"/>
          <w:highlight w:val="none"/>
          <w:vertAlign w:val="superscript"/>
        </w:rPr>
        <w:t>2</w:t>
      </w:r>
      <w:r>
        <w:rPr>
          <w:rFonts w:hint="default" w:ascii="Times New Roman" w:hAnsi="Times New Roman" w:eastAsia="仿宋_GB2312" w:cs="Times New Roman"/>
          <w:color w:val="auto"/>
          <w:sz w:val="32"/>
          <w:highlight w:val="none"/>
        </w:rPr>
        <w:t>，干流长度为2.75km，干流平均坡降为21.12‰。水库总库容210.60万m</w:t>
      </w:r>
      <w:r>
        <w:rPr>
          <w:rFonts w:hint="default" w:ascii="Times New Roman" w:hAnsi="Times New Roman" w:eastAsia="仿宋_GB2312" w:cs="Times New Roman"/>
          <w:color w:val="auto"/>
          <w:sz w:val="32"/>
          <w:highlight w:val="none"/>
          <w:vertAlign w:val="superscript"/>
        </w:rPr>
        <w:t>3</w:t>
      </w:r>
      <w:r>
        <w:rPr>
          <w:rFonts w:hint="default" w:ascii="Times New Roman" w:hAnsi="Times New Roman" w:eastAsia="仿宋_GB2312" w:cs="Times New Roman"/>
          <w:color w:val="auto"/>
          <w:sz w:val="32"/>
          <w:highlight w:val="none"/>
        </w:rPr>
        <w:t>，水库正常蓄水位为192.70m（假设高程），相应正常库容为180.0万m</w:t>
      </w:r>
      <w:r>
        <w:rPr>
          <w:rFonts w:hint="default" w:ascii="Times New Roman" w:hAnsi="Times New Roman" w:eastAsia="仿宋_GB2312" w:cs="Times New Roman"/>
          <w:color w:val="auto"/>
          <w:sz w:val="32"/>
          <w:highlight w:val="none"/>
          <w:vertAlign w:val="superscript"/>
        </w:rPr>
        <w:t>3</w:t>
      </w:r>
      <w:r>
        <w:rPr>
          <w:rFonts w:hint="default" w:ascii="Times New Roman" w:hAnsi="Times New Roman" w:eastAsia="仿宋_GB2312" w:cs="Times New Roman"/>
          <w:color w:val="auto"/>
          <w:sz w:val="32"/>
          <w:highlight w:val="none"/>
        </w:rPr>
        <w:t>；死水位为180.00m（假设高程），相应死库容为3.6万m</w:t>
      </w:r>
      <w:r>
        <w:rPr>
          <w:rFonts w:hint="default" w:ascii="Times New Roman" w:hAnsi="Times New Roman" w:eastAsia="仿宋_GB2312" w:cs="Times New Roman"/>
          <w:color w:val="auto"/>
          <w:sz w:val="32"/>
          <w:highlight w:val="none"/>
          <w:vertAlign w:val="superscript"/>
        </w:rPr>
        <w:t>3</w:t>
      </w:r>
      <w:r>
        <w:rPr>
          <w:rFonts w:hint="default" w:ascii="Times New Roman" w:hAnsi="Times New Roman" w:eastAsia="仿宋_GB2312" w:cs="Times New Roman"/>
          <w:color w:val="auto"/>
          <w:sz w:val="32"/>
          <w:highlight w:val="none"/>
        </w:rPr>
        <w:t>。设计灌溉面积4000亩。该枢纽工程是一座以灌溉为主，兼顾防洪、养鱼等综合利用的小（1）型水利工程。</w:t>
      </w:r>
    </w:p>
    <w:p>
      <w:pPr>
        <w:spacing w:line="640" w:lineRule="exact"/>
        <w:ind w:firstLine="640" w:firstLineChars="200"/>
        <w:rPr>
          <w:rFonts w:hint="default" w:ascii="Times New Roman" w:hAnsi="Times New Roman" w:eastAsia="仿宋_GB2312"/>
          <w:sz w:val="32"/>
        </w:rPr>
      </w:pPr>
      <w:r>
        <w:rPr>
          <w:rFonts w:hint="default" w:ascii="Times New Roman" w:hAnsi="Times New Roman" w:eastAsia="仿宋_GB2312"/>
          <w:sz w:val="32"/>
        </w:rPr>
        <w:t>（16）碧芝塘水库</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碧芝塘水库属于</w:t>
      </w:r>
      <w:r>
        <w:rPr>
          <w:rFonts w:hint="eastAsia" w:ascii="Times New Roman" w:hAnsi="Times New Roman" w:eastAsia="仿宋_GB2312" w:cs="Times New Roman"/>
          <w:color w:val="auto"/>
          <w:sz w:val="32"/>
          <w:highlight w:val="none"/>
          <w:lang w:eastAsia="zh-CN"/>
        </w:rPr>
        <w:t>祁阳市</w:t>
      </w:r>
      <w:r>
        <w:rPr>
          <w:rFonts w:hint="default" w:ascii="Times New Roman" w:hAnsi="Times New Roman" w:eastAsia="仿宋_GB2312" w:cs="Times New Roman"/>
          <w:color w:val="auto"/>
          <w:sz w:val="32"/>
          <w:highlight w:val="none"/>
        </w:rPr>
        <w:t>文明铺镇人民政府管理，水库注册登记号为：43112140010-A4。水库位于湖南省永州市</w:t>
      </w:r>
      <w:r>
        <w:rPr>
          <w:rFonts w:hint="eastAsia" w:ascii="Times New Roman" w:hAnsi="Times New Roman" w:eastAsia="仿宋_GB2312" w:cs="Times New Roman"/>
          <w:color w:val="auto"/>
          <w:sz w:val="32"/>
          <w:highlight w:val="none"/>
          <w:lang w:eastAsia="zh-CN"/>
        </w:rPr>
        <w:t>祁阳市</w:t>
      </w:r>
      <w:r>
        <w:rPr>
          <w:rFonts w:hint="default" w:ascii="Times New Roman" w:hAnsi="Times New Roman" w:eastAsia="仿宋_GB2312" w:cs="Times New Roman"/>
          <w:color w:val="auto"/>
          <w:sz w:val="32"/>
          <w:highlight w:val="none"/>
        </w:rPr>
        <w:t>文明铺镇西南部，水库枢纽坐落在湖南省永州市</w:t>
      </w:r>
      <w:r>
        <w:rPr>
          <w:rFonts w:hint="eastAsia" w:ascii="Times New Roman" w:hAnsi="Times New Roman" w:eastAsia="仿宋_GB2312" w:cs="Times New Roman"/>
          <w:color w:val="auto"/>
          <w:sz w:val="32"/>
          <w:highlight w:val="none"/>
          <w:lang w:eastAsia="zh-CN"/>
        </w:rPr>
        <w:t>祁阳市</w:t>
      </w:r>
      <w:r>
        <w:rPr>
          <w:rFonts w:hint="default" w:ascii="Times New Roman" w:hAnsi="Times New Roman" w:eastAsia="仿宋_GB2312" w:cs="Times New Roman"/>
          <w:color w:val="auto"/>
          <w:sz w:val="32"/>
          <w:highlight w:val="none"/>
        </w:rPr>
        <w:t>文明铺镇碧芝塘村境内，距文明铺镇10km，距</w:t>
      </w:r>
      <w:r>
        <w:rPr>
          <w:rFonts w:hint="eastAsia" w:ascii="Times New Roman" w:hAnsi="Times New Roman" w:eastAsia="仿宋_GB2312" w:cs="Times New Roman"/>
          <w:color w:val="auto"/>
          <w:sz w:val="32"/>
          <w:highlight w:val="none"/>
          <w:lang w:eastAsia="zh-CN"/>
        </w:rPr>
        <w:t>祁阳市</w:t>
      </w:r>
      <w:r>
        <w:rPr>
          <w:rFonts w:hint="default" w:ascii="Times New Roman" w:hAnsi="Times New Roman" w:eastAsia="仿宋_GB2312" w:cs="Times New Roman"/>
          <w:color w:val="auto"/>
          <w:sz w:val="32"/>
          <w:highlight w:val="none"/>
        </w:rPr>
        <w:t>城35km。地理坐标为东经111°42′16＂，北纬26°44′39＂。建成于1971年12月，于2011年完成除险加固。</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碧芝塘水库枢纽工程主要由大坝、溢洪道、三个输水涵洞和进水卧管等组成。大坝为均质土坝，最大坝高13.55m，坝顶高程153.01m（假设高程），坝轴线长168m，坝顶宽为10.76m。溢洪道为正槽式宽顶堰，堰顶高程为152.50m（假设高程），溢洪道过水宽度为2.05m。</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水库控制流域面积0.50km</w:t>
      </w:r>
      <w:r>
        <w:rPr>
          <w:rFonts w:hint="default" w:ascii="Times New Roman" w:hAnsi="Times New Roman" w:eastAsia="仿宋_GB2312" w:cs="Times New Roman"/>
          <w:color w:val="auto"/>
          <w:sz w:val="32"/>
          <w:highlight w:val="none"/>
          <w:vertAlign w:val="superscript"/>
        </w:rPr>
        <w:t>2</w:t>
      </w:r>
      <w:r>
        <w:rPr>
          <w:rFonts w:hint="default" w:ascii="Times New Roman" w:hAnsi="Times New Roman" w:eastAsia="仿宋_GB2312" w:cs="Times New Roman"/>
          <w:color w:val="auto"/>
          <w:sz w:val="32"/>
          <w:highlight w:val="none"/>
        </w:rPr>
        <w:t>，干流长度为0.85km，干流平均坡降为26.69‰。水库总库容136.10万m</w:t>
      </w:r>
      <w:r>
        <w:rPr>
          <w:rFonts w:hint="default" w:ascii="Times New Roman" w:hAnsi="Times New Roman" w:eastAsia="仿宋_GB2312" w:cs="Times New Roman"/>
          <w:color w:val="auto"/>
          <w:sz w:val="32"/>
          <w:highlight w:val="none"/>
          <w:vertAlign w:val="superscript"/>
        </w:rPr>
        <w:t>3</w:t>
      </w:r>
      <w:r>
        <w:rPr>
          <w:rFonts w:hint="default" w:ascii="Times New Roman" w:hAnsi="Times New Roman" w:eastAsia="仿宋_GB2312" w:cs="Times New Roman"/>
          <w:color w:val="auto"/>
          <w:sz w:val="32"/>
          <w:highlight w:val="none"/>
        </w:rPr>
        <w:t>，水库正常蓄水位为152.50m（假设高程），正常库容为128.0万m</w:t>
      </w:r>
      <w:r>
        <w:rPr>
          <w:rFonts w:hint="default" w:ascii="Times New Roman" w:hAnsi="Times New Roman" w:eastAsia="仿宋_GB2312" w:cs="Times New Roman"/>
          <w:color w:val="auto"/>
          <w:sz w:val="32"/>
          <w:highlight w:val="none"/>
          <w:vertAlign w:val="superscript"/>
        </w:rPr>
        <w:t>3</w:t>
      </w:r>
      <w:r>
        <w:rPr>
          <w:rFonts w:hint="default" w:ascii="Times New Roman" w:hAnsi="Times New Roman" w:eastAsia="仿宋_GB2312" w:cs="Times New Roman"/>
          <w:color w:val="auto"/>
          <w:sz w:val="32"/>
          <w:highlight w:val="none"/>
        </w:rPr>
        <w:t>；死水位为142.00m（假设高程），相应死库容为2.1万m</w:t>
      </w:r>
      <w:r>
        <w:rPr>
          <w:rFonts w:hint="default" w:ascii="Times New Roman" w:hAnsi="Times New Roman" w:eastAsia="仿宋_GB2312" w:cs="Times New Roman"/>
          <w:color w:val="auto"/>
          <w:sz w:val="32"/>
          <w:highlight w:val="none"/>
          <w:vertAlign w:val="superscript"/>
        </w:rPr>
        <w:t>3</w:t>
      </w:r>
      <w:r>
        <w:rPr>
          <w:rFonts w:hint="default" w:ascii="Times New Roman" w:hAnsi="Times New Roman" w:eastAsia="仿宋_GB2312" w:cs="Times New Roman"/>
          <w:color w:val="auto"/>
          <w:sz w:val="32"/>
          <w:highlight w:val="none"/>
        </w:rPr>
        <w:t>。设计灌溉面积4300亩。该枢纽工程是一座以灌溉为主，兼顾防洪、养鱼等综合利用的小（1）型水利工程。该枢纽工程是一座以灌溉为主，兼顾防洪、养鱼等综合利用的小（1）型水利工程。</w:t>
      </w:r>
    </w:p>
    <w:p>
      <w:pPr>
        <w:spacing w:line="640" w:lineRule="exact"/>
        <w:ind w:firstLine="640" w:firstLineChars="200"/>
        <w:rPr>
          <w:rFonts w:hint="default" w:ascii="Times New Roman" w:hAnsi="Times New Roman" w:eastAsia="仿宋_GB2312"/>
          <w:sz w:val="32"/>
        </w:rPr>
      </w:pPr>
      <w:r>
        <w:rPr>
          <w:rFonts w:hint="default" w:ascii="Times New Roman" w:hAnsi="Times New Roman" w:eastAsia="仿宋_GB2312"/>
          <w:sz w:val="32"/>
        </w:rPr>
        <w:t>（17）大堰水库</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大堰水库属于</w:t>
      </w:r>
      <w:r>
        <w:rPr>
          <w:rFonts w:hint="eastAsia" w:ascii="Times New Roman" w:hAnsi="Times New Roman" w:eastAsia="仿宋_GB2312" w:cs="Times New Roman"/>
          <w:color w:val="auto"/>
          <w:sz w:val="32"/>
          <w:highlight w:val="none"/>
          <w:lang w:eastAsia="zh-CN"/>
        </w:rPr>
        <w:t>祁阳市</w:t>
      </w:r>
      <w:r>
        <w:rPr>
          <w:rFonts w:hint="default" w:ascii="Times New Roman" w:hAnsi="Times New Roman" w:eastAsia="仿宋_GB2312" w:cs="Times New Roman"/>
          <w:color w:val="auto"/>
          <w:sz w:val="32"/>
          <w:highlight w:val="none"/>
        </w:rPr>
        <w:t>大村甸镇水利水电管理站管理，水库注册登记号为：43112140017-A4。水库属湘江水系祁水一级支流祠堂坪水，水库枢纽坐落在湖南省</w:t>
      </w:r>
      <w:r>
        <w:rPr>
          <w:rFonts w:hint="eastAsia" w:ascii="Times New Roman" w:hAnsi="Times New Roman" w:eastAsia="仿宋_GB2312" w:cs="Times New Roman"/>
          <w:color w:val="auto"/>
          <w:sz w:val="32"/>
          <w:highlight w:val="none"/>
          <w:lang w:eastAsia="zh-CN"/>
        </w:rPr>
        <w:t>祁阳市</w:t>
      </w:r>
      <w:r>
        <w:rPr>
          <w:rFonts w:hint="default" w:ascii="Times New Roman" w:hAnsi="Times New Roman" w:eastAsia="仿宋_GB2312" w:cs="Times New Roman"/>
          <w:color w:val="auto"/>
          <w:sz w:val="32"/>
          <w:highlight w:val="none"/>
        </w:rPr>
        <w:t>大村甸镇联星村境内，距</w:t>
      </w:r>
      <w:r>
        <w:rPr>
          <w:rFonts w:hint="eastAsia" w:ascii="Times New Roman" w:hAnsi="Times New Roman" w:eastAsia="仿宋_GB2312" w:cs="Times New Roman"/>
          <w:color w:val="auto"/>
          <w:sz w:val="32"/>
          <w:highlight w:val="none"/>
          <w:lang w:eastAsia="zh-CN"/>
        </w:rPr>
        <w:t>祁阳</w:t>
      </w:r>
      <w:r>
        <w:rPr>
          <w:rFonts w:hint="default" w:ascii="Times New Roman" w:hAnsi="Times New Roman" w:eastAsia="仿宋_GB2312" w:cs="Times New Roman"/>
          <w:color w:val="auto"/>
          <w:sz w:val="32"/>
          <w:highlight w:val="none"/>
        </w:rPr>
        <w:t>城</w:t>
      </w:r>
      <w:r>
        <w:rPr>
          <w:rFonts w:hint="eastAsia" w:ascii="Times New Roman" w:hAnsi="Times New Roman" w:eastAsia="仿宋_GB2312" w:cs="Times New Roman"/>
          <w:color w:val="auto"/>
          <w:sz w:val="32"/>
          <w:highlight w:val="none"/>
          <w:lang w:eastAsia="zh-CN"/>
        </w:rPr>
        <w:t>区</w:t>
      </w:r>
      <w:r>
        <w:rPr>
          <w:rFonts w:hint="default" w:ascii="Times New Roman" w:hAnsi="Times New Roman" w:eastAsia="仿宋_GB2312" w:cs="Times New Roman"/>
          <w:color w:val="auto"/>
          <w:sz w:val="32"/>
          <w:highlight w:val="none"/>
        </w:rPr>
        <w:t>20km。地理坐标为东经111°45′46＂，北纬26°41′34＂。建成于1973年3月，于2011年完成除险加固。</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枢纽建筑物主要包括大坝、溢洪道、输水建筑物等。大坝为均质土坝。大堰水库共有四个坝，分别为主坝、1#副坝、2#副坝、3#副坝，均为均质土坝。主坝坝高9.21m，坝顶高程133.23m（56黄海高程），最大坝高9.21m，坝轴线长43.0m，坝顶宽为2.74m，下游无排水棱体。1#副坝坝顶高程133.41m（56黄海高程），最大坝高7.88m，坝轴线长102.0m，坝顶宽为3.45m，下游无排水棱体。2#副坝坝顶高程132.82m（56黄海高程），坝高4.26m，坝轴线长145.5m，坝顶宽为2.73m，排水棱体高程为130.65m（56黄海高程）。3#副坝坝顶高程132.57m（56黄海高程），坝高1.86m，坝轴线长45.0m，坝顶宽为1.0m。溢洪道堰顶高程131.50m（56黄海高程），堰顶宽12.0m。溢洪道下游出口为自然跌水，无消能设施。</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水库坝址以上控制流域集水面积为11.8km</w:t>
      </w:r>
      <w:r>
        <w:rPr>
          <w:rFonts w:hint="default" w:ascii="Times New Roman" w:hAnsi="Times New Roman" w:eastAsia="仿宋_GB2312" w:cs="Times New Roman"/>
          <w:color w:val="auto"/>
          <w:sz w:val="32"/>
          <w:highlight w:val="none"/>
          <w:vertAlign w:val="superscript"/>
        </w:rPr>
        <w:t>2</w:t>
      </w:r>
      <w:r>
        <w:rPr>
          <w:rFonts w:hint="default" w:ascii="Times New Roman" w:hAnsi="Times New Roman" w:eastAsia="仿宋_GB2312" w:cs="Times New Roman"/>
          <w:color w:val="auto"/>
          <w:sz w:val="32"/>
          <w:highlight w:val="none"/>
        </w:rPr>
        <w:t>，干流长度为6.84km，干流平均坡降为7.94‰。水库总库容187.20万m</w:t>
      </w:r>
      <w:r>
        <w:rPr>
          <w:rFonts w:hint="default" w:ascii="Times New Roman" w:hAnsi="Times New Roman" w:eastAsia="仿宋_GB2312" w:cs="Times New Roman"/>
          <w:color w:val="auto"/>
          <w:sz w:val="32"/>
          <w:highlight w:val="none"/>
          <w:vertAlign w:val="superscript"/>
        </w:rPr>
        <w:t>3</w:t>
      </w:r>
      <w:r>
        <w:rPr>
          <w:rFonts w:hint="default" w:ascii="Times New Roman" w:hAnsi="Times New Roman" w:eastAsia="仿宋_GB2312" w:cs="Times New Roman"/>
          <w:color w:val="auto"/>
          <w:sz w:val="32"/>
          <w:highlight w:val="none"/>
        </w:rPr>
        <w:t>，水库正常蓄水位为131.50m（56黄海高程），相应正常库容为123.70m</w:t>
      </w:r>
      <w:r>
        <w:rPr>
          <w:rFonts w:hint="default" w:ascii="Times New Roman" w:hAnsi="Times New Roman" w:eastAsia="仿宋_GB2312" w:cs="Times New Roman"/>
          <w:color w:val="auto"/>
          <w:sz w:val="32"/>
          <w:highlight w:val="none"/>
          <w:vertAlign w:val="superscript"/>
        </w:rPr>
        <w:t>3</w:t>
      </w:r>
      <w:r>
        <w:rPr>
          <w:rFonts w:hint="default" w:ascii="Times New Roman" w:hAnsi="Times New Roman" w:eastAsia="仿宋_GB2312" w:cs="Times New Roman"/>
          <w:color w:val="auto"/>
          <w:sz w:val="32"/>
          <w:highlight w:val="none"/>
        </w:rPr>
        <w:t>；死水位为124.62m（56黄海高程），相应死库容为3.4万m</w:t>
      </w:r>
      <w:r>
        <w:rPr>
          <w:rFonts w:hint="default" w:ascii="Times New Roman" w:hAnsi="Times New Roman" w:eastAsia="仿宋_GB2312" w:cs="Times New Roman"/>
          <w:color w:val="auto"/>
          <w:sz w:val="32"/>
          <w:highlight w:val="none"/>
          <w:vertAlign w:val="superscript"/>
        </w:rPr>
        <w:t>3</w:t>
      </w:r>
      <w:r>
        <w:rPr>
          <w:rFonts w:hint="default" w:ascii="Times New Roman" w:hAnsi="Times New Roman" w:eastAsia="仿宋_GB2312" w:cs="Times New Roman"/>
          <w:color w:val="auto"/>
          <w:sz w:val="32"/>
          <w:highlight w:val="none"/>
        </w:rPr>
        <w:t>。设计灌溉面积2500亩，该水库是一座以灌溉为主，兼有防洪、养鱼等综合利用的小（1）型水利工程。</w:t>
      </w:r>
    </w:p>
    <w:p>
      <w:pPr>
        <w:spacing w:line="640" w:lineRule="exact"/>
        <w:ind w:firstLine="640" w:firstLineChars="200"/>
        <w:rPr>
          <w:rFonts w:hint="default" w:ascii="Times New Roman" w:hAnsi="Times New Roman" w:eastAsia="仿宋_GB2312"/>
          <w:sz w:val="32"/>
        </w:rPr>
      </w:pPr>
      <w:r>
        <w:rPr>
          <w:rFonts w:hint="default" w:ascii="Times New Roman" w:hAnsi="Times New Roman" w:eastAsia="仿宋_GB2312"/>
          <w:sz w:val="32"/>
        </w:rPr>
        <w:t>（18）烟塘水库</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烟塘水库属于</w:t>
      </w:r>
      <w:r>
        <w:rPr>
          <w:rFonts w:hint="eastAsia" w:ascii="Times New Roman" w:hAnsi="Times New Roman" w:eastAsia="仿宋_GB2312" w:cs="Times New Roman"/>
          <w:color w:val="auto"/>
          <w:sz w:val="32"/>
          <w:highlight w:val="none"/>
          <w:lang w:eastAsia="zh-CN"/>
        </w:rPr>
        <w:t>祁阳市</w:t>
      </w:r>
      <w:r>
        <w:rPr>
          <w:rFonts w:hint="default" w:ascii="Times New Roman" w:hAnsi="Times New Roman" w:eastAsia="仿宋_GB2312" w:cs="Times New Roman"/>
          <w:color w:val="auto"/>
          <w:sz w:val="32"/>
          <w:highlight w:val="none"/>
        </w:rPr>
        <w:t>白水镇人民政府管理，水库注册登记号为：43112140029-A4。水库位于湖南省永州市</w:t>
      </w:r>
      <w:r>
        <w:rPr>
          <w:rFonts w:hint="eastAsia" w:ascii="Times New Roman" w:hAnsi="Times New Roman" w:eastAsia="仿宋_GB2312" w:cs="Times New Roman"/>
          <w:color w:val="auto"/>
          <w:sz w:val="32"/>
          <w:highlight w:val="none"/>
          <w:lang w:eastAsia="zh-CN"/>
        </w:rPr>
        <w:t>祁阳市</w:t>
      </w:r>
      <w:r>
        <w:rPr>
          <w:rFonts w:hint="default" w:ascii="Times New Roman" w:hAnsi="Times New Roman" w:eastAsia="仿宋_GB2312" w:cs="Times New Roman"/>
          <w:color w:val="auto"/>
          <w:sz w:val="32"/>
          <w:highlight w:val="none"/>
        </w:rPr>
        <w:t>白水镇南部，水库枢纽坐落在永州市</w:t>
      </w:r>
      <w:r>
        <w:rPr>
          <w:rFonts w:hint="eastAsia" w:ascii="Times New Roman" w:hAnsi="Times New Roman" w:eastAsia="仿宋_GB2312" w:cs="Times New Roman"/>
          <w:color w:val="auto"/>
          <w:sz w:val="32"/>
          <w:highlight w:val="none"/>
          <w:lang w:eastAsia="zh-CN"/>
        </w:rPr>
        <w:t>祁阳市</w:t>
      </w:r>
      <w:r>
        <w:rPr>
          <w:rFonts w:hint="default" w:ascii="Times New Roman" w:hAnsi="Times New Roman" w:eastAsia="仿宋_GB2312" w:cs="Times New Roman"/>
          <w:color w:val="auto"/>
          <w:sz w:val="32"/>
          <w:highlight w:val="none"/>
        </w:rPr>
        <w:t>白水镇烟塘村境内，距白水镇10km，距</w:t>
      </w:r>
      <w:r>
        <w:rPr>
          <w:rFonts w:hint="eastAsia" w:ascii="Times New Roman" w:hAnsi="Times New Roman" w:eastAsia="仿宋_GB2312" w:cs="Times New Roman"/>
          <w:color w:val="auto"/>
          <w:sz w:val="32"/>
          <w:highlight w:val="none"/>
          <w:lang w:eastAsia="zh-CN"/>
        </w:rPr>
        <w:t>祁阳市</w:t>
      </w:r>
      <w:r>
        <w:rPr>
          <w:rFonts w:hint="default" w:ascii="Times New Roman" w:hAnsi="Times New Roman" w:eastAsia="仿宋_GB2312" w:cs="Times New Roman"/>
          <w:color w:val="auto"/>
          <w:sz w:val="32"/>
          <w:highlight w:val="none"/>
        </w:rPr>
        <w:t>城</w:t>
      </w:r>
      <w:r>
        <w:rPr>
          <w:rFonts w:hint="eastAsia" w:ascii="Times New Roman" w:hAnsi="Times New Roman" w:eastAsia="仿宋_GB2312" w:cs="Times New Roman"/>
          <w:color w:val="auto"/>
          <w:sz w:val="32"/>
          <w:highlight w:val="none"/>
          <w:lang w:eastAsia="zh-CN"/>
        </w:rPr>
        <w:t>区</w:t>
      </w:r>
      <w:r>
        <w:rPr>
          <w:rFonts w:hint="default" w:ascii="Times New Roman" w:hAnsi="Times New Roman" w:eastAsia="仿宋_GB2312" w:cs="Times New Roman"/>
          <w:color w:val="auto"/>
          <w:sz w:val="32"/>
          <w:highlight w:val="none"/>
        </w:rPr>
        <w:t>35km。地理坐标为东经112°01′47＂，北纬26°23′40＂。建成于1967年12月，于2011年完成除险加固。</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烟塘水库枢纽工程主要由大坝、溢洪道、输水涵洞和放水卧管等永久性建筑物组成。烟塘水库大坝为均质土坝，坝顶高程107.88m（假设高程），最大坝高8.52m，坝顶轴线长163m，坝顶宽4.45m，溢洪道为正槽开敞无坎式宽顶堰，堰顶高程为107.20m（假设高程），溢洪道宽度为6.5m。</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水库坝址以上控制流域集水面积为1.12km</w:t>
      </w:r>
      <w:r>
        <w:rPr>
          <w:rFonts w:hint="default" w:ascii="Times New Roman" w:hAnsi="Times New Roman" w:eastAsia="仿宋_GB2312" w:cs="Times New Roman"/>
          <w:color w:val="auto"/>
          <w:sz w:val="32"/>
          <w:highlight w:val="none"/>
          <w:vertAlign w:val="superscript"/>
        </w:rPr>
        <w:t>2</w:t>
      </w:r>
      <w:r>
        <w:rPr>
          <w:rFonts w:hint="default" w:ascii="Times New Roman" w:hAnsi="Times New Roman" w:eastAsia="仿宋_GB2312" w:cs="Times New Roman"/>
          <w:color w:val="auto"/>
          <w:sz w:val="32"/>
          <w:highlight w:val="none"/>
        </w:rPr>
        <w:t>，干流长度为1.16km，干流平均坡降为25.35‰。水库总库容122.90万m</w:t>
      </w:r>
      <w:r>
        <w:rPr>
          <w:rFonts w:hint="default" w:ascii="Times New Roman" w:hAnsi="Times New Roman" w:eastAsia="仿宋_GB2312" w:cs="Times New Roman"/>
          <w:color w:val="auto"/>
          <w:sz w:val="32"/>
          <w:highlight w:val="none"/>
          <w:vertAlign w:val="superscript"/>
        </w:rPr>
        <w:t>3</w:t>
      </w:r>
      <w:r>
        <w:rPr>
          <w:rFonts w:hint="default" w:ascii="Times New Roman" w:hAnsi="Times New Roman" w:eastAsia="仿宋_GB2312" w:cs="Times New Roman"/>
          <w:color w:val="auto"/>
          <w:sz w:val="32"/>
          <w:highlight w:val="none"/>
        </w:rPr>
        <w:t>，正常蓄水位107.20m（假设高程），相应正常库容109.8万m</w:t>
      </w:r>
      <w:r>
        <w:rPr>
          <w:rFonts w:hint="default" w:ascii="Times New Roman" w:hAnsi="Times New Roman" w:eastAsia="仿宋_GB2312" w:cs="Times New Roman"/>
          <w:color w:val="auto"/>
          <w:sz w:val="32"/>
          <w:highlight w:val="none"/>
          <w:vertAlign w:val="superscript"/>
        </w:rPr>
        <w:t>3</w:t>
      </w:r>
      <w:r>
        <w:rPr>
          <w:rFonts w:hint="default" w:ascii="Times New Roman" w:hAnsi="Times New Roman" w:eastAsia="仿宋_GB2312" w:cs="Times New Roman"/>
          <w:color w:val="auto"/>
          <w:sz w:val="32"/>
          <w:highlight w:val="none"/>
        </w:rPr>
        <w:t>；死水位为99.66m（假设高程），相应死库容为0.7万m</w:t>
      </w:r>
      <w:r>
        <w:rPr>
          <w:rFonts w:hint="default" w:ascii="Times New Roman" w:hAnsi="Times New Roman" w:eastAsia="仿宋_GB2312" w:cs="Times New Roman"/>
          <w:color w:val="auto"/>
          <w:sz w:val="32"/>
          <w:highlight w:val="none"/>
          <w:vertAlign w:val="superscript"/>
        </w:rPr>
        <w:t>3</w:t>
      </w:r>
      <w:r>
        <w:rPr>
          <w:rFonts w:hint="default" w:ascii="Times New Roman" w:hAnsi="Times New Roman" w:eastAsia="仿宋_GB2312" w:cs="Times New Roman"/>
          <w:color w:val="auto"/>
          <w:sz w:val="32"/>
          <w:highlight w:val="none"/>
        </w:rPr>
        <w:t>。水库设计灌溉面积0.3万亩，实际灌田0.26万亩，尚未充分发挥灌溉效益。是一座具有防洪、灌溉、养鱼等综合效益的小（1）型水利工程。</w:t>
      </w:r>
    </w:p>
    <w:p>
      <w:pPr>
        <w:spacing w:line="640" w:lineRule="exact"/>
        <w:ind w:firstLine="640" w:firstLineChars="200"/>
        <w:rPr>
          <w:rFonts w:hint="default" w:ascii="Times New Roman" w:hAnsi="Times New Roman" w:eastAsia="仿宋_GB2312"/>
          <w:sz w:val="32"/>
        </w:rPr>
      </w:pPr>
      <w:r>
        <w:rPr>
          <w:rFonts w:hint="default" w:ascii="Times New Roman" w:hAnsi="Times New Roman" w:eastAsia="仿宋_GB2312"/>
          <w:sz w:val="32"/>
        </w:rPr>
        <w:t>（19）杨司桥水库</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杨司桥水库属于</w:t>
      </w:r>
      <w:r>
        <w:rPr>
          <w:rFonts w:hint="eastAsia" w:ascii="Times New Roman" w:hAnsi="Times New Roman" w:eastAsia="仿宋_GB2312" w:cs="Times New Roman"/>
          <w:color w:val="auto"/>
          <w:sz w:val="32"/>
          <w:highlight w:val="none"/>
          <w:lang w:eastAsia="zh-CN"/>
        </w:rPr>
        <w:t>祁阳市</w:t>
      </w:r>
      <w:r>
        <w:rPr>
          <w:rFonts w:hint="default" w:ascii="Times New Roman" w:hAnsi="Times New Roman" w:eastAsia="仿宋_GB2312" w:cs="Times New Roman"/>
          <w:color w:val="auto"/>
          <w:sz w:val="32"/>
          <w:highlight w:val="none"/>
        </w:rPr>
        <w:t>茅竹镇水利水电管理站管理，水库注册登记号为：43112140004-A4。水库属于湘江水系滴水岩水，水库枢纽坐落在永州市</w:t>
      </w:r>
      <w:r>
        <w:rPr>
          <w:rFonts w:hint="eastAsia" w:ascii="Times New Roman" w:hAnsi="Times New Roman" w:eastAsia="仿宋_GB2312" w:cs="Times New Roman"/>
          <w:color w:val="auto"/>
          <w:sz w:val="32"/>
          <w:highlight w:val="none"/>
          <w:lang w:eastAsia="zh-CN"/>
        </w:rPr>
        <w:t>祁阳市</w:t>
      </w:r>
      <w:r>
        <w:rPr>
          <w:rFonts w:hint="default" w:ascii="Times New Roman" w:hAnsi="Times New Roman" w:eastAsia="仿宋_GB2312" w:cs="Times New Roman"/>
          <w:color w:val="auto"/>
          <w:sz w:val="32"/>
          <w:highlight w:val="none"/>
        </w:rPr>
        <w:t>茅竹镇联合村，距茅竹镇10km，距</w:t>
      </w:r>
      <w:r>
        <w:rPr>
          <w:rFonts w:hint="eastAsia" w:ascii="Times New Roman" w:hAnsi="Times New Roman" w:eastAsia="仿宋_GB2312" w:cs="Times New Roman"/>
          <w:color w:val="auto"/>
          <w:sz w:val="32"/>
          <w:highlight w:val="none"/>
          <w:lang w:eastAsia="zh-CN"/>
        </w:rPr>
        <w:t>祁阳市</w:t>
      </w:r>
      <w:r>
        <w:rPr>
          <w:rFonts w:hint="default" w:ascii="Times New Roman" w:hAnsi="Times New Roman" w:eastAsia="仿宋_GB2312" w:cs="Times New Roman"/>
          <w:color w:val="auto"/>
          <w:sz w:val="32"/>
          <w:highlight w:val="none"/>
        </w:rPr>
        <w:t>城</w:t>
      </w:r>
      <w:r>
        <w:rPr>
          <w:rFonts w:hint="eastAsia" w:ascii="Times New Roman" w:hAnsi="Times New Roman" w:eastAsia="仿宋_GB2312" w:cs="Times New Roman"/>
          <w:color w:val="auto"/>
          <w:sz w:val="32"/>
          <w:highlight w:val="none"/>
          <w:lang w:eastAsia="zh-CN"/>
        </w:rPr>
        <w:t>区</w:t>
      </w:r>
      <w:r>
        <w:rPr>
          <w:rFonts w:hint="default" w:ascii="Times New Roman" w:hAnsi="Times New Roman" w:eastAsia="仿宋_GB2312" w:cs="Times New Roman"/>
          <w:color w:val="auto"/>
          <w:sz w:val="32"/>
          <w:highlight w:val="none"/>
        </w:rPr>
        <w:t>25km。地理坐标为东经111°45′44＂，北纬26°31′30＂。建成于1977年3月，于2011年完成除险加固。</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杨司桥水库枢纽工程主要由主、副坝、溢洪道、三个输水涵洞和进水卧管等组成。主坝为均质土坝，坝顶高程110.97m（假设高程），最大坝高12.91m，坝顶宽度6.52m，坝顶轴线长115m。副坝为均质土坝，坝顶高程111.30m，坝基高程104.55m（假设高程），最大坝高6.75m，坝顶宽度7.08m，坝顶轴线长125m。溢洪道为开敞式正槽溢洪道，由溢流堰、槽身段组成。溢流堰为宽顶堰，堰顶高程108.60m（假设高程），堰顶溢流宽12.5m，溢流道总长107.1m。</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水库坝址以上控制流域面积为2.06km</w:t>
      </w:r>
      <w:r>
        <w:rPr>
          <w:rFonts w:hint="default" w:ascii="Times New Roman" w:hAnsi="Times New Roman" w:eastAsia="仿宋_GB2312" w:cs="Times New Roman"/>
          <w:color w:val="auto"/>
          <w:sz w:val="32"/>
          <w:highlight w:val="none"/>
          <w:vertAlign w:val="superscript"/>
        </w:rPr>
        <w:t>2</w:t>
      </w:r>
      <w:r>
        <w:rPr>
          <w:rFonts w:hint="default" w:ascii="Times New Roman" w:hAnsi="Times New Roman" w:eastAsia="仿宋_GB2312" w:cs="Times New Roman"/>
          <w:color w:val="auto"/>
          <w:sz w:val="32"/>
          <w:highlight w:val="none"/>
        </w:rPr>
        <w:t>，干流长度为1.94km，干流平均坡降为11.81‰。水库总库容161.30万m</w:t>
      </w:r>
      <w:r>
        <w:rPr>
          <w:rFonts w:hint="default" w:ascii="Times New Roman" w:hAnsi="Times New Roman" w:eastAsia="仿宋_GB2312" w:cs="Times New Roman"/>
          <w:color w:val="auto"/>
          <w:sz w:val="32"/>
          <w:highlight w:val="none"/>
          <w:vertAlign w:val="superscript"/>
        </w:rPr>
        <w:t>3</w:t>
      </w:r>
      <w:r>
        <w:rPr>
          <w:rFonts w:hint="default" w:ascii="Times New Roman" w:hAnsi="Times New Roman" w:eastAsia="仿宋_GB2312" w:cs="Times New Roman"/>
          <w:color w:val="auto"/>
          <w:sz w:val="32"/>
          <w:highlight w:val="none"/>
        </w:rPr>
        <w:t>，水库正常蓄水位为108.60m（假设高程），相应正常库容为138.3万m</w:t>
      </w:r>
      <w:r>
        <w:rPr>
          <w:rFonts w:hint="default" w:ascii="Times New Roman" w:hAnsi="Times New Roman" w:eastAsia="仿宋_GB2312" w:cs="Times New Roman"/>
          <w:color w:val="auto"/>
          <w:sz w:val="32"/>
          <w:highlight w:val="none"/>
          <w:vertAlign w:val="superscript"/>
        </w:rPr>
        <w:t>3</w:t>
      </w:r>
      <w:r>
        <w:rPr>
          <w:rFonts w:hint="default" w:ascii="Times New Roman" w:hAnsi="Times New Roman" w:eastAsia="仿宋_GB2312" w:cs="Times New Roman"/>
          <w:color w:val="auto"/>
          <w:sz w:val="32"/>
          <w:highlight w:val="none"/>
        </w:rPr>
        <w:t>；死水位为100.60m（假设高程），相应死库容为2.0万m</w:t>
      </w:r>
      <w:r>
        <w:rPr>
          <w:rFonts w:hint="default" w:ascii="Times New Roman" w:hAnsi="Times New Roman" w:eastAsia="仿宋_GB2312" w:cs="Times New Roman"/>
          <w:color w:val="auto"/>
          <w:sz w:val="32"/>
          <w:highlight w:val="none"/>
          <w:vertAlign w:val="superscript"/>
        </w:rPr>
        <w:t>3</w:t>
      </w:r>
      <w:r>
        <w:rPr>
          <w:rFonts w:hint="default" w:ascii="Times New Roman" w:hAnsi="Times New Roman" w:eastAsia="仿宋_GB2312" w:cs="Times New Roman"/>
          <w:color w:val="auto"/>
          <w:sz w:val="32"/>
          <w:highlight w:val="none"/>
        </w:rPr>
        <w:t>。设计灌溉面积0.30万亩，是一座以灌溉为主，兼顾防洪、养鱼等综合利用的小（1）型水利工程。</w:t>
      </w:r>
    </w:p>
    <w:p>
      <w:pPr>
        <w:spacing w:line="640" w:lineRule="exact"/>
        <w:ind w:firstLine="640" w:firstLineChars="200"/>
        <w:rPr>
          <w:rFonts w:hint="default" w:ascii="Times New Roman" w:hAnsi="Times New Roman" w:eastAsia="仿宋_GB2312"/>
          <w:sz w:val="32"/>
        </w:rPr>
      </w:pPr>
      <w:r>
        <w:rPr>
          <w:rFonts w:hint="default" w:ascii="Times New Roman" w:hAnsi="Times New Roman" w:eastAsia="仿宋_GB2312"/>
          <w:sz w:val="32"/>
        </w:rPr>
        <w:t>（20）舜塘水库</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舜塘水库属于</w:t>
      </w:r>
      <w:r>
        <w:rPr>
          <w:rFonts w:hint="eastAsia" w:ascii="Times New Roman" w:hAnsi="Times New Roman" w:eastAsia="仿宋_GB2312" w:cs="Times New Roman"/>
          <w:color w:val="auto"/>
          <w:sz w:val="32"/>
          <w:highlight w:val="none"/>
          <w:lang w:eastAsia="zh-CN"/>
        </w:rPr>
        <w:t>祁阳市</w:t>
      </w:r>
      <w:r>
        <w:rPr>
          <w:rFonts w:hint="default" w:ascii="Times New Roman" w:hAnsi="Times New Roman" w:eastAsia="仿宋_GB2312" w:cs="Times New Roman"/>
          <w:color w:val="auto"/>
          <w:sz w:val="32"/>
          <w:highlight w:val="none"/>
        </w:rPr>
        <w:t>龚家坪镇人民政府管理，水库注册登记号为：43112140013-A4。水库属湘江水系祁水一级支流酒塘水，水库枢纽坐落在永州市</w:t>
      </w:r>
      <w:r>
        <w:rPr>
          <w:rFonts w:hint="eastAsia" w:ascii="Times New Roman" w:hAnsi="Times New Roman" w:eastAsia="仿宋_GB2312" w:cs="Times New Roman"/>
          <w:color w:val="auto"/>
          <w:sz w:val="32"/>
          <w:highlight w:val="none"/>
          <w:lang w:eastAsia="zh-CN"/>
        </w:rPr>
        <w:t>祁阳市</w:t>
      </w:r>
      <w:r>
        <w:rPr>
          <w:rFonts w:hint="default" w:ascii="Times New Roman" w:hAnsi="Times New Roman" w:eastAsia="仿宋_GB2312" w:cs="Times New Roman"/>
          <w:color w:val="auto"/>
          <w:sz w:val="32"/>
          <w:highlight w:val="none"/>
        </w:rPr>
        <w:t>龚家坪镇舜塘村境内，距龚家坪镇5km，距</w:t>
      </w:r>
      <w:r>
        <w:rPr>
          <w:rFonts w:hint="eastAsia" w:ascii="Times New Roman" w:hAnsi="Times New Roman" w:eastAsia="仿宋_GB2312" w:cs="Times New Roman"/>
          <w:color w:val="auto"/>
          <w:sz w:val="32"/>
          <w:highlight w:val="none"/>
          <w:lang w:eastAsia="zh-CN"/>
        </w:rPr>
        <w:t>祁阳市</w:t>
      </w:r>
      <w:r>
        <w:rPr>
          <w:rFonts w:hint="default" w:ascii="Times New Roman" w:hAnsi="Times New Roman" w:eastAsia="仿宋_GB2312" w:cs="Times New Roman"/>
          <w:color w:val="auto"/>
          <w:sz w:val="32"/>
          <w:highlight w:val="none"/>
        </w:rPr>
        <w:t>城</w:t>
      </w:r>
      <w:r>
        <w:rPr>
          <w:rFonts w:hint="eastAsia" w:ascii="Times New Roman" w:hAnsi="Times New Roman" w:eastAsia="仿宋_GB2312" w:cs="Times New Roman"/>
          <w:color w:val="auto"/>
          <w:sz w:val="32"/>
          <w:highlight w:val="none"/>
          <w:lang w:eastAsia="zh-CN"/>
        </w:rPr>
        <w:t>区</w:t>
      </w:r>
      <w:r>
        <w:rPr>
          <w:rFonts w:hint="default" w:ascii="Times New Roman" w:hAnsi="Times New Roman" w:eastAsia="仿宋_GB2312" w:cs="Times New Roman"/>
          <w:color w:val="auto"/>
          <w:sz w:val="32"/>
          <w:highlight w:val="none"/>
        </w:rPr>
        <w:t>40km。地理坐标为东经111°39′09＂，北纬26°46′45＂。建成于1967年12月，于2011年完成除险加固。</w:t>
      </w:r>
    </w:p>
    <w:p>
      <w:pPr>
        <w:spacing w:before="156" w:beforeLines="50" w:line="360" w:lineRule="auto"/>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水库工程主要由主坝、副坝、溢洪道、两个输水涵洞及进水卧管等组成，主坝为均质土坝，最大坝高12.69m，坝顶高程188.29m（假设高程），坝轴线长163m，坝顶宽为3.99m。副坝为均质土坝，最大坝高4.8m，坝顶高程188.12m（假设高程），坝轴线长38m，坝顶宽为3.43m。溢洪道位于主、副坝之间，堰型为正槽式宽顶堰，堰顶高程186.30m（假设高程），堰顶宽4.2m。</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水库坝址以上控制流域面积为1.44km</w:t>
      </w:r>
      <w:r>
        <w:rPr>
          <w:rFonts w:hint="default" w:ascii="Times New Roman" w:hAnsi="Times New Roman" w:eastAsia="仿宋_GB2312" w:cs="Times New Roman"/>
          <w:color w:val="auto"/>
          <w:sz w:val="32"/>
          <w:highlight w:val="none"/>
          <w:vertAlign w:val="superscript"/>
        </w:rPr>
        <w:t>2</w:t>
      </w:r>
      <w:r>
        <w:rPr>
          <w:rFonts w:hint="default" w:ascii="Times New Roman" w:hAnsi="Times New Roman" w:eastAsia="仿宋_GB2312" w:cs="Times New Roman"/>
          <w:color w:val="auto"/>
          <w:sz w:val="32"/>
          <w:highlight w:val="none"/>
        </w:rPr>
        <w:t>，干流长度为2.19km，干流平均坡降为25.81‰。水库总库容119.90万m</w:t>
      </w:r>
      <w:r>
        <w:rPr>
          <w:rFonts w:hint="default" w:ascii="Times New Roman" w:hAnsi="Times New Roman" w:eastAsia="仿宋_GB2312" w:cs="Times New Roman"/>
          <w:color w:val="auto"/>
          <w:sz w:val="32"/>
          <w:highlight w:val="none"/>
          <w:vertAlign w:val="superscript"/>
        </w:rPr>
        <w:t>3</w:t>
      </w:r>
      <w:r>
        <w:rPr>
          <w:rFonts w:hint="default" w:ascii="Times New Roman" w:hAnsi="Times New Roman" w:eastAsia="仿宋_GB2312" w:cs="Times New Roman"/>
          <w:color w:val="auto"/>
          <w:sz w:val="32"/>
          <w:highlight w:val="none"/>
        </w:rPr>
        <w:t>，水库正常蓄水位为186.30m（假设高程），相应正常库容为96.50万m</w:t>
      </w:r>
      <w:r>
        <w:rPr>
          <w:rFonts w:hint="default" w:ascii="Times New Roman" w:hAnsi="Times New Roman" w:eastAsia="仿宋_GB2312" w:cs="Times New Roman"/>
          <w:color w:val="auto"/>
          <w:sz w:val="32"/>
          <w:highlight w:val="none"/>
          <w:vertAlign w:val="superscript"/>
        </w:rPr>
        <w:t>3</w:t>
      </w:r>
      <w:r>
        <w:rPr>
          <w:rFonts w:hint="default" w:ascii="Times New Roman" w:hAnsi="Times New Roman" w:eastAsia="仿宋_GB2312" w:cs="Times New Roman"/>
          <w:color w:val="auto"/>
          <w:sz w:val="32"/>
          <w:highlight w:val="none"/>
        </w:rPr>
        <w:t>；死水位为177.85m（假设高程），相应死库容为3.0万m</w:t>
      </w:r>
      <w:r>
        <w:rPr>
          <w:rFonts w:hint="default" w:ascii="Times New Roman" w:hAnsi="Times New Roman" w:eastAsia="仿宋_GB2312" w:cs="Times New Roman"/>
          <w:color w:val="auto"/>
          <w:sz w:val="32"/>
          <w:highlight w:val="none"/>
          <w:vertAlign w:val="superscript"/>
        </w:rPr>
        <w:t>3</w:t>
      </w:r>
      <w:r>
        <w:rPr>
          <w:rFonts w:hint="default" w:ascii="Times New Roman" w:hAnsi="Times New Roman" w:eastAsia="仿宋_GB2312" w:cs="Times New Roman"/>
          <w:color w:val="auto"/>
          <w:sz w:val="32"/>
          <w:highlight w:val="none"/>
        </w:rPr>
        <w:t>。设计灌溉面积2500亩，该水库是一座以灌溉为主，兼有防洪、养鱼等综合利用的小（1）型水利工程。</w:t>
      </w:r>
    </w:p>
    <w:p>
      <w:pPr>
        <w:spacing w:line="640" w:lineRule="exact"/>
        <w:ind w:firstLine="640" w:firstLineChars="200"/>
        <w:rPr>
          <w:rFonts w:hint="default" w:ascii="Times New Roman" w:hAnsi="Times New Roman" w:eastAsia="仿宋_GB2312"/>
          <w:sz w:val="32"/>
        </w:rPr>
      </w:pPr>
      <w:r>
        <w:rPr>
          <w:rFonts w:hint="default" w:ascii="Times New Roman" w:hAnsi="Times New Roman" w:eastAsia="仿宋_GB2312"/>
          <w:sz w:val="32"/>
        </w:rPr>
        <w:t>（21）保定安水库</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保定安水库属于</w:t>
      </w:r>
      <w:r>
        <w:rPr>
          <w:rFonts w:hint="eastAsia" w:ascii="Times New Roman" w:hAnsi="Times New Roman" w:eastAsia="仿宋_GB2312" w:cs="Times New Roman"/>
          <w:color w:val="auto"/>
          <w:sz w:val="32"/>
          <w:highlight w:val="none"/>
          <w:lang w:eastAsia="zh-CN"/>
        </w:rPr>
        <w:t>祁阳市</w:t>
      </w:r>
      <w:r>
        <w:rPr>
          <w:rFonts w:hint="default" w:ascii="Times New Roman" w:hAnsi="Times New Roman" w:eastAsia="仿宋_GB2312" w:cs="Times New Roman"/>
          <w:color w:val="auto"/>
          <w:sz w:val="32"/>
          <w:highlight w:val="none"/>
        </w:rPr>
        <w:t>羊角塘镇人民政府管理，水库注册登记号为：43112140026-A4。水库属湘江水系二级支流清江河，水库枢纽坐落在永州市</w:t>
      </w:r>
      <w:r>
        <w:rPr>
          <w:rFonts w:hint="eastAsia" w:ascii="Times New Roman" w:hAnsi="Times New Roman" w:eastAsia="仿宋_GB2312" w:cs="Times New Roman"/>
          <w:color w:val="auto"/>
          <w:sz w:val="32"/>
          <w:highlight w:val="none"/>
          <w:lang w:eastAsia="zh-CN"/>
        </w:rPr>
        <w:t>祁阳市</w:t>
      </w:r>
      <w:r>
        <w:rPr>
          <w:rFonts w:hint="default" w:ascii="Times New Roman" w:hAnsi="Times New Roman" w:eastAsia="仿宋_GB2312" w:cs="Times New Roman"/>
          <w:color w:val="auto"/>
          <w:sz w:val="32"/>
          <w:highlight w:val="none"/>
        </w:rPr>
        <w:t>羊角塘镇隐仙岩村境内，距羊角塘镇15km，距</w:t>
      </w:r>
      <w:r>
        <w:rPr>
          <w:rFonts w:hint="eastAsia" w:ascii="Times New Roman" w:hAnsi="Times New Roman" w:eastAsia="仿宋_GB2312" w:cs="Times New Roman"/>
          <w:color w:val="auto"/>
          <w:sz w:val="32"/>
          <w:highlight w:val="none"/>
          <w:lang w:eastAsia="zh-CN"/>
        </w:rPr>
        <w:t>祁阳市</w:t>
      </w:r>
      <w:r>
        <w:rPr>
          <w:rFonts w:hint="default" w:ascii="Times New Roman" w:hAnsi="Times New Roman" w:eastAsia="仿宋_GB2312" w:cs="Times New Roman"/>
          <w:color w:val="auto"/>
          <w:sz w:val="32"/>
          <w:highlight w:val="none"/>
        </w:rPr>
        <w:t>城</w:t>
      </w:r>
      <w:r>
        <w:rPr>
          <w:rFonts w:hint="eastAsia" w:ascii="Times New Roman" w:hAnsi="Times New Roman" w:eastAsia="仿宋_GB2312" w:cs="Times New Roman"/>
          <w:color w:val="auto"/>
          <w:sz w:val="32"/>
          <w:highlight w:val="none"/>
          <w:lang w:eastAsia="zh-CN"/>
        </w:rPr>
        <w:t>区</w:t>
      </w:r>
      <w:r>
        <w:rPr>
          <w:rFonts w:hint="default" w:ascii="Times New Roman" w:hAnsi="Times New Roman" w:eastAsia="仿宋_GB2312" w:cs="Times New Roman"/>
          <w:color w:val="auto"/>
          <w:sz w:val="32"/>
          <w:highlight w:val="none"/>
        </w:rPr>
        <w:t>60km。地理坐标为东经112°03′05＂，北纬26°36′58＂。建成于1972年12月，于2012年完成除险加固。</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保定安水库工程主要由大坝、溢洪道、输水涵洞和进水卧管等组成。大坝为均质土坝，最大坝高为27.47m，坝顶高程为136.76m（假设高程）。溢洪道为正槽式宽顶堰，堰顶高程为132.08m（假设高程），溢洪道过水宽度为22.0m。水库坝址以上控制流域面积为7.47km</w:t>
      </w:r>
      <w:r>
        <w:rPr>
          <w:rFonts w:hint="default" w:ascii="Times New Roman" w:hAnsi="Times New Roman" w:eastAsia="仿宋_GB2312" w:cs="Times New Roman"/>
          <w:color w:val="auto"/>
          <w:sz w:val="32"/>
          <w:highlight w:val="none"/>
          <w:vertAlign w:val="superscript"/>
        </w:rPr>
        <w:t>2</w:t>
      </w:r>
      <w:r>
        <w:rPr>
          <w:rFonts w:hint="default" w:ascii="Times New Roman" w:hAnsi="Times New Roman" w:eastAsia="仿宋_GB2312" w:cs="Times New Roman"/>
          <w:color w:val="auto"/>
          <w:sz w:val="32"/>
          <w:highlight w:val="none"/>
        </w:rPr>
        <w:t>，干流长度为8.00km，干流平均坡降为48.51‰。</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水库坝址以上控制集雨面积为7.47km</w:t>
      </w:r>
      <w:r>
        <w:rPr>
          <w:rFonts w:hint="default" w:ascii="Times New Roman" w:hAnsi="Times New Roman" w:eastAsia="仿宋_GB2312" w:cs="Times New Roman"/>
          <w:color w:val="auto"/>
          <w:sz w:val="32"/>
          <w:highlight w:val="none"/>
          <w:vertAlign w:val="superscript"/>
        </w:rPr>
        <w:t>2</w:t>
      </w:r>
      <w:r>
        <w:rPr>
          <w:rFonts w:hint="default" w:ascii="Times New Roman" w:hAnsi="Times New Roman" w:eastAsia="仿宋_GB2312" w:cs="Times New Roman"/>
          <w:color w:val="auto"/>
          <w:sz w:val="32"/>
          <w:highlight w:val="none"/>
        </w:rPr>
        <w:t>，干流长度为8km，干流平均坡降为48.51‰。水库总库容105.00万m</w:t>
      </w:r>
      <w:r>
        <w:rPr>
          <w:rFonts w:hint="default" w:ascii="Times New Roman" w:hAnsi="Times New Roman" w:eastAsia="仿宋_GB2312" w:cs="Times New Roman"/>
          <w:color w:val="auto"/>
          <w:sz w:val="32"/>
          <w:highlight w:val="none"/>
          <w:vertAlign w:val="superscript"/>
        </w:rPr>
        <w:t>3</w:t>
      </w:r>
      <w:r>
        <w:rPr>
          <w:rFonts w:hint="default" w:ascii="Times New Roman" w:hAnsi="Times New Roman" w:eastAsia="仿宋_GB2312" w:cs="Times New Roman"/>
          <w:color w:val="auto"/>
          <w:sz w:val="32"/>
          <w:highlight w:val="none"/>
        </w:rPr>
        <w:t>，水库正常蓄水位为132.08m（假设高程），相应正常库容为83.6万m</w:t>
      </w:r>
      <w:r>
        <w:rPr>
          <w:rFonts w:hint="default" w:ascii="Times New Roman" w:hAnsi="Times New Roman" w:eastAsia="仿宋_GB2312" w:cs="Times New Roman"/>
          <w:color w:val="auto"/>
          <w:sz w:val="32"/>
          <w:highlight w:val="none"/>
          <w:vertAlign w:val="superscript"/>
        </w:rPr>
        <w:t>3</w:t>
      </w:r>
      <w:r>
        <w:rPr>
          <w:rFonts w:hint="default" w:ascii="Times New Roman" w:hAnsi="Times New Roman" w:eastAsia="仿宋_GB2312" w:cs="Times New Roman"/>
          <w:color w:val="auto"/>
          <w:sz w:val="32"/>
          <w:highlight w:val="none"/>
        </w:rPr>
        <w:t>；死水位为116.50m（假设高程），相应死库容为0.4万m</w:t>
      </w:r>
      <w:r>
        <w:rPr>
          <w:rFonts w:hint="default" w:ascii="Times New Roman" w:hAnsi="Times New Roman" w:eastAsia="仿宋_GB2312" w:cs="Times New Roman"/>
          <w:color w:val="auto"/>
          <w:sz w:val="32"/>
          <w:highlight w:val="none"/>
          <w:vertAlign w:val="superscript"/>
        </w:rPr>
        <w:t>3</w:t>
      </w:r>
      <w:r>
        <w:rPr>
          <w:rFonts w:hint="default" w:ascii="Times New Roman" w:hAnsi="Times New Roman" w:eastAsia="仿宋_GB2312" w:cs="Times New Roman"/>
          <w:color w:val="auto"/>
          <w:sz w:val="32"/>
          <w:highlight w:val="none"/>
        </w:rPr>
        <w:t>。设计灌溉面积3000亩，该枢纽工程是一座以灌溉为主，兼顾防洪、养鱼等综合利用的小（1）型水利工程。</w:t>
      </w:r>
    </w:p>
    <w:p>
      <w:pPr>
        <w:spacing w:line="640" w:lineRule="exact"/>
        <w:ind w:firstLine="640" w:firstLineChars="200"/>
        <w:rPr>
          <w:rFonts w:hint="default" w:ascii="Times New Roman" w:hAnsi="Times New Roman" w:eastAsia="仿宋_GB2312"/>
          <w:sz w:val="32"/>
        </w:rPr>
      </w:pPr>
      <w:r>
        <w:rPr>
          <w:rFonts w:hint="default" w:ascii="Times New Roman" w:hAnsi="Times New Roman" w:eastAsia="仿宋_GB2312"/>
          <w:sz w:val="32"/>
        </w:rPr>
        <w:t>（22）长塘水库</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长塘水库属于</w:t>
      </w:r>
      <w:r>
        <w:rPr>
          <w:rFonts w:hint="eastAsia" w:ascii="Times New Roman" w:hAnsi="Times New Roman" w:eastAsia="仿宋_GB2312" w:cs="Times New Roman"/>
          <w:color w:val="auto"/>
          <w:sz w:val="32"/>
          <w:highlight w:val="none"/>
          <w:lang w:eastAsia="zh-CN"/>
        </w:rPr>
        <w:t>祁阳市</w:t>
      </w:r>
      <w:r>
        <w:rPr>
          <w:rFonts w:hint="default" w:ascii="Times New Roman" w:hAnsi="Times New Roman" w:eastAsia="仿宋_GB2312" w:cs="Times New Roman"/>
          <w:color w:val="auto"/>
          <w:sz w:val="32"/>
          <w:highlight w:val="none"/>
        </w:rPr>
        <w:t>茅竹镇水利水电管理站管理，水库注册登记号为：43112140003-A4。水库位于湖南省永州市</w:t>
      </w:r>
      <w:r>
        <w:rPr>
          <w:rFonts w:hint="eastAsia" w:ascii="Times New Roman" w:hAnsi="Times New Roman" w:eastAsia="仿宋_GB2312" w:cs="Times New Roman"/>
          <w:color w:val="auto"/>
          <w:sz w:val="32"/>
          <w:highlight w:val="none"/>
          <w:lang w:eastAsia="zh-CN"/>
        </w:rPr>
        <w:t>祁阳市</w:t>
      </w:r>
      <w:r>
        <w:rPr>
          <w:rFonts w:hint="default" w:ascii="Times New Roman" w:hAnsi="Times New Roman" w:eastAsia="仿宋_GB2312" w:cs="Times New Roman"/>
          <w:color w:val="auto"/>
          <w:sz w:val="32"/>
          <w:highlight w:val="none"/>
        </w:rPr>
        <w:t>西南部，水库枢纽坐落在永州市</w:t>
      </w:r>
      <w:r>
        <w:rPr>
          <w:rFonts w:hint="eastAsia" w:ascii="Times New Roman" w:hAnsi="Times New Roman" w:eastAsia="仿宋_GB2312" w:cs="Times New Roman"/>
          <w:color w:val="auto"/>
          <w:sz w:val="32"/>
          <w:highlight w:val="none"/>
          <w:lang w:eastAsia="zh-CN"/>
        </w:rPr>
        <w:t>祁阳市</w:t>
      </w:r>
      <w:r>
        <w:rPr>
          <w:rFonts w:hint="default" w:ascii="Times New Roman" w:hAnsi="Times New Roman" w:eastAsia="仿宋_GB2312" w:cs="Times New Roman"/>
          <w:color w:val="auto"/>
          <w:sz w:val="32"/>
          <w:highlight w:val="none"/>
        </w:rPr>
        <w:t>茅竹镇茅竹社区，距茅竹镇2km，距</w:t>
      </w:r>
      <w:r>
        <w:rPr>
          <w:rFonts w:hint="eastAsia" w:ascii="Times New Roman" w:hAnsi="Times New Roman" w:eastAsia="仿宋_GB2312" w:cs="Times New Roman"/>
          <w:color w:val="auto"/>
          <w:sz w:val="32"/>
          <w:highlight w:val="none"/>
          <w:lang w:eastAsia="zh-CN"/>
        </w:rPr>
        <w:t>祁阳市</w:t>
      </w:r>
      <w:r>
        <w:rPr>
          <w:rFonts w:hint="default" w:ascii="Times New Roman" w:hAnsi="Times New Roman" w:eastAsia="仿宋_GB2312" w:cs="Times New Roman"/>
          <w:color w:val="auto"/>
          <w:sz w:val="32"/>
          <w:highlight w:val="none"/>
        </w:rPr>
        <w:t>城</w:t>
      </w:r>
      <w:r>
        <w:rPr>
          <w:rFonts w:hint="eastAsia" w:ascii="Times New Roman" w:hAnsi="Times New Roman" w:eastAsia="仿宋_GB2312" w:cs="Times New Roman"/>
          <w:color w:val="auto"/>
          <w:sz w:val="32"/>
          <w:highlight w:val="none"/>
          <w:lang w:eastAsia="zh-CN"/>
        </w:rPr>
        <w:t>区</w:t>
      </w:r>
      <w:r>
        <w:rPr>
          <w:rFonts w:hint="default" w:ascii="Times New Roman" w:hAnsi="Times New Roman" w:eastAsia="仿宋_GB2312" w:cs="Times New Roman"/>
          <w:color w:val="auto"/>
          <w:sz w:val="32"/>
          <w:highlight w:val="none"/>
        </w:rPr>
        <w:t>24km。地理坐标为东经111°46′44＂，北纬26°31′35＂。建成于1975年3月，于2014年完成除险加固。</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长塘水库工程主要由大坝、溢洪道、输水涵洞和进水卧管等组成。大坝为均质土坝，最大坝高10.46m，坝顶宽3.5m，坝顶轴线长130m，坝顶高程136.65m（假设高程）。水库正常蓄水位为134.08m（假设高程），相应正常库容为106.4万m</w:t>
      </w:r>
      <w:r>
        <w:rPr>
          <w:rFonts w:hint="default" w:ascii="Times New Roman" w:hAnsi="Times New Roman" w:eastAsia="仿宋_GB2312" w:cs="Times New Roman"/>
          <w:color w:val="auto"/>
          <w:sz w:val="32"/>
          <w:highlight w:val="none"/>
          <w:vertAlign w:val="superscript"/>
        </w:rPr>
        <w:t>3</w:t>
      </w:r>
      <w:r>
        <w:rPr>
          <w:rFonts w:hint="default" w:ascii="Times New Roman" w:hAnsi="Times New Roman" w:eastAsia="仿宋_GB2312" w:cs="Times New Roman"/>
          <w:color w:val="auto"/>
          <w:sz w:val="32"/>
          <w:highlight w:val="none"/>
        </w:rPr>
        <w:t>。溢洪道溢流堰堰型为正槽式无坎宽顶堰，堰顶高程为134.08m，溢洪道过水宽度为3.8m。</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水库坝址以上控制集雨面积为1.25km</w:t>
      </w:r>
      <w:r>
        <w:rPr>
          <w:rFonts w:hint="default" w:ascii="Times New Roman" w:hAnsi="Times New Roman" w:eastAsia="仿宋_GB2312" w:cs="Times New Roman"/>
          <w:color w:val="auto"/>
          <w:sz w:val="32"/>
          <w:highlight w:val="none"/>
          <w:vertAlign w:val="superscript"/>
        </w:rPr>
        <w:t>2</w:t>
      </w:r>
      <w:r>
        <w:rPr>
          <w:rFonts w:hint="default" w:ascii="Times New Roman" w:hAnsi="Times New Roman" w:eastAsia="仿宋_GB2312" w:cs="Times New Roman"/>
          <w:color w:val="auto"/>
          <w:sz w:val="32"/>
          <w:highlight w:val="none"/>
        </w:rPr>
        <w:t>，干流长度为2.1km，干流平均坡降为12.57‰。水库总库容123.80万m</w:t>
      </w:r>
      <w:r>
        <w:rPr>
          <w:rFonts w:hint="default" w:ascii="Times New Roman" w:hAnsi="Times New Roman" w:eastAsia="仿宋_GB2312" w:cs="Times New Roman"/>
          <w:color w:val="auto"/>
          <w:sz w:val="32"/>
          <w:highlight w:val="none"/>
          <w:vertAlign w:val="superscript"/>
        </w:rPr>
        <w:t>3</w:t>
      </w:r>
      <w:r>
        <w:rPr>
          <w:rFonts w:hint="default" w:ascii="Times New Roman" w:hAnsi="Times New Roman" w:eastAsia="仿宋_GB2312" w:cs="Times New Roman"/>
          <w:color w:val="auto"/>
          <w:sz w:val="32"/>
          <w:highlight w:val="none"/>
        </w:rPr>
        <w:t>，水库正常蓄水位为134.08m（假设高程），相应正常库容为106.4万m</w:t>
      </w:r>
      <w:r>
        <w:rPr>
          <w:rFonts w:hint="default" w:ascii="Times New Roman" w:hAnsi="Times New Roman" w:eastAsia="仿宋_GB2312" w:cs="Times New Roman"/>
          <w:color w:val="auto"/>
          <w:sz w:val="32"/>
          <w:highlight w:val="none"/>
          <w:vertAlign w:val="superscript"/>
        </w:rPr>
        <w:t>3</w:t>
      </w:r>
      <w:r>
        <w:rPr>
          <w:rFonts w:hint="default" w:ascii="Times New Roman" w:hAnsi="Times New Roman" w:eastAsia="仿宋_GB2312" w:cs="Times New Roman"/>
          <w:color w:val="auto"/>
          <w:sz w:val="32"/>
          <w:highlight w:val="none"/>
        </w:rPr>
        <w:t>，死水位为128.00m（假设高程），相应死库容为19.4万m</w:t>
      </w:r>
      <w:r>
        <w:rPr>
          <w:rFonts w:hint="default" w:ascii="Times New Roman" w:hAnsi="Times New Roman" w:eastAsia="仿宋_GB2312" w:cs="Times New Roman"/>
          <w:color w:val="auto"/>
          <w:sz w:val="32"/>
          <w:highlight w:val="none"/>
          <w:vertAlign w:val="superscript"/>
        </w:rPr>
        <w:t>3</w:t>
      </w:r>
      <w:r>
        <w:rPr>
          <w:rFonts w:hint="default" w:ascii="Times New Roman" w:hAnsi="Times New Roman" w:eastAsia="仿宋_GB2312" w:cs="Times New Roman"/>
          <w:color w:val="auto"/>
          <w:sz w:val="32"/>
          <w:highlight w:val="none"/>
        </w:rPr>
        <w:t>。设计灌溉面积1500亩，该枢纽工程是一座以灌溉为主，兼顾防洪、养鱼等综合利用的小（1）型水利工程。</w:t>
      </w:r>
    </w:p>
    <w:p>
      <w:pPr>
        <w:spacing w:line="640" w:lineRule="exact"/>
        <w:ind w:firstLine="640" w:firstLineChars="200"/>
        <w:rPr>
          <w:rFonts w:hint="default" w:ascii="Times New Roman" w:hAnsi="Times New Roman" w:eastAsia="仿宋_GB2312" w:cs="Times New Roman"/>
          <w:color w:val="auto"/>
          <w:sz w:val="32"/>
          <w:highlight w:val="none"/>
        </w:rPr>
      </w:pPr>
    </w:p>
    <w:p>
      <w:pPr>
        <w:spacing w:line="640" w:lineRule="exact"/>
        <w:ind w:firstLine="640" w:firstLineChars="200"/>
        <w:rPr>
          <w:rFonts w:hint="default" w:ascii="Times New Roman" w:hAnsi="Times New Roman" w:eastAsia="仿宋_GB2312"/>
          <w:sz w:val="32"/>
        </w:rPr>
      </w:pPr>
      <w:r>
        <w:rPr>
          <w:rFonts w:hint="default" w:ascii="Times New Roman" w:hAnsi="Times New Roman" w:eastAsia="仿宋_GB2312"/>
          <w:sz w:val="32"/>
        </w:rPr>
        <w:t>（23）茶园水库</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茶园水库属于</w:t>
      </w:r>
      <w:r>
        <w:rPr>
          <w:rFonts w:hint="eastAsia" w:ascii="Times New Roman" w:hAnsi="Times New Roman" w:eastAsia="仿宋_GB2312" w:cs="Times New Roman"/>
          <w:color w:val="auto"/>
          <w:sz w:val="32"/>
          <w:highlight w:val="none"/>
          <w:lang w:eastAsia="zh-CN"/>
        </w:rPr>
        <w:t>祁阳市</w:t>
      </w:r>
      <w:r>
        <w:rPr>
          <w:rFonts w:hint="default" w:ascii="Times New Roman" w:hAnsi="Times New Roman" w:eastAsia="仿宋_GB2312" w:cs="Times New Roman"/>
          <w:color w:val="auto"/>
          <w:sz w:val="32"/>
          <w:highlight w:val="none"/>
        </w:rPr>
        <w:t>茅竹镇水利水电管理站管理，水库注册登记号为：43112140005-A4。水库位于湖南省永州市</w:t>
      </w:r>
      <w:r>
        <w:rPr>
          <w:rFonts w:hint="eastAsia" w:ascii="Times New Roman" w:hAnsi="Times New Roman" w:eastAsia="仿宋_GB2312" w:cs="Times New Roman"/>
          <w:color w:val="auto"/>
          <w:sz w:val="32"/>
          <w:highlight w:val="none"/>
          <w:lang w:eastAsia="zh-CN"/>
        </w:rPr>
        <w:t>祁阳市</w:t>
      </w:r>
      <w:r>
        <w:rPr>
          <w:rFonts w:hint="default" w:ascii="Times New Roman" w:hAnsi="Times New Roman" w:eastAsia="仿宋_GB2312" w:cs="Times New Roman"/>
          <w:color w:val="auto"/>
          <w:sz w:val="32"/>
          <w:highlight w:val="none"/>
        </w:rPr>
        <w:t>西南部，属湘江水系一级小支流茶园冲河，水库枢纽坐落在永州市</w:t>
      </w:r>
      <w:r>
        <w:rPr>
          <w:rFonts w:hint="eastAsia" w:ascii="Times New Roman" w:hAnsi="Times New Roman" w:eastAsia="仿宋_GB2312" w:cs="Times New Roman"/>
          <w:color w:val="auto"/>
          <w:sz w:val="32"/>
          <w:highlight w:val="none"/>
          <w:lang w:eastAsia="zh-CN"/>
        </w:rPr>
        <w:t>祁阳市</w:t>
      </w:r>
      <w:r>
        <w:rPr>
          <w:rFonts w:hint="default" w:ascii="Times New Roman" w:hAnsi="Times New Roman" w:eastAsia="仿宋_GB2312" w:cs="Times New Roman"/>
          <w:color w:val="auto"/>
          <w:sz w:val="32"/>
          <w:highlight w:val="none"/>
        </w:rPr>
        <w:t>茅竹镇茶园村，距茅竹镇10.0km，距</w:t>
      </w:r>
      <w:r>
        <w:rPr>
          <w:rFonts w:hint="eastAsia" w:ascii="Times New Roman" w:hAnsi="Times New Roman" w:eastAsia="仿宋_GB2312" w:cs="Times New Roman"/>
          <w:color w:val="auto"/>
          <w:sz w:val="32"/>
          <w:highlight w:val="none"/>
          <w:lang w:eastAsia="zh-CN"/>
        </w:rPr>
        <w:t>祁阳市</w:t>
      </w:r>
      <w:r>
        <w:rPr>
          <w:rFonts w:hint="default" w:ascii="Times New Roman" w:hAnsi="Times New Roman" w:eastAsia="仿宋_GB2312" w:cs="Times New Roman"/>
          <w:color w:val="auto"/>
          <w:sz w:val="32"/>
          <w:highlight w:val="none"/>
        </w:rPr>
        <w:t>城</w:t>
      </w:r>
      <w:r>
        <w:rPr>
          <w:rFonts w:hint="eastAsia" w:ascii="Times New Roman" w:hAnsi="Times New Roman" w:eastAsia="仿宋_GB2312" w:cs="Times New Roman"/>
          <w:color w:val="auto"/>
          <w:sz w:val="32"/>
          <w:highlight w:val="none"/>
          <w:lang w:eastAsia="zh-CN"/>
        </w:rPr>
        <w:t>区</w:t>
      </w:r>
      <w:r>
        <w:rPr>
          <w:rFonts w:hint="default" w:ascii="Times New Roman" w:hAnsi="Times New Roman" w:eastAsia="仿宋_GB2312" w:cs="Times New Roman"/>
          <w:color w:val="auto"/>
          <w:sz w:val="32"/>
          <w:highlight w:val="none"/>
        </w:rPr>
        <w:t>14.0km。地理坐标为东经111°47′26＂，北纬26°31′35＂。建成于1969年2月，于2014年完成除险加固。</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茶园水库工程主要由大坝、溢洪道、输水涵洞和进水卧管等组成。大坝为均质土坝，最大坝高15.66m，坝顶宽度3.0m，坝顶轴线长160.51m，坝顶高程118.47m（假设高程）。溢洪道溢流堰堰型为正槽式无坎宽顶堰，堰顶高程为116.18m（假设高程），溢洪道过水宽度为2.8m。</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水库坝址以上控制集雨面积为1.2km</w:t>
      </w:r>
      <w:r>
        <w:rPr>
          <w:rFonts w:hint="default" w:ascii="Times New Roman" w:hAnsi="Times New Roman" w:eastAsia="仿宋_GB2312" w:cs="Times New Roman"/>
          <w:color w:val="auto"/>
          <w:sz w:val="32"/>
          <w:highlight w:val="none"/>
          <w:vertAlign w:val="superscript"/>
        </w:rPr>
        <w:t>2</w:t>
      </w:r>
      <w:r>
        <w:rPr>
          <w:rFonts w:hint="default" w:ascii="Times New Roman" w:hAnsi="Times New Roman" w:eastAsia="仿宋_GB2312" w:cs="Times New Roman"/>
          <w:color w:val="auto"/>
          <w:sz w:val="32"/>
          <w:highlight w:val="none"/>
        </w:rPr>
        <w:t>，干流长度为1.9km，干流平均坡降为16.65‰。水库总库容129.80万m</w:t>
      </w:r>
      <w:r>
        <w:rPr>
          <w:rFonts w:hint="default" w:ascii="Times New Roman" w:hAnsi="Times New Roman" w:eastAsia="仿宋_GB2312" w:cs="Times New Roman"/>
          <w:color w:val="auto"/>
          <w:sz w:val="32"/>
          <w:highlight w:val="none"/>
          <w:vertAlign w:val="superscript"/>
        </w:rPr>
        <w:t>3</w:t>
      </w:r>
      <w:r>
        <w:rPr>
          <w:rFonts w:hint="default" w:ascii="Times New Roman" w:hAnsi="Times New Roman" w:eastAsia="仿宋_GB2312" w:cs="Times New Roman"/>
          <w:color w:val="auto"/>
          <w:sz w:val="32"/>
          <w:highlight w:val="none"/>
        </w:rPr>
        <w:t>，水库正常蓄水位为114.52m（假设高程），相应正常库容为115.5万m</w:t>
      </w:r>
      <w:r>
        <w:rPr>
          <w:rFonts w:hint="default" w:ascii="Times New Roman" w:hAnsi="Times New Roman" w:eastAsia="仿宋_GB2312" w:cs="Times New Roman"/>
          <w:color w:val="auto"/>
          <w:sz w:val="32"/>
          <w:highlight w:val="none"/>
          <w:vertAlign w:val="superscript"/>
        </w:rPr>
        <w:t>3</w:t>
      </w:r>
      <w:r>
        <w:rPr>
          <w:rFonts w:hint="default" w:ascii="Times New Roman" w:hAnsi="Times New Roman" w:eastAsia="仿宋_GB2312" w:cs="Times New Roman"/>
          <w:color w:val="auto"/>
          <w:sz w:val="32"/>
          <w:highlight w:val="none"/>
        </w:rPr>
        <w:t>，死水位为107.53m（假设高程），相应死库容为12.60万m</w:t>
      </w:r>
      <w:r>
        <w:rPr>
          <w:rFonts w:hint="default" w:ascii="Times New Roman" w:hAnsi="Times New Roman" w:eastAsia="仿宋_GB2312" w:cs="Times New Roman"/>
          <w:color w:val="auto"/>
          <w:sz w:val="32"/>
          <w:highlight w:val="none"/>
          <w:vertAlign w:val="superscript"/>
        </w:rPr>
        <w:t>3</w:t>
      </w:r>
      <w:r>
        <w:rPr>
          <w:rFonts w:hint="default" w:ascii="Times New Roman" w:hAnsi="Times New Roman" w:eastAsia="仿宋_GB2312" w:cs="Times New Roman"/>
          <w:color w:val="auto"/>
          <w:sz w:val="32"/>
          <w:highlight w:val="none"/>
        </w:rPr>
        <w:t>。设计灌溉面积2100亩，该枢纽工程是一座以灌溉为主，兼顾防洪、养鱼等综合利用的小（1）型水利工程。</w:t>
      </w:r>
    </w:p>
    <w:p>
      <w:pPr>
        <w:spacing w:line="640" w:lineRule="exact"/>
        <w:ind w:firstLine="640" w:firstLineChars="200"/>
        <w:rPr>
          <w:rFonts w:hint="default" w:ascii="Times New Roman" w:hAnsi="Times New Roman" w:eastAsia="仿宋_GB2312"/>
          <w:sz w:val="32"/>
        </w:rPr>
      </w:pPr>
      <w:r>
        <w:rPr>
          <w:rFonts w:hint="default" w:ascii="Times New Roman" w:hAnsi="Times New Roman" w:eastAsia="仿宋_GB2312"/>
          <w:sz w:val="32"/>
        </w:rPr>
        <w:t>（24）乌山冲水库</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乌山冲水库属于</w:t>
      </w:r>
      <w:r>
        <w:rPr>
          <w:rFonts w:hint="eastAsia" w:ascii="Times New Roman" w:hAnsi="Times New Roman" w:eastAsia="仿宋_GB2312" w:cs="Times New Roman"/>
          <w:color w:val="auto"/>
          <w:sz w:val="32"/>
          <w:highlight w:val="none"/>
          <w:lang w:eastAsia="zh-CN"/>
        </w:rPr>
        <w:t>祁阳市</w:t>
      </w:r>
      <w:r>
        <w:rPr>
          <w:rFonts w:hint="default" w:ascii="Times New Roman" w:hAnsi="Times New Roman" w:eastAsia="仿宋_GB2312" w:cs="Times New Roman"/>
          <w:color w:val="auto"/>
          <w:sz w:val="32"/>
          <w:highlight w:val="none"/>
        </w:rPr>
        <w:t>七里桥镇人民政府管理，水库注册登记号为：43112140021-A4。水库位于湖南省永州市</w:t>
      </w:r>
      <w:r>
        <w:rPr>
          <w:rFonts w:hint="eastAsia" w:ascii="Times New Roman" w:hAnsi="Times New Roman" w:eastAsia="仿宋_GB2312" w:cs="Times New Roman"/>
          <w:color w:val="auto"/>
          <w:sz w:val="32"/>
          <w:highlight w:val="none"/>
          <w:lang w:eastAsia="zh-CN"/>
        </w:rPr>
        <w:t>祁阳市</w:t>
      </w:r>
      <w:r>
        <w:rPr>
          <w:rFonts w:hint="default" w:ascii="Times New Roman" w:hAnsi="Times New Roman" w:eastAsia="仿宋_GB2312" w:cs="Times New Roman"/>
          <w:color w:val="auto"/>
          <w:sz w:val="32"/>
          <w:highlight w:val="none"/>
        </w:rPr>
        <w:t>中部，属湘江一级支流祁水</w:t>
      </w:r>
      <w:r>
        <w:rPr>
          <w:rFonts w:hint="default" w:ascii="Times New Roman" w:hAnsi="Times New Roman" w:eastAsia="仿宋_GB2312" w:cs="Times New Roman"/>
          <w:color w:val="auto"/>
          <w:sz w:val="32"/>
          <w:highlight w:val="none"/>
          <w:lang w:val="en-US" w:eastAsia="zh-CN"/>
        </w:rPr>
        <w:t>上</w:t>
      </w:r>
      <w:r>
        <w:rPr>
          <w:rFonts w:hint="default" w:ascii="Times New Roman" w:hAnsi="Times New Roman" w:eastAsia="仿宋_GB2312" w:cs="Times New Roman"/>
          <w:color w:val="auto"/>
          <w:sz w:val="32"/>
          <w:highlight w:val="none"/>
        </w:rPr>
        <w:t>，水库枢纽坐落在永州市</w:t>
      </w:r>
      <w:r>
        <w:rPr>
          <w:rFonts w:hint="eastAsia" w:ascii="Times New Roman" w:hAnsi="Times New Roman" w:eastAsia="仿宋_GB2312" w:cs="Times New Roman"/>
          <w:color w:val="auto"/>
          <w:sz w:val="32"/>
          <w:highlight w:val="none"/>
          <w:lang w:eastAsia="zh-CN"/>
        </w:rPr>
        <w:t>祁阳市</w:t>
      </w:r>
      <w:r>
        <w:rPr>
          <w:rFonts w:hint="default" w:ascii="Times New Roman" w:hAnsi="Times New Roman" w:eastAsia="仿宋_GB2312" w:cs="Times New Roman"/>
          <w:color w:val="auto"/>
          <w:sz w:val="32"/>
          <w:highlight w:val="none"/>
        </w:rPr>
        <w:t>七里桥镇乌山冲村，距七里桥镇8km，距</w:t>
      </w:r>
      <w:r>
        <w:rPr>
          <w:rFonts w:hint="eastAsia" w:ascii="Times New Roman" w:hAnsi="Times New Roman" w:eastAsia="仿宋_GB2312" w:cs="Times New Roman"/>
          <w:color w:val="auto"/>
          <w:sz w:val="32"/>
          <w:highlight w:val="none"/>
          <w:lang w:eastAsia="zh-CN"/>
        </w:rPr>
        <w:t>祁阳市</w:t>
      </w:r>
      <w:r>
        <w:rPr>
          <w:rFonts w:hint="default" w:ascii="Times New Roman" w:hAnsi="Times New Roman" w:eastAsia="仿宋_GB2312" w:cs="Times New Roman"/>
          <w:color w:val="auto"/>
          <w:sz w:val="32"/>
          <w:highlight w:val="none"/>
        </w:rPr>
        <w:t>城</w:t>
      </w:r>
      <w:r>
        <w:rPr>
          <w:rFonts w:hint="eastAsia" w:ascii="Times New Roman" w:hAnsi="Times New Roman" w:eastAsia="仿宋_GB2312" w:cs="Times New Roman"/>
          <w:color w:val="auto"/>
          <w:sz w:val="32"/>
          <w:highlight w:val="none"/>
          <w:lang w:eastAsia="zh-CN"/>
        </w:rPr>
        <w:t>区</w:t>
      </w:r>
      <w:r>
        <w:rPr>
          <w:rFonts w:hint="default" w:ascii="Times New Roman" w:hAnsi="Times New Roman" w:eastAsia="仿宋_GB2312" w:cs="Times New Roman"/>
          <w:color w:val="auto"/>
          <w:sz w:val="32"/>
          <w:highlight w:val="none"/>
        </w:rPr>
        <w:t>17km。地理坐标为东经111°55′17＂，北纬26°35′00＂。建成于1966年10月，于2014年完成除险加固。</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乌山冲水库工程主要由大坝、溢洪道、输水涵洞和放水卧管等组成。大坝为均质土坝，最大坝高为24.87m，坝顶宽4.74m，坝轴线长76m，坝顶高程为184.87m（假设高程）。溢洪道为正槽式宽顶堰，堰顶高程为182.90m（假设高程），溢洪道过水宽度为8.5m。</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水库坝址以上控制集雨面积为1.71km</w:t>
      </w:r>
      <w:r>
        <w:rPr>
          <w:rFonts w:hint="default" w:ascii="Times New Roman" w:hAnsi="Times New Roman" w:eastAsia="仿宋_GB2312" w:cs="Times New Roman"/>
          <w:color w:val="auto"/>
          <w:sz w:val="32"/>
          <w:highlight w:val="none"/>
          <w:vertAlign w:val="superscript"/>
        </w:rPr>
        <w:t>2</w:t>
      </w:r>
      <w:r>
        <w:rPr>
          <w:rFonts w:hint="default" w:ascii="Times New Roman" w:hAnsi="Times New Roman" w:eastAsia="仿宋_GB2312" w:cs="Times New Roman"/>
          <w:color w:val="auto"/>
          <w:sz w:val="32"/>
          <w:highlight w:val="none"/>
        </w:rPr>
        <w:t>，干流长度为2.23km，干流坡降为43.26‰。水库总库容102.90万m</w:t>
      </w:r>
      <w:r>
        <w:rPr>
          <w:rFonts w:hint="default" w:ascii="Times New Roman" w:hAnsi="Times New Roman" w:eastAsia="仿宋_GB2312" w:cs="Times New Roman"/>
          <w:color w:val="auto"/>
          <w:sz w:val="32"/>
          <w:highlight w:val="none"/>
          <w:vertAlign w:val="superscript"/>
        </w:rPr>
        <w:t>3</w:t>
      </w:r>
      <w:r>
        <w:rPr>
          <w:rFonts w:hint="default" w:ascii="Times New Roman" w:hAnsi="Times New Roman" w:eastAsia="仿宋_GB2312" w:cs="Times New Roman"/>
          <w:color w:val="auto"/>
          <w:sz w:val="32"/>
          <w:highlight w:val="none"/>
        </w:rPr>
        <w:t>，水库正常蓄水位为182.90m（假设高程），相应正常库容为88.9万m</w:t>
      </w:r>
      <w:r>
        <w:rPr>
          <w:rFonts w:hint="default" w:ascii="Times New Roman" w:hAnsi="Times New Roman" w:eastAsia="仿宋_GB2312" w:cs="Times New Roman"/>
          <w:color w:val="auto"/>
          <w:sz w:val="32"/>
          <w:highlight w:val="none"/>
          <w:vertAlign w:val="superscript"/>
        </w:rPr>
        <w:t>3</w:t>
      </w:r>
      <w:r>
        <w:rPr>
          <w:rFonts w:hint="default" w:ascii="Times New Roman" w:hAnsi="Times New Roman" w:eastAsia="仿宋_GB2312" w:cs="Times New Roman"/>
          <w:color w:val="auto"/>
          <w:sz w:val="32"/>
          <w:highlight w:val="none"/>
        </w:rPr>
        <w:t>；死水位为164.39m（假设高程），相应死库容为0.2万m</w:t>
      </w:r>
      <w:r>
        <w:rPr>
          <w:rFonts w:hint="default" w:ascii="Times New Roman" w:hAnsi="Times New Roman" w:eastAsia="仿宋_GB2312" w:cs="Times New Roman"/>
          <w:color w:val="auto"/>
          <w:sz w:val="32"/>
          <w:highlight w:val="none"/>
          <w:vertAlign w:val="superscript"/>
        </w:rPr>
        <w:t>3</w:t>
      </w:r>
      <w:r>
        <w:rPr>
          <w:rFonts w:hint="default" w:ascii="Times New Roman" w:hAnsi="Times New Roman" w:eastAsia="仿宋_GB2312" w:cs="Times New Roman"/>
          <w:color w:val="auto"/>
          <w:sz w:val="32"/>
          <w:highlight w:val="none"/>
        </w:rPr>
        <w:t>。设计灌溉面积3400亩，该枢纽工程是一座以灌溉为主，兼顾防洪、养鱼等综合利用的小（1）型水利工程。</w:t>
      </w:r>
    </w:p>
    <w:p>
      <w:pPr>
        <w:spacing w:line="640" w:lineRule="exact"/>
        <w:ind w:firstLine="640" w:firstLineChars="200"/>
        <w:rPr>
          <w:rFonts w:hint="default" w:ascii="Times New Roman" w:hAnsi="Times New Roman" w:eastAsia="仿宋_GB2312"/>
          <w:sz w:val="32"/>
        </w:rPr>
      </w:pPr>
      <w:r>
        <w:rPr>
          <w:rFonts w:hint="default" w:ascii="Times New Roman" w:hAnsi="Times New Roman" w:eastAsia="仿宋_GB2312"/>
          <w:sz w:val="32"/>
        </w:rPr>
        <w:t>（25）唐家冲水库</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唐家冲水库属于</w:t>
      </w:r>
      <w:r>
        <w:rPr>
          <w:rFonts w:hint="eastAsia" w:ascii="Times New Roman" w:hAnsi="Times New Roman" w:eastAsia="仿宋_GB2312" w:cs="Times New Roman"/>
          <w:color w:val="auto"/>
          <w:sz w:val="32"/>
          <w:highlight w:val="none"/>
          <w:lang w:eastAsia="zh-CN"/>
        </w:rPr>
        <w:t>祁阳市</w:t>
      </w:r>
      <w:r>
        <w:rPr>
          <w:rFonts w:hint="default" w:ascii="Times New Roman" w:hAnsi="Times New Roman" w:eastAsia="仿宋_GB2312" w:cs="Times New Roman"/>
          <w:color w:val="auto"/>
          <w:sz w:val="32"/>
          <w:highlight w:val="none"/>
        </w:rPr>
        <w:t>大江水库管理所管理，水库注册登记号为：43112140009-A4。水库位于位于湖南省永州市</w:t>
      </w:r>
      <w:r>
        <w:rPr>
          <w:rFonts w:hint="eastAsia" w:ascii="Times New Roman" w:hAnsi="Times New Roman" w:eastAsia="仿宋_GB2312" w:cs="Times New Roman"/>
          <w:color w:val="auto"/>
          <w:sz w:val="32"/>
          <w:highlight w:val="none"/>
          <w:lang w:eastAsia="zh-CN"/>
        </w:rPr>
        <w:t>祁阳市</w:t>
      </w:r>
      <w:r>
        <w:rPr>
          <w:rFonts w:hint="default" w:ascii="Times New Roman" w:hAnsi="Times New Roman" w:eastAsia="仿宋_GB2312" w:cs="Times New Roman"/>
          <w:color w:val="auto"/>
          <w:sz w:val="32"/>
          <w:highlight w:val="none"/>
        </w:rPr>
        <w:t>南部，位于湘江水系白水支流昌木套河的一条小支流上。水库枢纽坐落在永州市</w:t>
      </w:r>
      <w:r>
        <w:rPr>
          <w:rFonts w:hint="eastAsia" w:ascii="Times New Roman" w:hAnsi="Times New Roman" w:eastAsia="仿宋_GB2312" w:cs="Times New Roman"/>
          <w:color w:val="auto"/>
          <w:sz w:val="32"/>
          <w:highlight w:val="none"/>
          <w:lang w:eastAsia="zh-CN"/>
        </w:rPr>
        <w:t>祁阳市</w:t>
      </w:r>
      <w:r>
        <w:rPr>
          <w:rFonts w:hint="default" w:ascii="Times New Roman" w:hAnsi="Times New Roman" w:eastAsia="仿宋_GB2312" w:cs="Times New Roman"/>
          <w:color w:val="auto"/>
          <w:sz w:val="32"/>
          <w:highlight w:val="none"/>
        </w:rPr>
        <w:t>肖家镇汪家坪村，距肖家村镇10km，距</w:t>
      </w:r>
      <w:r>
        <w:rPr>
          <w:rFonts w:hint="eastAsia" w:ascii="Times New Roman" w:hAnsi="Times New Roman" w:eastAsia="仿宋_GB2312" w:cs="Times New Roman"/>
          <w:color w:val="auto"/>
          <w:sz w:val="32"/>
          <w:highlight w:val="none"/>
          <w:lang w:eastAsia="zh-CN"/>
        </w:rPr>
        <w:t>祁阳市</w:t>
      </w:r>
      <w:r>
        <w:rPr>
          <w:rFonts w:hint="default" w:ascii="Times New Roman" w:hAnsi="Times New Roman" w:eastAsia="仿宋_GB2312" w:cs="Times New Roman"/>
          <w:color w:val="auto"/>
          <w:sz w:val="32"/>
          <w:highlight w:val="none"/>
        </w:rPr>
        <w:t>城</w:t>
      </w:r>
      <w:r>
        <w:rPr>
          <w:rFonts w:hint="eastAsia" w:ascii="Times New Roman" w:hAnsi="Times New Roman" w:eastAsia="仿宋_GB2312" w:cs="Times New Roman"/>
          <w:color w:val="auto"/>
          <w:sz w:val="32"/>
          <w:highlight w:val="none"/>
          <w:lang w:eastAsia="zh-CN"/>
        </w:rPr>
        <w:t>区</w:t>
      </w:r>
      <w:r>
        <w:rPr>
          <w:rFonts w:hint="default" w:ascii="Times New Roman" w:hAnsi="Times New Roman" w:eastAsia="仿宋_GB2312" w:cs="Times New Roman"/>
          <w:color w:val="auto"/>
          <w:sz w:val="32"/>
          <w:highlight w:val="none"/>
        </w:rPr>
        <w:t>58km。地理坐标为东经112°00′44＂，北纬26°18′07＂。建成于1958年12月，于2014年完成除险加固。</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唐家冲水库工程主要由主坝、副坝、溢洪道、输水涵洞和进水卧管等组成。主坝为均质土坝，最大坝高为21.71m，坝轴线长54m，坝顶宽4.04m，坝顶高程为173.54m（假设高程）。副坝为均质土坝，最大坝高4.81m，坝轴线长42m，坝顶宽2.77m，坝顶高程173.88m（假设高程）。溢洪道为正槽式宽顶堰，堰顶高程为172.15m（假设高程），溢洪道过水宽度为16.0m。</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水库坝址以上控制集雨集水面积为3.90km</w:t>
      </w:r>
      <w:r>
        <w:rPr>
          <w:rFonts w:hint="default" w:ascii="Times New Roman" w:hAnsi="Times New Roman" w:eastAsia="仿宋_GB2312" w:cs="Times New Roman"/>
          <w:color w:val="auto"/>
          <w:sz w:val="32"/>
          <w:highlight w:val="none"/>
          <w:vertAlign w:val="superscript"/>
        </w:rPr>
        <w:t>2</w:t>
      </w:r>
      <w:r>
        <w:rPr>
          <w:rFonts w:hint="default" w:ascii="Times New Roman" w:hAnsi="Times New Roman" w:eastAsia="仿宋_GB2312" w:cs="Times New Roman"/>
          <w:color w:val="auto"/>
          <w:sz w:val="32"/>
          <w:highlight w:val="none"/>
        </w:rPr>
        <w:t>，干流长度为4.45km，干流坡降为71.33‰。总库容109.6万m</w:t>
      </w:r>
      <w:r>
        <w:rPr>
          <w:rFonts w:hint="default" w:ascii="Times New Roman" w:hAnsi="Times New Roman" w:eastAsia="仿宋_GB2312" w:cs="Times New Roman"/>
          <w:color w:val="auto"/>
          <w:sz w:val="32"/>
          <w:highlight w:val="none"/>
          <w:vertAlign w:val="superscript"/>
        </w:rPr>
        <w:t>3</w:t>
      </w:r>
      <w:r>
        <w:rPr>
          <w:rFonts w:hint="default" w:ascii="Times New Roman" w:hAnsi="Times New Roman" w:eastAsia="仿宋_GB2312" w:cs="Times New Roman"/>
          <w:color w:val="auto"/>
          <w:sz w:val="32"/>
          <w:highlight w:val="none"/>
        </w:rPr>
        <w:t>，水库正常蓄水位为172.15m（假设高程），相应正常库容为94.3万m</w:t>
      </w:r>
      <w:r>
        <w:rPr>
          <w:rFonts w:hint="default" w:ascii="Times New Roman" w:hAnsi="Times New Roman" w:eastAsia="仿宋_GB2312" w:cs="Times New Roman"/>
          <w:color w:val="auto"/>
          <w:sz w:val="32"/>
          <w:highlight w:val="none"/>
          <w:vertAlign w:val="superscript"/>
        </w:rPr>
        <w:t>3</w:t>
      </w:r>
      <w:r>
        <w:rPr>
          <w:rFonts w:hint="default" w:ascii="Times New Roman" w:hAnsi="Times New Roman" w:eastAsia="仿宋_GB2312" w:cs="Times New Roman"/>
          <w:color w:val="auto"/>
          <w:sz w:val="32"/>
          <w:highlight w:val="none"/>
        </w:rPr>
        <w:t>；死水位为153.27m（假设高程），相应死库容为0.1万m</w:t>
      </w:r>
      <w:r>
        <w:rPr>
          <w:rFonts w:hint="default" w:ascii="Times New Roman" w:hAnsi="Times New Roman" w:eastAsia="仿宋_GB2312" w:cs="Times New Roman"/>
          <w:color w:val="auto"/>
          <w:sz w:val="32"/>
          <w:highlight w:val="none"/>
          <w:vertAlign w:val="superscript"/>
        </w:rPr>
        <w:t>3</w:t>
      </w:r>
      <w:r>
        <w:rPr>
          <w:rFonts w:hint="default" w:ascii="Times New Roman" w:hAnsi="Times New Roman" w:eastAsia="仿宋_GB2312" w:cs="Times New Roman"/>
          <w:color w:val="auto"/>
          <w:sz w:val="32"/>
          <w:highlight w:val="none"/>
        </w:rPr>
        <w:t>。设计灌溉面积2500亩，该枢纽工程是一座以灌溉为主，兼顾防洪、养鱼等综合利用的小（1）型水利工程。</w:t>
      </w:r>
    </w:p>
    <w:p>
      <w:pPr>
        <w:spacing w:line="640" w:lineRule="exact"/>
        <w:ind w:firstLine="640" w:firstLineChars="200"/>
        <w:rPr>
          <w:rFonts w:hint="default" w:ascii="Times New Roman" w:hAnsi="Times New Roman" w:eastAsia="仿宋_GB2312"/>
          <w:sz w:val="32"/>
        </w:rPr>
      </w:pPr>
      <w:r>
        <w:rPr>
          <w:rFonts w:hint="default" w:ascii="Times New Roman" w:hAnsi="Times New Roman" w:eastAsia="仿宋_GB2312"/>
          <w:sz w:val="32"/>
        </w:rPr>
        <w:t>（26）高拱桥水库</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高拱桥水库属于</w:t>
      </w:r>
      <w:r>
        <w:rPr>
          <w:rFonts w:hint="eastAsia" w:ascii="Times New Roman" w:hAnsi="Times New Roman" w:eastAsia="仿宋_GB2312" w:cs="Times New Roman"/>
          <w:color w:val="auto"/>
          <w:sz w:val="32"/>
          <w:highlight w:val="none"/>
          <w:lang w:eastAsia="zh-CN"/>
        </w:rPr>
        <w:t>祁阳市</w:t>
      </w:r>
      <w:r>
        <w:rPr>
          <w:rFonts w:hint="default" w:ascii="Times New Roman" w:hAnsi="Times New Roman" w:eastAsia="仿宋_GB2312" w:cs="Times New Roman"/>
          <w:color w:val="auto"/>
          <w:sz w:val="32"/>
          <w:highlight w:val="none"/>
        </w:rPr>
        <w:t>大忠桥镇水利水电管理站管理，水库注册登记号为：43112140008-A4。水库枢纽坐落在永州市</w:t>
      </w:r>
      <w:r>
        <w:rPr>
          <w:rFonts w:hint="eastAsia" w:ascii="Times New Roman" w:hAnsi="Times New Roman" w:eastAsia="仿宋_GB2312" w:cs="Times New Roman"/>
          <w:color w:val="auto"/>
          <w:sz w:val="32"/>
          <w:highlight w:val="none"/>
          <w:lang w:eastAsia="zh-CN"/>
        </w:rPr>
        <w:t>祁阳市</w:t>
      </w:r>
      <w:r>
        <w:rPr>
          <w:rFonts w:hint="default" w:ascii="Times New Roman" w:hAnsi="Times New Roman" w:eastAsia="仿宋_GB2312" w:cs="Times New Roman"/>
          <w:color w:val="auto"/>
          <w:sz w:val="32"/>
          <w:highlight w:val="none"/>
        </w:rPr>
        <w:t>大忠桥镇远景村境内，距离大忠桥镇7km，距</w:t>
      </w:r>
      <w:r>
        <w:rPr>
          <w:rFonts w:hint="eastAsia" w:ascii="Times New Roman" w:hAnsi="Times New Roman" w:eastAsia="仿宋_GB2312" w:cs="Times New Roman"/>
          <w:color w:val="auto"/>
          <w:sz w:val="32"/>
          <w:highlight w:val="none"/>
          <w:lang w:eastAsia="zh-CN"/>
        </w:rPr>
        <w:t>祁阳市</w:t>
      </w:r>
      <w:r>
        <w:rPr>
          <w:rFonts w:hint="default" w:ascii="Times New Roman" w:hAnsi="Times New Roman" w:eastAsia="仿宋_GB2312" w:cs="Times New Roman"/>
          <w:color w:val="auto"/>
          <w:sz w:val="32"/>
          <w:highlight w:val="none"/>
        </w:rPr>
        <w:t>城</w:t>
      </w:r>
      <w:r>
        <w:rPr>
          <w:rFonts w:hint="eastAsia" w:ascii="Times New Roman" w:hAnsi="Times New Roman" w:eastAsia="仿宋_GB2312" w:cs="Times New Roman"/>
          <w:color w:val="auto"/>
          <w:sz w:val="32"/>
          <w:highlight w:val="none"/>
          <w:lang w:eastAsia="zh-CN"/>
        </w:rPr>
        <w:t>区</w:t>
      </w:r>
      <w:r>
        <w:rPr>
          <w:rFonts w:hint="default" w:ascii="Times New Roman" w:hAnsi="Times New Roman" w:eastAsia="仿宋_GB2312" w:cs="Times New Roman"/>
          <w:color w:val="auto"/>
          <w:sz w:val="32"/>
          <w:highlight w:val="none"/>
        </w:rPr>
        <w:t>57km。地理坐标为东经111°55′00＂，北纬26°21′05＂。建成于1973年2月，于2014年完成除险加固。</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高拱桥水库工程主要由非溢流坝、溢流坝、输水涵洞和坝后电站等组成。大坝为浆砌石重力坝，最大坝高为20.48m，坝顶宽度3.05m，坝顶轴线长66m，坝顶高程为133.80m（假设高程）。水库正常蓄水位为133.10m（假设高程），相应正常库容为109.0 万m</w:t>
      </w:r>
      <w:r>
        <w:rPr>
          <w:rFonts w:hint="default" w:ascii="Times New Roman" w:hAnsi="Times New Roman" w:eastAsia="仿宋_GB2312" w:cs="Times New Roman"/>
          <w:color w:val="auto"/>
          <w:sz w:val="32"/>
          <w:highlight w:val="none"/>
          <w:vertAlign w:val="superscript"/>
        </w:rPr>
        <w:t>3</w:t>
      </w:r>
      <w:r>
        <w:rPr>
          <w:rFonts w:hint="default" w:ascii="Times New Roman" w:hAnsi="Times New Roman" w:eastAsia="仿宋_GB2312" w:cs="Times New Roman"/>
          <w:color w:val="auto"/>
          <w:sz w:val="32"/>
          <w:highlight w:val="none"/>
        </w:rPr>
        <w:t>；溢流坝段位于大坝中间位置，溢流堰为实用堰，堰顶高程130.45米（假设高程），溢流坝段分4 孔泄流，每段溢流宽度为4.3m。</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水库坝址以上控制集雨集水面积为21.6km</w:t>
      </w:r>
      <w:r>
        <w:rPr>
          <w:rFonts w:hint="default" w:ascii="Times New Roman" w:hAnsi="Times New Roman" w:eastAsia="仿宋_GB2312" w:cs="Times New Roman"/>
          <w:color w:val="auto"/>
          <w:sz w:val="32"/>
          <w:highlight w:val="none"/>
          <w:vertAlign w:val="superscript"/>
        </w:rPr>
        <w:t>2</w:t>
      </w:r>
      <w:r>
        <w:rPr>
          <w:rFonts w:hint="default" w:ascii="Times New Roman" w:hAnsi="Times New Roman" w:eastAsia="仿宋_GB2312" w:cs="Times New Roman"/>
          <w:color w:val="auto"/>
          <w:sz w:val="32"/>
          <w:highlight w:val="none"/>
        </w:rPr>
        <w:t>，干流长度为12.87km，干流坡降为21.75‰。总库容109.00万m</w:t>
      </w:r>
      <w:r>
        <w:rPr>
          <w:rFonts w:hint="default" w:ascii="Times New Roman" w:hAnsi="Times New Roman" w:eastAsia="仿宋_GB2312" w:cs="Times New Roman"/>
          <w:color w:val="auto"/>
          <w:sz w:val="32"/>
          <w:highlight w:val="none"/>
          <w:vertAlign w:val="superscript"/>
        </w:rPr>
        <w:t>3</w:t>
      </w:r>
      <w:r>
        <w:rPr>
          <w:rFonts w:hint="default" w:ascii="Times New Roman" w:hAnsi="Times New Roman" w:eastAsia="仿宋_GB2312" w:cs="Times New Roman"/>
          <w:color w:val="auto"/>
          <w:sz w:val="32"/>
          <w:highlight w:val="none"/>
        </w:rPr>
        <w:t>，水库正常蓄水位为133.10m（假设高程），相应正常库容为109.00万m</w:t>
      </w:r>
      <w:r>
        <w:rPr>
          <w:rFonts w:hint="default" w:ascii="Times New Roman" w:hAnsi="Times New Roman" w:eastAsia="仿宋_GB2312" w:cs="Times New Roman"/>
          <w:color w:val="auto"/>
          <w:sz w:val="32"/>
          <w:highlight w:val="none"/>
          <w:vertAlign w:val="superscript"/>
        </w:rPr>
        <w:t>3</w:t>
      </w:r>
      <w:r>
        <w:rPr>
          <w:rFonts w:hint="default" w:ascii="Times New Roman" w:hAnsi="Times New Roman" w:eastAsia="仿宋_GB2312" w:cs="Times New Roman"/>
          <w:color w:val="auto"/>
          <w:sz w:val="32"/>
          <w:highlight w:val="none"/>
        </w:rPr>
        <w:t>；死水位为117.75m（假设高程），相应死库容为0.7万m</w:t>
      </w:r>
      <w:r>
        <w:rPr>
          <w:rFonts w:hint="default" w:ascii="Times New Roman" w:hAnsi="Times New Roman" w:eastAsia="仿宋_GB2312" w:cs="Times New Roman"/>
          <w:color w:val="auto"/>
          <w:sz w:val="32"/>
          <w:highlight w:val="none"/>
          <w:vertAlign w:val="superscript"/>
        </w:rPr>
        <w:t>3</w:t>
      </w:r>
      <w:r>
        <w:rPr>
          <w:rFonts w:hint="default" w:ascii="Times New Roman" w:hAnsi="Times New Roman" w:eastAsia="仿宋_GB2312" w:cs="Times New Roman"/>
          <w:color w:val="auto"/>
          <w:sz w:val="32"/>
          <w:highlight w:val="none"/>
        </w:rPr>
        <w:t>。设计灌溉面积3400亩，该枢纽工程是一座以灌溉为主，兼顾防洪、养鱼、发电等综合效益的小（1）型水利工程。</w:t>
      </w:r>
    </w:p>
    <w:p>
      <w:pPr>
        <w:spacing w:line="640" w:lineRule="exact"/>
        <w:ind w:firstLine="640" w:firstLineChars="200"/>
        <w:rPr>
          <w:rFonts w:hint="default" w:ascii="Times New Roman" w:hAnsi="Times New Roman" w:eastAsia="仿宋_GB2312"/>
          <w:sz w:val="32"/>
        </w:rPr>
      </w:pPr>
      <w:r>
        <w:rPr>
          <w:rFonts w:hint="default" w:ascii="Times New Roman" w:hAnsi="Times New Roman" w:eastAsia="仿宋_GB2312"/>
          <w:sz w:val="32"/>
        </w:rPr>
        <w:t>（27）畔塘水库</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畔塘水库属于</w:t>
      </w:r>
      <w:r>
        <w:rPr>
          <w:rFonts w:hint="eastAsia" w:ascii="Times New Roman" w:hAnsi="Times New Roman" w:eastAsia="仿宋_GB2312" w:cs="Times New Roman"/>
          <w:color w:val="auto"/>
          <w:sz w:val="32"/>
          <w:highlight w:val="none"/>
          <w:lang w:eastAsia="zh-CN"/>
        </w:rPr>
        <w:t>祁阳市</w:t>
      </w:r>
      <w:r>
        <w:rPr>
          <w:rFonts w:hint="default" w:ascii="Times New Roman" w:hAnsi="Times New Roman" w:eastAsia="仿宋_GB2312" w:cs="Times New Roman"/>
          <w:color w:val="auto"/>
          <w:sz w:val="32"/>
          <w:highlight w:val="none"/>
        </w:rPr>
        <w:t>观音滩镇水利水电管理站管理，水库注册登记号为：43112140002-A4。水库位于湖南省永州市</w:t>
      </w:r>
      <w:r>
        <w:rPr>
          <w:rFonts w:hint="eastAsia" w:ascii="Times New Roman" w:hAnsi="Times New Roman" w:eastAsia="仿宋_GB2312" w:cs="Times New Roman"/>
          <w:color w:val="auto"/>
          <w:sz w:val="32"/>
          <w:highlight w:val="none"/>
          <w:lang w:eastAsia="zh-CN"/>
        </w:rPr>
        <w:t>祁阳市</w:t>
      </w:r>
      <w:r>
        <w:rPr>
          <w:rFonts w:hint="default" w:ascii="Times New Roman" w:hAnsi="Times New Roman" w:eastAsia="仿宋_GB2312" w:cs="Times New Roman"/>
          <w:color w:val="auto"/>
          <w:sz w:val="32"/>
          <w:highlight w:val="none"/>
        </w:rPr>
        <w:t>西部，属湘江水系白水二级支流黄溪河一级支流泥河的一条小支流，水库枢纽坐落在永州市</w:t>
      </w:r>
      <w:r>
        <w:rPr>
          <w:rFonts w:hint="eastAsia" w:ascii="Times New Roman" w:hAnsi="Times New Roman" w:eastAsia="仿宋_GB2312" w:cs="Times New Roman"/>
          <w:color w:val="auto"/>
          <w:sz w:val="32"/>
          <w:highlight w:val="none"/>
          <w:lang w:eastAsia="zh-CN"/>
        </w:rPr>
        <w:t>祁阳市</w:t>
      </w:r>
      <w:r>
        <w:rPr>
          <w:rFonts w:hint="default" w:ascii="Times New Roman" w:hAnsi="Times New Roman" w:eastAsia="仿宋_GB2312" w:cs="Times New Roman"/>
          <w:color w:val="auto"/>
          <w:sz w:val="32"/>
          <w:highlight w:val="none"/>
        </w:rPr>
        <w:t>观音滩镇井仙村，距观音滩镇10km，距</w:t>
      </w:r>
      <w:r>
        <w:rPr>
          <w:rFonts w:hint="eastAsia" w:ascii="Times New Roman" w:hAnsi="Times New Roman" w:eastAsia="仿宋_GB2312" w:cs="Times New Roman"/>
          <w:color w:val="auto"/>
          <w:sz w:val="32"/>
          <w:highlight w:val="none"/>
          <w:lang w:eastAsia="zh-CN"/>
        </w:rPr>
        <w:t>祁阳市</w:t>
      </w:r>
      <w:r>
        <w:rPr>
          <w:rFonts w:hint="default" w:ascii="Times New Roman" w:hAnsi="Times New Roman" w:eastAsia="仿宋_GB2312" w:cs="Times New Roman"/>
          <w:color w:val="auto"/>
          <w:sz w:val="32"/>
          <w:highlight w:val="none"/>
        </w:rPr>
        <w:t>城</w:t>
      </w:r>
      <w:r>
        <w:rPr>
          <w:rFonts w:hint="eastAsia" w:ascii="Times New Roman" w:hAnsi="Times New Roman" w:eastAsia="仿宋_GB2312" w:cs="Times New Roman"/>
          <w:color w:val="auto"/>
          <w:sz w:val="32"/>
          <w:highlight w:val="none"/>
          <w:lang w:eastAsia="zh-CN"/>
        </w:rPr>
        <w:t>区</w:t>
      </w:r>
      <w:r>
        <w:rPr>
          <w:rFonts w:hint="default" w:ascii="Times New Roman" w:hAnsi="Times New Roman" w:eastAsia="仿宋_GB2312" w:cs="Times New Roman"/>
          <w:color w:val="auto"/>
          <w:sz w:val="32"/>
          <w:highlight w:val="none"/>
        </w:rPr>
        <w:t>27km。地理坐标为东经111°52′07＂，北纬26°26′10＂。建成于1967年3月，于2014年完成除险加固。</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畔塘水库工程主要由大坝、溢洪道、输水涵洞和进水卧管等组成。大坝为均质土坝，最大坝高为10.87m，坝顶宽3.18m，坝顶轴线87m，坝顶高程为119.86m（假设高程）。溢洪道为无坎宽顶堰，堰顶高程为118.86m（假设高程），溢洪道过水宽度为3m。</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畔塘水库水库坝址以上本身控制流域集水面积为0.74km</w:t>
      </w:r>
      <w:r>
        <w:rPr>
          <w:rFonts w:hint="default" w:ascii="Times New Roman" w:hAnsi="Times New Roman" w:eastAsia="仿宋_GB2312" w:cs="Times New Roman"/>
          <w:color w:val="auto"/>
          <w:sz w:val="32"/>
          <w:highlight w:val="none"/>
          <w:vertAlign w:val="superscript"/>
        </w:rPr>
        <w:t>2</w:t>
      </w:r>
      <w:r>
        <w:rPr>
          <w:rFonts w:hint="default" w:ascii="Times New Roman" w:hAnsi="Times New Roman" w:eastAsia="仿宋_GB2312" w:cs="Times New Roman"/>
          <w:color w:val="auto"/>
          <w:sz w:val="32"/>
          <w:highlight w:val="none"/>
        </w:rPr>
        <w:t>。干流长度为0.98km，干流坡降为38.07‰。总库容115.2万m</w:t>
      </w:r>
      <w:r>
        <w:rPr>
          <w:rFonts w:hint="default" w:ascii="Times New Roman" w:hAnsi="Times New Roman" w:eastAsia="仿宋_GB2312" w:cs="Times New Roman"/>
          <w:color w:val="auto"/>
          <w:sz w:val="32"/>
          <w:highlight w:val="none"/>
          <w:vertAlign w:val="superscript"/>
        </w:rPr>
        <w:t>3</w:t>
      </w:r>
      <w:r>
        <w:rPr>
          <w:rFonts w:hint="default" w:ascii="Times New Roman" w:hAnsi="Times New Roman" w:eastAsia="仿宋_GB2312" w:cs="Times New Roman"/>
          <w:color w:val="auto"/>
          <w:sz w:val="32"/>
          <w:highlight w:val="none"/>
        </w:rPr>
        <w:t>。水库正常蓄水位为118.86m（假设高程），相应正常库容为102.8万m</w:t>
      </w:r>
      <w:r>
        <w:rPr>
          <w:rFonts w:hint="default" w:ascii="Times New Roman" w:hAnsi="Times New Roman" w:eastAsia="仿宋_GB2312" w:cs="Times New Roman"/>
          <w:color w:val="auto"/>
          <w:sz w:val="32"/>
          <w:highlight w:val="none"/>
          <w:vertAlign w:val="superscript"/>
        </w:rPr>
        <w:t>3</w:t>
      </w:r>
      <w:r>
        <w:rPr>
          <w:rFonts w:hint="default" w:ascii="Times New Roman" w:hAnsi="Times New Roman" w:eastAsia="仿宋_GB2312" w:cs="Times New Roman"/>
          <w:color w:val="auto"/>
          <w:sz w:val="32"/>
          <w:highlight w:val="none"/>
        </w:rPr>
        <w:t>；死水位为109.03m（假设高程），相应死库容为0.2万m</w:t>
      </w:r>
      <w:r>
        <w:rPr>
          <w:rFonts w:hint="default" w:ascii="Times New Roman" w:hAnsi="Times New Roman" w:eastAsia="仿宋_GB2312" w:cs="Times New Roman"/>
          <w:color w:val="auto"/>
          <w:sz w:val="32"/>
          <w:highlight w:val="none"/>
          <w:vertAlign w:val="superscript"/>
        </w:rPr>
        <w:t>3</w:t>
      </w:r>
      <w:r>
        <w:rPr>
          <w:rFonts w:hint="default" w:ascii="Times New Roman" w:hAnsi="Times New Roman" w:eastAsia="仿宋_GB2312" w:cs="Times New Roman"/>
          <w:color w:val="auto"/>
          <w:sz w:val="32"/>
          <w:highlight w:val="none"/>
        </w:rPr>
        <w:t>。设计灌溉面积3300亩该枢纽工程是一座以灌溉为主，兼顾防洪、养鱼等综合利用的小（1）型水利工程。</w:t>
      </w:r>
    </w:p>
    <w:p>
      <w:pPr>
        <w:spacing w:line="640" w:lineRule="exact"/>
        <w:ind w:firstLine="640" w:firstLineChars="200"/>
        <w:rPr>
          <w:rFonts w:hint="default" w:ascii="Times New Roman" w:hAnsi="Times New Roman" w:eastAsia="仿宋_GB2312"/>
          <w:sz w:val="32"/>
        </w:rPr>
      </w:pPr>
      <w:r>
        <w:rPr>
          <w:rFonts w:hint="default" w:ascii="Times New Roman" w:hAnsi="Times New Roman" w:eastAsia="仿宋_GB2312"/>
          <w:sz w:val="32"/>
        </w:rPr>
        <w:t>（28）楼塘水库</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楼塘水库属于双牌灌区</w:t>
      </w:r>
      <w:r>
        <w:rPr>
          <w:rFonts w:hint="eastAsia" w:ascii="Times New Roman" w:hAnsi="Times New Roman" w:eastAsia="仿宋_GB2312" w:cs="Times New Roman"/>
          <w:color w:val="auto"/>
          <w:sz w:val="32"/>
          <w:highlight w:val="none"/>
          <w:lang w:eastAsia="zh-CN"/>
        </w:rPr>
        <w:t>祁阳市</w:t>
      </w:r>
      <w:r>
        <w:rPr>
          <w:rFonts w:hint="default" w:ascii="Times New Roman" w:hAnsi="Times New Roman" w:eastAsia="仿宋_GB2312" w:cs="Times New Roman"/>
          <w:color w:val="auto"/>
          <w:sz w:val="32"/>
          <w:highlight w:val="none"/>
        </w:rPr>
        <w:t>支渠管理所管理，水库注册登记号为：43112140006-A4。水库位于湖南省永州市</w:t>
      </w:r>
      <w:r>
        <w:rPr>
          <w:rFonts w:hint="eastAsia" w:ascii="Times New Roman" w:hAnsi="Times New Roman" w:eastAsia="仿宋_GB2312" w:cs="Times New Roman"/>
          <w:color w:val="auto"/>
          <w:sz w:val="32"/>
          <w:highlight w:val="none"/>
          <w:lang w:eastAsia="zh-CN"/>
        </w:rPr>
        <w:t>祁阳市</w:t>
      </w:r>
      <w:r>
        <w:rPr>
          <w:rFonts w:hint="default" w:ascii="Times New Roman" w:hAnsi="Times New Roman" w:eastAsia="仿宋_GB2312" w:cs="Times New Roman"/>
          <w:color w:val="auto"/>
          <w:sz w:val="32"/>
          <w:highlight w:val="none"/>
        </w:rPr>
        <w:t>西部，属湘江水系白水二级支流黄溪河一级支流泥河的一条小支流。枢纽坐落在永州市</w:t>
      </w:r>
      <w:r>
        <w:rPr>
          <w:rFonts w:hint="eastAsia" w:ascii="Times New Roman" w:hAnsi="Times New Roman" w:eastAsia="仿宋_GB2312" w:cs="Times New Roman"/>
          <w:color w:val="auto"/>
          <w:sz w:val="32"/>
          <w:highlight w:val="none"/>
          <w:lang w:eastAsia="zh-CN"/>
        </w:rPr>
        <w:t>祁阳市</w:t>
      </w:r>
      <w:r>
        <w:rPr>
          <w:rFonts w:hint="default" w:ascii="Times New Roman" w:hAnsi="Times New Roman" w:eastAsia="仿宋_GB2312" w:cs="Times New Roman"/>
          <w:color w:val="auto"/>
          <w:sz w:val="32"/>
          <w:highlight w:val="none"/>
        </w:rPr>
        <w:t>三口塘镇黄公岭村，距三口塘镇7.5km，距</w:t>
      </w:r>
      <w:r>
        <w:rPr>
          <w:rFonts w:hint="eastAsia" w:ascii="Times New Roman" w:hAnsi="Times New Roman" w:eastAsia="仿宋_GB2312" w:cs="Times New Roman"/>
          <w:color w:val="auto"/>
          <w:sz w:val="32"/>
          <w:highlight w:val="none"/>
          <w:lang w:eastAsia="zh-CN"/>
        </w:rPr>
        <w:t>祁阳市</w:t>
      </w:r>
      <w:r>
        <w:rPr>
          <w:rFonts w:hint="default" w:ascii="Times New Roman" w:hAnsi="Times New Roman" w:eastAsia="仿宋_GB2312" w:cs="Times New Roman"/>
          <w:color w:val="auto"/>
          <w:sz w:val="32"/>
          <w:highlight w:val="none"/>
        </w:rPr>
        <w:t>城</w:t>
      </w:r>
      <w:r>
        <w:rPr>
          <w:rFonts w:hint="eastAsia" w:ascii="Times New Roman" w:hAnsi="Times New Roman" w:eastAsia="仿宋_GB2312" w:cs="Times New Roman"/>
          <w:color w:val="auto"/>
          <w:sz w:val="32"/>
          <w:highlight w:val="none"/>
          <w:lang w:eastAsia="zh-CN"/>
        </w:rPr>
        <w:t>区</w:t>
      </w:r>
      <w:r>
        <w:rPr>
          <w:rFonts w:hint="default" w:ascii="Times New Roman" w:hAnsi="Times New Roman" w:eastAsia="仿宋_GB2312" w:cs="Times New Roman"/>
          <w:color w:val="auto"/>
          <w:sz w:val="32"/>
          <w:highlight w:val="none"/>
        </w:rPr>
        <w:t>30km。地理坐标为东经111°47′49＂，北纬26°27′41＂。建成于1973年12月，于2014年完成除险加固。</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楼塘水库工程主要由主坝、溢洪道、输水涵洞和进水卧管等组成。主坝为粘土心墙坝，坝顶高程127.60m（假设高程），最大坝高11.30m，坝顶轴线长133.00m，坝顶宽3.00m；副坝为均质土坝，坝顶高程127.64m（假设高程），最大坝高4.14m，坝顶轴线长70.00m，坝顶宽3.33m；溢洪道为正槽式宽顶堰，堰顶高程为123.75m（假设高程），溢洪道过水宽度为10.00m。</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水库坝址以上控制集雨集水面积为1.21km</w:t>
      </w:r>
      <w:r>
        <w:rPr>
          <w:rFonts w:hint="default" w:ascii="Times New Roman" w:hAnsi="Times New Roman" w:eastAsia="仿宋_GB2312" w:cs="Times New Roman"/>
          <w:color w:val="auto"/>
          <w:sz w:val="32"/>
          <w:highlight w:val="none"/>
          <w:vertAlign w:val="superscript"/>
        </w:rPr>
        <w:t>2</w:t>
      </w:r>
      <w:r>
        <w:rPr>
          <w:rFonts w:hint="default" w:ascii="Times New Roman" w:hAnsi="Times New Roman" w:eastAsia="仿宋_GB2312" w:cs="Times New Roman"/>
          <w:color w:val="auto"/>
          <w:sz w:val="32"/>
          <w:highlight w:val="none"/>
        </w:rPr>
        <w:t>，干流长度为1.77km，干流坡降为17.19‰。总库容104.90万m</w:t>
      </w:r>
      <w:r>
        <w:rPr>
          <w:rFonts w:hint="default" w:ascii="Times New Roman" w:hAnsi="Times New Roman" w:eastAsia="仿宋_GB2312" w:cs="Times New Roman"/>
          <w:color w:val="auto"/>
          <w:sz w:val="32"/>
          <w:highlight w:val="none"/>
          <w:vertAlign w:val="superscript"/>
        </w:rPr>
        <w:t>3</w:t>
      </w:r>
      <w:r>
        <w:rPr>
          <w:rFonts w:hint="default" w:ascii="Times New Roman" w:hAnsi="Times New Roman" w:eastAsia="仿宋_GB2312" w:cs="Times New Roman"/>
          <w:color w:val="auto"/>
          <w:sz w:val="32"/>
          <w:highlight w:val="none"/>
        </w:rPr>
        <w:t>，水库正常蓄水位为123.75m（假设高程），相应正常库容为92.7万m</w:t>
      </w:r>
      <w:r>
        <w:rPr>
          <w:rFonts w:hint="default" w:ascii="Times New Roman" w:hAnsi="Times New Roman" w:eastAsia="仿宋_GB2312" w:cs="Times New Roman"/>
          <w:color w:val="auto"/>
          <w:sz w:val="32"/>
          <w:highlight w:val="none"/>
          <w:vertAlign w:val="superscript"/>
        </w:rPr>
        <w:t>3</w:t>
      </w:r>
      <w:r>
        <w:rPr>
          <w:rFonts w:hint="default" w:ascii="Times New Roman" w:hAnsi="Times New Roman" w:eastAsia="仿宋_GB2312" w:cs="Times New Roman"/>
          <w:color w:val="auto"/>
          <w:sz w:val="32"/>
          <w:highlight w:val="none"/>
        </w:rPr>
        <w:t>；死水位为116.80m（假设高程），相应死库容为0.2万m</w:t>
      </w:r>
      <w:r>
        <w:rPr>
          <w:rFonts w:hint="default" w:ascii="Times New Roman" w:hAnsi="Times New Roman" w:eastAsia="仿宋_GB2312" w:cs="Times New Roman"/>
          <w:color w:val="auto"/>
          <w:sz w:val="32"/>
          <w:highlight w:val="none"/>
          <w:vertAlign w:val="superscript"/>
        </w:rPr>
        <w:t>3</w:t>
      </w:r>
      <w:r>
        <w:rPr>
          <w:rFonts w:hint="default" w:ascii="Times New Roman" w:hAnsi="Times New Roman" w:eastAsia="仿宋_GB2312" w:cs="Times New Roman"/>
          <w:color w:val="auto"/>
          <w:sz w:val="32"/>
          <w:highlight w:val="none"/>
        </w:rPr>
        <w:t>。设计灌溉面积5300亩，该枢纽工程是一座以灌溉为主，兼顾防洪、养鱼等综合利用的小（1）型水利工程。</w:t>
      </w:r>
    </w:p>
    <w:p>
      <w:pPr>
        <w:spacing w:line="640" w:lineRule="exact"/>
        <w:ind w:firstLine="640" w:firstLineChars="200"/>
        <w:rPr>
          <w:rFonts w:hint="default" w:ascii="Times New Roman" w:hAnsi="Times New Roman" w:eastAsia="仿宋_GB2312"/>
          <w:sz w:val="32"/>
        </w:rPr>
      </w:pPr>
      <w:r>
        <w:rPr>
          <w:rFonts w:hint="default" w:ascii="Times New Roman" w:hAnsi="Times New Roman" w:eastAsia="仿宋_GB2312"/>
          <w:sz w:val="32"/>
        </w:rPr>
        <w:t>（29）里塘水库</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里塘水库属于双牌灌区</w:t>
      </w:r>
      <w:r>
        <w:rPr>
          <w:rFonts w:hint="eastAsia" w:ascii="Times New Roman" w:hAnsi="Times New Roman" w:eastAsia="仿宋_GB2312" w:cs="Times New Roman"/>
          <w:color w:val="auto"/>
          <w:sz w:val="32"/>
          <w:highlight w:val="none"/>
          <w:lang w:eastAsia="zh-CN"/>
        </w:rPr>
        <w:t>祁阳市</w:t>
      </w:r>
      <w:r>
        <w:rPr>
          <w:rFonts w:hint="default" w:ascii="Times New Roman" w:hAnsi="Times New Roman" w:eastAsia="仿宋_GB2312" w:cs="Times New Roman"/>
          <w:color w:val="auto"/>
          <w:sz w:val="32"/>
          <w:highlight w:val="none"/>
        </w:rPr>
        <w:t>支渠管理所管理，水库注册登记号为：43112140007-A4。水库位于湖南省永州市</w:t>
      </w:r>
      <w:r>
        <w:rPr>
          <w:rFonts w:hint="eastAsia" w:ascii="Times New Roman" w:hAnsi="Times New Roman" w:eastAsia="仿宋_GB2312" w:cs="Times New Roman"/>
          <w:color w:val="auto"/>
          <w:sz w:val="32"/>
          <w:highlight w:val="none"/>
          <w:lang w:eastAsia="zh-CN"/>
        </w:rPr>
        <w:t>祁阳市</w:t>
      </w:r>
      <w:r>
        <w:rPr>
          <w:rFonts w:hint="default" w:ascii="Times New Roman" w:hAnsi="Times New Roman" w:eastAsia="仿宋_GB2312" w:cs="Times New Roman"/>
          <w:color w:val="auto"/>
          <w:sz w:val="32"/>
          <w:highlight w:val="none"/>
        </w:rPr>
        <w:t>西部，属湘江水系白水二级支流黄溪河一级支流泥河的一条小支流。枢纽坐落在永州市</w:t>
      </w:r>
      <w:r>
        <w:rPr>
          <w:rFonts w:hint="eastAsia" w:ascii="Times New Roman" w:hAnsi="Times New Roman" w:eastAsia="仿宋_GB2312" w:cs="Times New Roman"/>
          <w:color w:val="auto"/>
          <w:sz w:val="32"/>
          <w:highlight w:val="none"/>
          <w:lang w:eastAsia="zh-CN"/>
        </w:rPr>
        <w:t>祁阳市</w:t>
      </w:r>
      <w:r>
        <w:rPr>
          <w:rFonts w:hint="default" w:ascii="Times New Roman" w:hAnsi="Times New Roman" w:eastAsia="仿宋_GB2312" w:cs="Times New Roman"/>
          <w:color w:val="auto"/>
          <w:sz w:val="32"/>
          <w:highlight w:val="none"/>
        </w:rPr>
        <w:t>三口塘镇里塘村，地理坐标为东经111°49′00＂，北纬26°25′33＂。距三口塘镇3.0km，距</w:t>
      </w:r>
      <w:r>
        <w:rPr>
          <w:rFonts w:hint="eastAsia" w:ascii="Times New Roman" w:hAnsi="Times New Roman" w:eastAsia="仿宋_GB2312" w:cs="Times New Roman"/>
          <w:color w:val="auto"/>
          <w:sz w:val="32"/>
          <w:highlight w:val="none"/>
          <w:lang w:eastAsia="zh-CN"/>
        </w:rPr>
        <w:t>祁阳市</w:t>
      </w:r>
      <w:r>
        <w:rPr>
          <w:rFonts w:hint="default" w:ascii="Times New Roman" w:hAnsi="Times New Roman" w:eastAsia="仿宋_GB2312" w:cs="Times New Roman"/>
          <w:color w:val="auto"/>
          <w:sz w:val="32"/>
          <w:highlight w:val="none"/>
        </w:rPr>
        <w:t>城</w:t>
      </w:r>
      <w:r>
        <w:rPr>
          <w:rFonts w:hint="eastAsia" w:ascii="Times New Roman" w:hAnsi="Times New Roman" w:eastAsia="仿宋_GB2312" w:cs="Times New Roman"/>
          <w:color w:val="auto"/>
          <w:sz w:val="32"/>
          <w:highlight w:val="none"/>
          <w:lang w:eastAsia="zh-CN"/>
        </w:rPr>
        <w:t>区</w:t>
      </w:r>
      <w:r>
        <w:rPr>
          <w:rFonts w:hint="default" w:ascii="Times New Roman" w:hAnsi="Times New Roman" w:eastAsia="仿宋_GB2312" w:cs="Times New Roman"/>
          <w:color w:val="auto"/>
          <w:sz w:val="32"/>
          <w:highlight w:val="none"/>
        </w:rPr>
        <w:t>37.0km。建成于1956年2月，于2014年完成除险加固。</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里塘水库工程主要由大坝、溢洪道、输水涵洞和进水卧管等组成。大坝为均质土坝，最大坝高为10.66m，坝顶宽2.50m，坝顶轴线长65.00m，坝顶高程为130.77m（假设高程）。溢洪道位于水库大坝右岸山体，溢洪道为正槽式宽顶堰，堰顶高程为129.02m（假设高程），溢洪道过水宽度为5.5m。</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水库坝址以上控制集雨集水面积为1.22km</w:t>
      </w:r>
      <w:r>
        <w:rPr>
          <w:rFonts w:hint="default" w:ascii="Times New Roman" w:hAnsi="Times New Roman" w:eastAsia="仿宋_GB2312" w:cs="Times New Roman"/>
          <w:color w:val="auto"/>
          <w:sz w:val="32"/>
          <w:highlight w:val="none"/>
          <w:vertAlign w:val="superscript"/>
        </w:rPr>
        <w:t>2</w:t>
      </w:r>
      <w:r>
        <w:rPr>
          <w:rFonts w:hint="default" w:ascii="Times New Roman" w:hAnsi="Times New Roman" w:eastAsia="仿宋_GB2312" w:cs="Times New Roman"/>
          <w:color w:val="auto"/>
          <w:sz w:val="32"/>
          <w:highlight w:val="none"/>
        </w:rPr>
        <w:t>，干流长度为1.69km，干流坡降为13.14‰。总库容106.60万m</w:t>
      </w:r>
      <w:r>
        <w:rPr>
          <w:rFonts w:hint="default" w:ascii="Times New Roman" w:hAnsi="Times New Roman" w:eastAsia="仿宋_GB2312" w:cs="Times New Roman"/>
          <w:color w:val="auto"/>
          <w:sz w:val="32"/>
          <w:highlight w:val="none"/>
          <w:vertAlign w:val="superscript"/>
        </w:rPr>
        <w:t>3</w:t>
      </w:r>
      <w:r>
        <w:rPr>
          <w:rFonts w:hint="default" w:ascii="Times New Roman" w:hAnsi="Times New Roman" w:eastAsia="仿宋_GB2312" w:cs="Times New Roman"/>
          <w:color w:val="auto"/>
          <w:sz w:val="32"/>
          <w:highlight w:val="none"/>
        </w:rPr>
        <w:t>，水库正常蓄水位为129.02m（假设高程），相应正常库容为91.8万m</w:t>
      </w:r>
      <w:r>
        <w:rPr>
          <w:rFonts w:hint="default" w:ascii="Times New Roman" w:hAnsi="Times New Roman" w:eastAsia="仿宋_GB2312" w:cs="Times New Roman"/>
          <w:color w:val="auto"/>
          <w:sz w:val="32"/>
          <w:highlight w:val="none"/>
          <w:vertAlign w:val="superscript"/>
        </w:rPr>
        <w:t>3</w:t>
      </w:r>
      <w:r>
        <w:rPr>
          <w:rFonts w:hint="default" w:ascii="Times New Roman" w:hAnsi="Times New Roman" w:eastAsia="仿宋_GB2312" w:cs="Times New Roman"/>
          <w:color w:val="auto"/>
          <w:sz w:val="32"/>
          <w:highlight w:val="none"/>
        </w:rPr>
        <w:t>；死水位为120.50m（假设高程），相应死库容为0.2万m</w:t>
      </w:r>
      <w:r>
        <w:rPr>
          <w:rFonts w:hint="default" w:ascii="Times New Roman" w:hAnsi="Times New Roman" w:eastAsia="仿宋_GB2312" w:cs="Times New Roman"/>
          <w:color w:val="auto"/>
          <w:sz w:val="32"/>
          <w:highlight w:val="none"/>
          <w:vertAlign w:val="superscript"/>
        </w:rPr>
        <w:t>3</w:t>
      </w:r>
      <w:r>
        <w:rPr>
          <w:rFonts w:hint="default" w:ascii="Times New Roman" w:hAnsi="Times New Roman" w:eastAsia="仿宋_GB2312" w:cs="Times New Roman"/>
          <w:color w:val="auto"/>
          <w:sz w:val="32"/>
          <w:highlight w:val="none"/>
        </w:rPr>
        <w:t>。设计灌溉面积1800亩，该枢纽工程是一座以灌溉为主，兼顾防洪、养鱼等综合利用的小（1）型水利工程。</w:t>
      </w:r>
    </w:p>
    <w:p>
      <w:pPr>
        <w:spacing w:line="640" w:lineRule="exact"/>
        <w:ind w:firstLine="640" w:firstLineChars="200"/>
        <w:rPr>
          <w:rFonts w:hint="default" w:ascii="Times New Roman" w:hAnsi="Times New Roman" w:eastAsia="仿宋_GB2312"/>
          <w:sz w:val="32"/>
        </w:rPr>
      </w:pPr>
      <w:r>
        <w:rPr>
          <w:rFonts w:hint="default" w:ascii="Times New Roman" w:hAnsi="Times New Roman" w:eastAsia="仿宋_GB2312"/>
          <w:sz w:val="32"/>
        </w:rPr>
        <w:t>（30）石堰脑水库</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石堰脑水库属于</w:t>
      </w:r>
      <w:r>
        <w:rPr>
          <w:rFonts w:hint="eastAsia" w:ascii="Times New Roman" w:hAnsi="Times New Roman" w:eastAsia="仿宋_GB2312" w:cs="Times New Roman"/>
          <w:color w:val="auto"/>
          <w:sz w:val="32"/>
          <w:highlight w:val="none"/>
          <w:lang w:eastAsia="zh-CN"/>
        </w:rPr>
        <w:t>祁阳市</w:t>
      </w:r>
      <w:r>
        <w:rPr>
          <w:rFonts w:hint="default" w:ascii="Times New Roman" w:hAnsi="Times New Roman" w:eastAsia="仿宋_GB2312" w:cs="Times New Roman"/>
          <w:color w:val="auto"/>
          <w:sz w:val="32"/>
          <w:highlight w:val="none"/>
        </w:rPr>
        <w:t>黎家坪镇人民政府管理，水库注册登记号为：43112140016-A4。水库位于湖南省永州市</w:t>
      </w:r>
      <w:r>
        <w:rPr>
          <w:rFonts w:hint="eastAsia" w:ascii="Times New Roman" w:hAnsi="Times New Roman" w:eastAsia="仿宋_GB2312" w:cs="Times New Roman"/>
          <w:color w:val="auto"/>
          <w:sz w:val="32"/>
          <w:highlight w:val="none"/>
          <w:lang w:eastAsia="zh-CN"/>
        </w:rPr>
        <w:t>祁阳市</w:t>
      </w:r>
      <w:r>
        <w:rPr>
          <w:rFonts w:hint="default" w:ascii="Times New Roman" w:hAnsi="Times New Roman" w:eastAsia="仿宋_GB2312" w:cs="Times New Roman"/>
          <w:color w:val="auto"/>
          <w:sz w:val="32"/>
          <w:highlight w:val="none"/>
        </w:rPr>
        <w:t>北部，属湘江水系祁水一级支流横水桥河的一条小支流上游。枢纽坐落在永州市</w:t>
      </w:r>
      <w:r>
        <w:rPr>
          <w:rFonts w:hint="eastAsia" w:ascii="Times New Roman" w:hAnsi="Times New Roman" w:eastAsia="仿宋_GB2312" w:cs="Times New Roman"/>
          <w:color w:val="auto"/>
          <w:sz w:val="32"/>
          <w:highlight w:val="none"/>
          <w:lang w:eastAsia="zh-CN"/>
        </w:rPr>
        <w:t>祁阳市</w:t>
      </w:r>
      <w:r>
        <w:rPr>
          <w:rFonts w:hint="default" w:ascii="Times New Roman" w:hAnsi="Times New Roman" w:eastAsia="仿宋_GB2312" w:cs="Times New Roman"/>
          <w:color w:val="auto"/>
          <w:sz w:val="32"/>
          <w:highlight w:val="none"/>
        </w:rPr>
        <w:t>黎家坪镇张公坪村，距黎家坪镇18km，距</w:t>
      </w:r>
      <w:r>
        <w:rPr>
          <w:rFonts w:hint="eastAsia" w:ascii="Times New Roman" w:hAnsi="Times New Roman" w:eastAsia="仿宋_GB2312" w:cs="Times New Roman"/>
          <w:color w:val="auto"/>
          <w:sz w:val="32"/>
          <w:highlight w:val="none"/>
          <w:lang w:eastAsia="zh-CN"/>
        </w:rPr>
        <w:t>祁阳市</w:t>
      </w:r>
      <w:r>
        <w:rPr>
          <w:rFonts w:hint="default" w:ascii="Times New Roman" w:hAnsi="Times New Roman" w:eastAsia="仿宋_GB2312" w:cs="Times New Roman"/>
          <w:color w:val="auto"/>
          <w:sz w:val="32"/>
          <w:highlight w:val="none"/>
        </w:rPr>
        <w:t>城</w:t>
      </w:r>
      <w:r>
        <w:rPr>
          <w:rFonts w:hint="eastAsia" w:ascii="Times New Roman" w:hAnsi="Times New Roman" w:eastAsia="仿宋_GB2312" w:cs="Times New Roman"/>
          <w:color w:val="auto"/>
          <w:sz w:val="32"/>
          <w:highlight w:val="none"/>
          <w:lang w:eastAsia="zh-CN"/>
        </w:rPr>
        <w:t>区</w:t>
      </w:r>
      <w:r>
        <w:rPr>
          <w:rFonts w:hint="default" w:ascii="Times New Roman" w:hAnsi="Times New Roman" w:eastAsia="仿宋_GB2312" w:cs="Times New Roman"/>
          <w:color w:val="auto"/>
          <w:sz w:val="32"/>
          <w:highlight w:val="none"/>
        </w:rPr>
        <w:t>28km。地理坐标为东经111°46′16＂，北纬26°44′15＂。建成于1969年12月，于2015年完成除险加固。</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石堰脑水库工程主要由大坝、溢洪道、输水涵洞和进水卧管等组成。大坝为均质土坝，最大坝高为9.2m，坝顶宽3.00m，坝顶轴线长95m，坝顶高程为119.04m（假设高程）。溢洪道位于大坝右岸，为正槽式宽顶堰，无闸门控制，堰顶高程为117.70m（假设高程），溢洪道过水宽度为3.0m。</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水库坝址以上控制集雨集水面积为1.22km</w:t>
      </w:r>
      <w:r>
        <w:rPr>
          <w:rFonts w:hint="default" w:ascii="Times New Roman" w:hAnsi="Times New Roman" w:eastAsia="仿宋_GB2312" w:cs="Times New Roman"/>
          <w:color w:val="auto"/>
          <w:sz w:val="32"/>
          <w:highlight w:val="none"/>
          <w:vertAlign w:val="superscript"/>
        </w:rPr>
        <w:t>2</w:t>
      </w:r>
      <w:r>
        <w:rPr>
          <w:rFonts w:hint="default" w:ascii="Times New Roman" w:hAnsi="Times New Roman" w:eastAsia="仿宋_GB2312" w:cs="Times New Roman"/>
          <w:color w:val="auto"/>
          <w:sz w:val="32"/>
          <w:highlight w:val="none"/>
        </w:rPr>
        <w:t>，干流长度为1.75km，干流坡降为8.89‰。总库容126.00万m</w:t>
      </w:r>
      <w:r>
        <w:rPr>
          <w:rFonts w:hint="default" w:ascii="Times New Roman" w:hAnsi="Times New Roman" w:eastAsia="仿宋_GB2312" w:cs="Times New Roman"/>
          <w:color w:val="auto"/>
          <w:sz w:val="32"/>
          <w:highlight w:val="none"/>
          <w:vertAlign w:val="superscript"/>
        </w:rPr>
        <w:t>3</w:t>
      </w:r>
      <w:r>
        <w:rPr>
          <w:rFonts w:hint="default" w:ascii="Times New Roman" w:hAnsi="Times New Roman" w:eastAsia="仿宋_GB2312" w:cs="Times New Roman"/>
          <w:color w:val="auto"/>
          <w:sz w:val="32"/>
          <w:highlight w:val="none"/>
        </w:rPr>
        <w:t>，水库正常蓄水位为117.70m（假设高程），相应正常库容为105.7 万m</w:t>
      </w:r>
      <w:r>
        <w:rPr>
          <w:rFonts w:hint="default" w:ascii="Times New Roman" w:hAnsi="Times New Roman" w:eastAsia="仿宋_GB2312" w:cs="Times New Roman"/>
          <w:color w:val="auto"/>
          <w:sz w:val="32"/>
          <w:highlight w:val="none"/>
          <w:vertAlign w:val="superscript"/>
        </w:rPr>
        <w:t>3</w:t>
      </w:r>
      <w:r>
        <w:rPr>
          <w:rFonts w:hint="default" w:ascii="Times New Roman" w:hAnsi="Times New Roman" w:eastAsia="仿宋_GB2312" w:cs="Times New Roman"/>
          <w:color w:val="auto"/>
          <w:sz w:val="32"/>
          <w:highlight w:val="none"/>
        </w:rPr>
        <w:t>；死水位为113.75m（假设高程），相应死库容为48万m</w:t>
      </w:r>
      <w:r>
        <w:rPr>
          <w:rFonts w:hint="default" w:ascii="Times New Roman" w:hAnsi="Times New Roman" w:eastAsia="仿宋_GB2312" w:cs="Times New Roman"/>
          <w:color w:val="auto"/>
          <w:sz w:val="32"/>
          <w:highlight w:val="none"/>
          <w:vertAlign w:val="superscript"/>
        </w:rPr>
        <w:t>3</w:t>
      </w:r>
      <w:r>
        <w:rPr>
          <w:rFonts w:hint="default" w:ascii="Times New Roman" w:hAnsi="Times New Roman" w:eastAsia="仿宋_GB2312" w:cs="Times New Roman"/>
          <w:color w:val="auto"/>
          <w:sz w:val="32"/>
          <w:highlight w:val="none"/>
        </w:rPr>
        <w:t>。设计灌溉面积2000亩，该枢纽工程是一座以灌溉为主，兼顾防洪、养鱼等综合利用的小（1）型水利工程。</w:t>
      </w:r>
    </w:p>
    <w:p>
      <w:pPr>
        <w:spacing w:line="640" w:lineRule="exact"/>
        <w:ind w:firstLine="640" w:firstLineChars="200"/>
        <w:rPr>
          <w:rFonts w:hint="default" w:ascii="Times New Roman" w:hAnsi="Times New Roman" w:eastAsia="仿宋_GB2312"/>
          <w:sz w:val="32"/>
        </w:rPr>
      </w:pPr>
      <w:r>
        <w:rPr>
          <w:rFonts w:hint="default" w:ascii="Times New Roman" w:hAnsi="Times New Roman" w:eastAsia="仿宋_GB2312"/>
          <w:sz w:val="32"/>
        </w:rPr>
        <w:t>（31）石洞源水库</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石洞源水库属于</w:t>
      </w:r>
      <w:r>
        <w:rPr>
          <w:rFonts w:hint="eastAsia" w:ascii="Times New Roman" w:hAnsi="Times New Roman" w:eastAsia="仿宋_GB2312" w:cs="Times New Roman"/>
          <w:color w:val="auto"/>
          <w:sz w:val="32"/>
          <w:highlight w:val="none"/>
          <w:lang w:eastAsia="zh-CN"/>
        </w:rPr>
        <w:t>祁阳市</w:t>
      </w:r>
      <w:r>
        <w:rPr>
          <w:rFonts w:hint="default" w:ascii="Times New Roman" w:hAnsi="Times New Roman" w:eastAsia="仿宋_GB2312" w:cs="Times New Roman"/>
          <w:color w:val="auto"/>
          <w:sz w:val="32"/>
          <w:highlight w:val="none"/>
        </w:rPr>
        <w:t>石喝灌区管理所，注册登记号：43112140023-A4。水库枢纽坐落在永州市</w:t>
      </w:r>
      <w:r>
        <w:rPr>
          <w:rFonts w:hint="eastAsia" w:ascii="Times New Roman" w:hAnsi="Times New Roman" w:eastAsia="仿宋_GB2312" w:cs="Times New Roman"/>
          <w:color w:val="auto"/>
          <w:sz w:val="32"/>
          <w:highlight w:val="none"/>
          <w:lang w:eastAsia="zh-CN"/>
        </w:rPr>
        <w:t>祁阳市</w:t>
      </w:r>
      <w:r>
        <w:rPr>
          <w:rFonts w:hint="default" w:ascii="Times New Roman" w:hAnsi="Times New Roman" w:eastAsia="仿宋_GB2312" w:cs="Times New Roman"/>
          <w:color w:val="auto"/>
          <w:sz w:val="32"/>
          <w:highlight w:val="none"/>
        </w:rPr>
        <w:t>潘市镇源星村境内，距</w:t>
      </w:r>
      <w:r>
        <w:rPr>
          <w:rFonts w:hint="eastAsia" w:ascii="Times New Roman" w:hAnsi="Times New Roman" w:eastAsia="仿宋_GB2312" w:cs="Times New Roman"/>
          <w:color w:val="auto"/>
          <w:sz w:val="32"/>
          <w:highlight w:val="none"/>
          <w:lang w:eastAsia="zh-CN"/>
        </w:rPr>
        <w:t>祁阳市</w:t>
      </w:r>
      <w:r>
        <w:rPr>
          <w:rFonts w:hint="default" w:ascii="Times New Roman" w:hAnsi="Times New Roman" w:eastAsia="仿宋_GB2312" w:cs="Times New Roman"/>
          <w:color w:val="auto"/>
          <w:sz w:val="32"/>
          <w:highlight w:val="none"/>
        </w:rPr>
        <w:t>城</w:t>
      </w:r>
      <w:r>
        <w:rPr>
          <w:rFonts w:hint="eastAsia" w:ascii="Times New Roman" w:hAnsi="Times New Roman" w:eastAsia="仿宋_GB2312" w:cs="Times New Roman"/>
          <w:color w:val="auto"/>
          <w:sz w:val="32"/>
          <w:highlight w:val="none"/>
          <w:lang w:eastAsia="zh-CN"/>
        </w:rPr>
        <w:t>区</w:t>
      </w:r>
      <w:r>
        <w:rPr>
          <w:rFonts w:hint="default" w:ascii="Times New Roman" w:hAnsi="Times New Roman" w:eastAsia="仿宋_GB2312" w:cs="Times New Roman"/>
          <w:color w:val="auto"/>
          <w:sz w:val="32"/>
          <w:highlight w:val="none"/>
        </w:rPr>
        <w:t>35km。地理坐标为东经112°01′25＂，北纬26°30′47＂。建成于1979年3月，于2008年完成除险加固。</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石洞源水库工程主要由大坝、溢洪道、和输水涵洞等组成。水库大坝为粘土斜墙坝，最大坝高40.2m，坝顶轴线长255m，坝顶高程132.23m（假设高程）。溢洪道为开敞式，位于大坝右端，堰顶高程为127.00m（假设高程），堰宽9.1m。</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水库坝址以上控制集雨集水面积为12.70km</w:t>
      </w:r>
      <w:r>
        <w:rPr>
          <w:rFonts w:hint="default" w:ascii="Times New Roman" w:hAnsi="Times New Roman" w:eastAsia="仿宋_GB2312" w:cs="Times New Roman"/>
          <w:color w:val="auto"/>
          <w:sz w:val="32"/>
          <w:highlight w:val="none"/>
          <w:vertAlign w:val="superscript"/>
        </w:rPr>
        <w:t>2</w:t>
      </w:r>
      <w:r>
        <w:rPr>
          <w:rFonts w:hint="default" w:ascii="Times New Roman" w:hAnsi="Times New Roman" w:eastAsia="仿宋_GB2312" w:cs="Times New Roman"/>
          <w:color w:val="auto"/>
          <w:sz w:val="32"/>
          <w:highlight w:val="none"/>
        </w:rPr>
        <w:t>，坝址以上干流长度5.99km，干流平均坡降31.1‰。总库容853.50万m</w:t>
      </w:r>
      <w:r>
        <w:rPr>
          <w:rFonts w:hint="default" w:ascii="Times New Roman" w:hAnsi="Times New Roman" w:eastAsia="仿宋_GB2312" w:cs="Times New Roman"/>
          <w:color w:val="auto"/>
          <w:sz w:val="32"/>
          <w:highlight w:val="none"/>
          <w:vertAlign w:val="superscript"/>
        </w:rPr>
        <w:t>3</w:t>
      </w:r>
      <w:r>
        <w:rPr>
          <w:rFonts w:hint="default" w:ascii="Times New Roman" w:hAnsi="Times New Roman" w:eastAsia="仿宋_GB2312" w:cs="Times New Roman"/>
          <w:color w:val="auto"/>
          <w:sz w:val="32"/>
          <w:highlight w:val="none"/>
        </w:rPr>
        <w:t>，水库正常蓄水位为127.00m（假设高程），相应正常库容为730万m</w:t>
      </w:r>
      <w:r>
        <w:rPr>
          <w:rFonts w:hint="default" w:ascii="Times New Roman" w:hAnsi="Times New Roman" w:eastAsia="仿宋_GB2312" w:cs="Times New Roman"/>
          <w:color w:val="auto"/>
          <w:sz w:val="32"/>
          <w:highlight w:val="none"/>
          <w:vertAlign w:val="superscript"/>
        </w:rPr>
        <w:t>3</w:t>
      </w:r>
      <w:r>
        <w:rPr>
          <w:rFonts w:hint="default" w:ascii="Times New Roman" w:hAnsi="Times New Roman" w:eastAsia="仿宋_GB2312" w:cs="Times New Roman"/>
          <w:color w:val="auto"/>
          <w:sz w:val="32"/>
          <w:highlight w:val="none"/>
        </w:rPr>
        <w:t>；死水位为103.15m（假设高程），相应死库容为39万m</w:t>
      </w:r>
      <w:r>
        <w:rPr>
          <w:rFonts w:hint="default" w:ascii="Times New Roman" w:hAnsi="Times New Roman" w:eastAsia="仿宋_GB2312" w:cs="Times New Roman"/>
          <w:color w:val="auto"/>
          <w:sz w:val="32"/>
          <w:highlight w:val="none"/>
          <w:vertAlign w:val="superscript"/>
        </w:rPr>
        <w:t>3</w:t>
      </w:r>
      <w:r>
        <w:rPr>
          <w:rFonts w:hint="default" w:ascii="Times New Roman" w:hAnsi="Times New Roman" w:eastAsia="仿宋_GB2312" w:cs="Times New Roman"/>
          <w:color w:val="auto"/>
          <w:sz w:val="32"/>
          <w:highlight w:val="none"/>
        </w:rPr>
        <w:t>。设计灌溉面积17400亩，是一座以灌溉为主，兼有防洪、养殖等综合效益的小（1）型水利工程。</w:t>
      </w:r>
    </w:p>
    <w:p>
      <w:pPr>
        <w:spacing w:line="640" w:lineRule="exact"/>
        <w:ind w:firstLine="640" w:firstLineChars="200"/>
        <w:rPr>
          <w:rFonts w:hint="default" w:ascii="Times New Roman" w:hAnsi="Times New Roman" w:eastAsia="仿宋_GB2312"/>
          <w:sz w:val="32"/>
        </w:rPr>
      </w:pPr>
      <w:r>
        <w:rPr>
          <w:rFonts w:hint="default" w:ascii="Times New Roman" w:hAnsi="Times New Roman" w:eastAsia="仿宋_GB2312"/>
          <w:sz w:val="32"/>
        </w:rPr>
        <w:t>（32）文家冲水库</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文家冲水库属于</w:t>
      </w:r>
      <w:r>
        <w:rPr>
          <w:rFonts w:hint="eastAsia" w:ascii="Times New Roman" w:hAnsi="Times New Roman" w:eastAsia="仿宋_GB2312" w:cs="Times New Roman"/>
          <w:color w:val="auto"/>
          <w:sz w:val="32"/>
          <w:highlight w:val="none"/>
          <w:lang w:eastAsia="zh-CN"/>
        </w:rPr>
        <w:t>祁阳市</w:t>
      </w:r>
      <w:r>
        <w:rPr>
          <w:rFonts w:hint="default" w:ascii="Times New Roman" w:hAnsi="Times New Roman" w:eastAsia="仿宋_GB2312" w:cs="Times New Roman"/>
          <w:color w:val="auto"/>
          <w:sz w:val="32"/>
          <w:highlight w:val="none"/>
        </w:rPr>
        <w:t>文家冲水库管理所管理，注册登记号：43112140020-A4。大坝位于</w:t>
      </w:r>
      <w:r>
        <w:rPr>
          <w:rFonts w:hint="eastAsia" w:ascii="Times New Roman" w:hAnsi="Times New Roman" w:eastAsia="仿宋_GB2312" w:cs="Times New Roman"/>
          <w:color w:val="auto"/>
          <w:sz w:val="32"/>
          <w:highlight w:val="none"/>
          <w:lang w:eastAsia="zh-CN"/>
        </w:rPr>
        <w:t>祁阳市</w:t>
      </w:r>
      <w:r>
        <w:rPr>
          <w:rFonts w:hint="default" w:ascii="Times New Roman" w:hAnsi="Times New Roman" w:eastAsia="仿宋_GB2312" w:cs="Times New Roman"/>
          <w:color w:val="auto"/>
          <w:sz w:val="32"/>
          <w:highlight w:val="none"/>
        </w:rPr>
        <w:t>城东南部，湘江左岸白龙江水源头，坝址座落于</w:t>
      </w:r>
      <w:r>
        <w:rPr>
          <w:rFonts w:hint="eastAsia" w:ascii="Times New Roman" w:hAnsi="Times New Roman" w:eastAsia="仿宋_GB2312" w:cs="Times New Roman"/>
          <w:color w:val="auto"/>
          <w:sz w:val="32"/>
          <w:highlight w:val="none"/>
          <w:lang w:eastAsia="zh-CN"/>
        </w:rPr>
        <w:t>祁阳市</w:t>
      </w:r>
      <w:r>
        <w:rPr>
          <w:rFonts w:hint="default" w:ascii="Times New Roman" w:hAnsi="Times New Roman" w:eastAsia="仿宋_GB2312" w:cs="Times New Roman"/>
          <w:color w:val="auto"/>
          <w:sz w:val="32"/>
          <w:highlight w:val="none"/>
        </w:rPr>
        <w:t>七里桥镇文高村，距</w:t>
      </w:r>
      <w:r>
        <w:rPr>
          <w:rFonts w:hint="eastAsia" w:ascii="Times New Roman" w:hAnsi="Times New Roman" w:eastAsia="仿宋_GB2312" w:cs="Times New Roman"/>
          <w:color w:val="auto"/>
          <w:sz w:val="32"/>
          <w:highlight w:val="none"/>
          <w:lang w:eastAsia="zh-CN"/>
        </w:rPr>
        <w:t>祁阳市</w:t>
      </w:r>
      <w:r>
        <w:rPr>
          <w:rFonts w:hint="default" w:ascii="Times New Roman" w:hAnsi="Times New Roman" w:eastAsia="仿宋_GB2312" w:cs="Times New Roman"/>
          <w:color w:val="auto"/>
          <w:sz w:val="32"/>
          <w:highlight w:val="none"/>
        </w:rPr>
        <w:t>城</w:t>
      </w:r>
      <w:r>
        <w:rPr>
          <w:rFonts w:hint="eastAsia" w:ascii="Times New Roman" w:hAnsi="Times New Roman" w:eastAsia="仿宋_GB2312" w:cs="Times New Roman"/>
          <w:color w:val="auto"/>
          <w:sz w:val="32"/>
          <w:highlight w:val="none"/>
          <w:lang w:eastAsia="zh-CN"/>
        </w:rPr>
        <w:t>区</w:t>
      </w:r>
      <w:r>
        <w:rPr>
          <w:rFonts w:hint="default" w:ascii="Times New Roman" w:hAnsi="Times New Roman" w:eastAsia="仿宋_GB2312" w:cs="Times New Roman"/>
          <w:color w:val="auto"/>
          <w:sz w:val="32"/>
          <w:highlight w:val="none"/>
        </w:rPr>
        <w:t>10km。地理坐标为东经111°57′43＂，北纬26°35′10＂。建成于1969年12月，于2008年完成除险加固。</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枢纽工程主要由大坝、溢洪道、放水涵等组成。大坝为均质土坝，最大坝高41.50m，坝顶高程205.50m（假设高程），坝顶轴线长280m，坝顶宽8m；溢洪道为开敞式宽顶堰，位于大坝右端，堰顶高程201.60m（假设高程），堰宽15m；消能方式为底流消能。</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水库坝址以上控制集雨集水面积为10.3km</w:t>
      </w:r>
      <w:r>
        <w:rPr>
          <w:rFonts w:hint="default" w:ascii="Times New Roman" w:hAnsi="Times New Roman" w:eastAsia="仿宋_GB2312" w:cs="Times New Roman"/>
          <w:color w:val="auto"/>
          <w:sz w:val="32"/>
          <w:highlight w:val="none"/>
          <w:vertAlign w:val="superscript"/>
        </w:rPr>
        <w:t>2</w:t>
      </w:r>
      <w:r>
        <w:rPr>
          <w:rFonts w:hint="default" w:ascii="Times New Roman" w:hAnsi="Times New Roman" w:eastAsia="仿宋_GB2312" w:cs="Times New Roman"/>
          <w:color w:val="auto"/>
          <w:sz w:val="32"/>
          <w:highlight w:val="none"/>
        </w:rPr>
        <w:t>，坝址以上干流长度7.08km，干流平均坡降30.3‰。总库容495.10万m</w:t>
      </w:r>
      <w:r>
        <w:rPr>
          <w:rFonts w:hint="default" w:ascii="Times New Roman" w:hAnsi="Times New Roman" w:eastAsia="仿宋_GB2312" w:cs="Times New Roman"/>
          <w:color w:val="auto"/>
          <w:sz w:val="32"/>
          <w:highlight w:val="none"/>
          <w:vertAlign w:val="superscript"/>
        </w:rPr>
        <w:t>3</w:t>
      </w:r>
      <w:r>
        <w:rPr>
          <w:rFonts w:hint="default" w:ascii="Times New Roman" w:hAnsi="Times New Roman" w:eastAsia="仿宋_GB2312" w:cs="Times New Roman"/>
          <w:color w:val="auto"/>
          <w:sz w:val="32"/>
          <w:highlight w:val="none"/>
        </w:rPr>
        <w:t>，水库正常蓄水位为201.60m（假设高程），相应正常库容为443.95万m</w:t>
      </w:r>
      <w:r>
        <w:rPr>
          <w:rFonts w:hint="default" w:ascii="Times New Roman" w:hAnsi="Times New Roman" w:eastAsia="仿宋_GB2312" w:cs="Times New Roman"/>
          <w:color w:val="auto"/>
          <w:sz w:val="32"/>
          <w:highlight w:val="none"/>
          <w:vertAlign w:val="superscript"/>
        </w:rPr>
        <w:t>3</w:t>
      </w:r>
      <w:r>
        <w:rPr>
          <w:rFonts w:hint="default" w:ascii="Times New Roman" w:hAnsi="Times New Roman" w:eastAsia="仿宋_GB2312" w:cs="Times New Roman"/>
          <w:color w:val="auto"/>
          <w:sz w:val="32"/>
          <w:highlight w:val="none"/>
        </w:rPr>
        <w:t>；死水位为166.00m（假设高程），相应死库容为1.8万m</w:t>
      </w:r>
      <w:r>
        <w:rPr>
          <w:rFonts w:hint="default" w:ascii="Times New Roman" w:hAnsi="Times New Roman" w:eastAsia="仿宋_GB2312" w:cs="Times New Roman"/>
          <w:color w:val="auto"/>
          <w:sz w:val="32"/>
          <w:highlight w:val="none"/>
          <w:vertAlign w:val="superscript"/>
        </w:rPr>
        <w:t>3</w:t>
      </w:r>
      <w:r>
        <w:rPr>
          <w:rFonts w:hint="default" w:ascii="Times New Roman" w:hAnsi="Times New Roman" w:eastAsia="仿宋_GB2312" w:cs="Times New Roman"/>
          <w:color w:val="auto"/>
          <w:sz w:val="32"/>
          <w:highlight w:val="none"/>
        </w:rPr>
        <w:t>。设计灌溉面积15800亩，文家冲水库是一座以灌溉为主，兼有防洪保安、养殖等综合效益的小（1）型水利工程。</w:t>
      </w:r>
    </w:p>
    <w:p>
      <w:pPr>
        <w:pStyle w:val="3"/>
        <w:spacing w:line="680" w:lineRule="exact"/>
        <w:ind w:firstLine="643" w:firstLineChars="200"/>
        <w:jc w:val="both"/>
        <w:rPr>
          <w:rFonts w:hint="default" w:eastAsia="楷体_GB2312"/>
          <w:sz w:val="32"/>
        </w:rPr>
      </w:pPr>
      <w:bookmarkStart w:id="14" w:name="_Toc21145"/>
      <w:r>
        <w:rPr>
          <w:rFonts w:hint="default" w:eastAsia="楷体_GB2312"/>
          <w:sz w:val="32"/>
        </w:rPr>
        <w:t>2.</w:t>
      </w:r>
      <w:r>
        <w:rPr>
          <w:rFonts w:hint="eastAsia" w:eastAsia="楷体_GB2312"/>
          <w:sz w:val="32"/>
          <w:lang w:val="en-US" w:eastAsia="zh-CN"/>
        </w:rPr>
        <w:t>3</w:t>
      </w:r>
      <w:r>
        <w:rPr>
          <w:rFonts w:hint="default" w:eastAsia="楷体_GB2312"/>
          <w:sz w:val="32"/>
        </w:rPr>
        <w:t xml:space="preserve"> 灌区基本信息</w:t>
      </w:r>
      <w:bookmarkEnd w:id="14"/>
    </w:p>
    <w:p>
      <w:pPr>
        <w:spacing w:line="640" w:lineRule="exact"/>
        <w:ind w:firstLine="640" w:firstLineChars="200"/>
        <w:rPr>
          <w:rFonts w:hint="default" w:ascii="Times New Roman" w:hAnsi="Times New Roman" w:eastAsia="仿宋_GB2312"/>
          <w:color w:val="000000" w:themeColor="text1"/>
          <w:sz w:val="32"/>
          <w14:textFill>
            <w14:solidFill>
              <w14:schemeClr w14:val="tx1"/>
            </w14:solidFill>
          </w14:textFill>
        </w:rPr>
      </w:pPr>
      <w:r>
        <w:rPr>
          <w:rFonts w:hint="default" w:ascii="Times New Roman" w:hAnsi="Times New Roman" w:eastAsia="仿宋_GB2312"/>
          <w:color w:val="000000" w:themeColor="text1"/>
          <w:sz w:val="32"/>
          <w14:textFill>
            <w14:solidFill>
              <w14:schemeClr w14:val="tx1"/>
            </w14:solidFill>
          </w14:textFill>
        </w:rPr>
        <w:t>（1）大江灌区</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大江灌区位于</w:t>
      </w:r>
      <w:r>
        <w:rPr>
          <w:rFonts w:hint="eastAsia" w:ascii="Times New Roman" w:hAnsi="Times New Roman" w:eastAsia="仿宋_GB2312" w:cs="Times New Roman"/>
          <w:color w:val="auto"/>
          <w:sz w:val="32"/>
          <w:highlight w:val="none"/>
          <w:lang w:eastAsia="zh-CN"/>
        </w:rPr>
        <w:t>祁阳市</w:t>
      </w:r>
      <w:r>
        <w:rPr>
          <w:rFonts w:hint="default" w:ascii="Times New Roman" w:hAnsi="Times New Roman" w:eastAsia="仿宋_GB2312" w:cs="Times New Roman"/>
          <w:color w:val="auto"/>
          <w:sz w:val="32"/>
          <w:highlight w:val="none"/>
        </w:rPr>
        <w:t>南部，其管理单位为大江水库管理所。</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其主要水源工程为大江水库，灌区范围包括</w:t>
      </w:r>
      <w:r>
        <w:rPr>
          <w:rFonts w:hint="eastAsia" w:ascii="Times New Roman" w:hAnsi="Times New Roman" w:eastAsia="仿宋_GB2312" w:cs="Times New Roman"/>
          <w:color w:val="auto"/>
          <w:sz w:val="32"/>
          <w:highlight w:val="none"/>
          <w:lang w:eastAsia="zh-CN"/>
        </w:rPr>
        <w:t>祁阳市</w:t>
      </w:r>
      <w:r>
        <w:rPr>
          <w:rFonts w:hint="default" w:ascii="Times New Roman" w:hAnsi="Times New Roman" w:eastAsia="仿宋_GB2312" w:cs="Times New Roman"/>
          <w:color w:val="auto"/>
          <w:sz w:val="32"/>
          <w:highlight w:val="none"/>
        </w:rPr>
        <w:t>大堡乡、大忠桥镇、肖家镇、八宝镇、白水镇、黄泥塘镇、进宝塘镇、凤凰乡，灌区总面积53.9万亩，受益人口达22.7万人，其中农业人口21.9万人，灌区范围内总耕地面积19万亩。</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大江灌区枢纽工程始建于1966年6月，1969年开始兴建渠系工程，1972年开始输水受益。受当时条件限制，工程设计标准低，施工质量差，经过近48年的运行，渠道、渠系建筑物及配套设施老化破损严重，导致工程安全隐患遍布，运行效益低下。目前灌区渠系水利用系数仅0.46，灌区实灌面积10.0万亩，长度约102</w:t>
      </w:r>
      <w:r>
        <w:rPr>
          <w:rFonts w:hint="eastAsia" w:ascii="Times New Roman" w:hAnsi="Times New Roman" w:eastAsia="仿宋_GB2312" w:cs="Times New Roman"/>
          <w:color w:val="auto"/>
          <w:sz w:val="32"/>
          <w:highlight w:val="none"/>
          <w:lang w:val="en-US" w:eastAsia="zh-CN"/>
        </w:rPr>
        <w:t>k</w:t>
      </w:r>
      <w:r>
        <w:rPr>
          <w:rFonts w:hint="default" w:ascii="Times New Roman" w:hAnsi="Times New Roman" w:eastAsia="仿宋_GB2312" w:cs="Times New Roman"/>
          <w:color w:val="auto"/>
          <w:sz w:val="32"/>
          <w:highlight w:val="none"/>
        </w:rPr>
        <w:t>m。</w:t>
      </w:r>
    </w:p>
    <w:p>
      <w:pPr>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大江灌区骨干水源为大江水库，该水库是一座以灌溉为主，兼有发电、养殖等综合效益的中型水利工程。坝址以上控制流域面积128km</w:t>
      </w:r>
      <w:r>
        <w:rPr>
          <w:rFonts w:hint="default" w:ascii="Times New Roman" w:hAnsi="Times New Roman" w:eastAsia="仿宋_GB2312" w:cs="Times New Roman"/>
          <w:color w:val="auto"/>
          <w:sz w:val="32"/>
          <w:highlight w:val="none"/>
          <w:vertAlign w:val="superscript"/>
        </w:rPr>
        <w:t>2</w:t>
      </w:r>
      <w:r>
        <w:rPr>
          <w:rFonts w:hint="default" w:ascii="Times New Roman" w:hAnsi="Times New Roman" w:eastAsia="仿宋_GB2312" w:cs="Times New Roman"/>
          <w:color w:val="auto"/>
          <w:sz w:val="32"/>
          <w:highlight w:val="none"/>
        </w:rPr>
        <w:t>，总库容4950万m</w:t>
      </w:r>
      <w:r>
        <w:rPr>
          <w:rFonts w:hint="default" w:ascii="Times New Roman" w:hAnsi="Times New Roman" w:eastAsia="仿宋_GB2312" w:cs="Times New Roman"/>
          <w:color w:val="auto"/>
          <w:sz w:val="32"/>
          <w:highlight w:val="none"/>
          <w:vertAlign w:val="superscript"/>
        </w:rPr>
        <w:t>3</w:t>
      </w:r>
      <w:r>
        <w:rPr>
          <w:rFonts w:hint="default" w:ascii="Times New Roman" w:hAnsi="Times New Roman" w:eastAsia="仿宋_GB2312" w:cs="Times New Roman"/>
          <w:color w:val="auto"/>
          <w:sz w:val="32"/>
          <w:highlight w:val="none"/>
        </w:rPr>
        <w:t>。多年平均产水量1.50亿m</w:t>
      </w:r>
      <w:r>
        <w:rPr>
          <w:rFonts w:hint="default" w:ascii="Times New Roman" w:hAnsi="Times New Roman" w:eastAsia="仿宋_GB2312" w:cs="Times New Roman"/>
          <w:color w:val="auto"/>
          <w:sz w:val="32"/>
          <w:highlight w:val="none"/>
          <w:vertAlign w:val="superscript"/>
        </w:rPr>
        <w:t>3</w:t>
      </w:r>
      <w:r>
        <w:rPr>
          <w:rFonts w:hint="default" w:ascii="Times New Roman" w:hAnsi="Times New Roman" w:eastAsia="仿宋_GB2312" w:cs="Times New Roman"/>
          <w:color w:val="auto"/>
          <w:sz w:val="32"/>
          <w:highlight w:val="none"/>
        </w:rPr>
        <w:t>。</w:t>
      </w:r>
    </w:p>
    <w:p>
      <w:pPr>
        <w:spacing w:line="640" w:lineRule="exact"/>
        <w:ind w:firstLine="640" w:firstLineChars="200"/>
        <w:rPr>
          <w:rFonts w:hint="default" w:ascii="Times New Roman" w:hAnsi="Times New Roman" w:eastAsia="仿宋_GB2312"/>
          <w:color w:val="000000" w:themeColor="text1"/>
          <w:sz w:val="32"/>
          <w14:textFill>
            <w14:solidFill>
              <w14:schemeClr w14:val="tx1"/>
            </w14:solidFill>
          </w14:textFill>
        </w:rPr>
      </w:pPr>
      <w:r>
        <w:rPr>
          <w:rFonts w:hint="default" w:ascii="Times New Roman" w:hAnsi="Times New Roman" w:eastAsia="仿宋_GB2312"/>
          <w:color w:val="000000" w:themeColor="text1"/>
          <w:sz w:val="32"/>
          <w14:textFill>
            <w14:solidFill>
              <w14:schemeClr w14:val="tx1"/>
            </w14:solidFill>
          </w14:textFill>
        </w:rPr>
        <w:t>（2）龙江桥灌区</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龙江桥灌区位于</w:t>
      </w:r>
      <w:r>
        <w:rPr>
          <w:rFonts w:hint="eastAsia" w:ascii="Times New Roman" w:hAnsi="Times New Roman" w:eastAsia="仿宋_GB2312" w:cs="Times New Roman"/>
          <w:color w:val="auto"/>
          <w:sz w:val="32"/>
          <w:highlight w:val="none"/>
          <w:lang w:eastAsia="zh-CN"/>
        </w:rPr>
        <w:t>祁阳市</w:t>
      </w:r>
      <w:r>
        <w:rPr>
          <w:rFonts w:hint="default" w:ascii="Times New Roman" w:hAnsi="Times New Roman" w:eastAsia="仿宋_GB2312" w:cs="Times New Roman"/>
          <w:color w:val="auto"/>
          <w:sz w:val="32"/>
          <w:highlight w:val="none"/>
        </w:rPr>
        <w:t>城西北部，其管理单位为龙江桥水库管理所。</w:t>
      </w:r>
    </w:p>
    <w:p>
      <w:pPr>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其主要水源工程为龙江桥水库，灌区范围包括文明铺镇、龚家坪镇，总灌溉面积约3.3万亩，灌区范围内总耕地面积6.4万亩，干渠长度约24km。龙江桥灌区骨干水源为龙江桥水库，该水库正常库容908万m</w:t>
      </w:r>
      <w:r>
        <w:rPr>
          <w:rFonts w:hint="default" w:ascii="Times New Roman" w:hAnsi="Times New Roman" w:eastAsia="仿宋_GB2312" w:cs="Times New Roman"/>
          <w:color w:val="auto"/>
          <w:sz w:val="32"/>
          <w:highlight w:val="none"/>
          <w:vertAlign w:val="superscript"/>
        </w:rPr>
        <w:t>3</w:t>
      </w:r>
      <w:r>
        <w:rPr>
          <w:rFonts w:hint="default" w:ascii="Times New Roman" w:hAnsi="Times New Roman" w:eastAsia="仿宋_GB2312" w:cs="Times New Roman"/>
          <w:color w:val="auto"/>
          <w:sz w:val="32"/>
          <w:highlight w:val="none"/>
        </w:rPr>
        <w:t>。总库容1102.2万m</w:t>
      </w:r>
      <w:r>
        <w:rPr>
          <w:rFonts w:hint="default" w:ascii="Times New Roman" w:hAnsi="Times New Roman" w:eastAsia="仿宋_GB2312" w:cs="Times New Roman"/>
          <w:color w:val="auto"/>
          <w:sz w:val="32"/>
          <w:highlight w:val="none"/>
          <w:vertAlign w:val="superscript"/>
        </w:rPr>
        <w:t>3</w:t>
      </w:r>
      <w:r>
        <w:rPr>
          <w:rFonts w:hint="default" w:ascii="Times New Roman" w:hAnsi="Times New Roman" w:eastAsia="仿宋_GB2312" w:cs="Times New Roman"/>
          <w:color w:val="auto"/>
          <w:sz w:val="32"/>
          <w:highlight w:val="none"/>
        </w:rPr>
        <w:t>。是一座以灌溉为主，兼有防洪、养鱼等综合效益的中型水利工程。</w:t>
      </w:r>
    </w:p>
    <w:p>
      <w:pPr>
        <w:spacing w:line="640" w:lineRule="exact"/>
        <w:ind w:firstLine="640" w:firstLineChars="200"/>
        <w:rPr>
          <w:rFonts w:hint="default" w:ascii="Times New Roman" w:hAnsi="Times New Roman" w:eastAsia="仿宋_GB2312"/>
          <w:color w:val="000000" w:themeColor="text1"/>
          <w:sz w:val="32"/>
          <w14:textFill>
            <w14:solidFill>
              <w14:schemeClr w14:val="tx1"/>
            </w14:solidFill>
          </w14:textFill>
        </w:rPr>
      </w:pPr>
      <w:r>
        <w:rPr>
          <w:rFonts w:hint="default" w:ascii="Times New Roman" w:hAnsi="Times New Roman" w:eastAsia="仿宋_GB2312"/>
          <w:color w:val="000000" w:themeColor="text1"/>
          <w:sz w:val="32"/>
          <w14:textFill>
            <w14:solidFill>
              <w14:schemeClr w14:val="tx1"/>
            </w14:solidFill>
          </w14:textFill>
        </w:rPr>
        <w:t>（3）石喝灌区</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石喝灌区位于</w:t>
      </w:r>
      <w:r>
        <w:rPr>
          <w:rFonts w:hint="eastAsia" w:ascii="Times New Roman" w:hAnsi="Times New Roman" w:eastAsia="仿宋_GB2312" w:cs="Times New Roman"/>
          <w:color w:val="auto"/>
          <w:sz w:val="32"/>
          <w:highlight w:val="none"/>
          <w:lang w:eastAsia="zh-CN"/>
        </w:rPr>
        <w:t>祁阳市</w:t>
      </w:r>
      <w:r>
        <w:rPr>
          <w:rFonts w:hint="default" w:ascii="Times New Roman" w:hAnsi="Times New Roman" w:eastAsia="仿宋_GB2312" w:cs="Times New Roman"/>
          <w:color w:val="auto"/>
          <w:sz w:val="32"/>
          <w:highlight w:val="none"/>
        </w:rPr>
        <w:t>城东边，其管理单位为石洞源水库管理所。</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其主要水源工程为石洞源水库，灌区范围包括潘市镇、梅溪镇、羊角塘镇，总灌溉面积约4.7万亩，灌区范围内总耕地面积7.6万亩，干渠长度约65km。</w:t>
      </w:r>
    </w:p>
    <w:p>
      <w:pPr>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石喝灌区骨干水源为石洞源水库，该水库总库容730万m</w:t>
      </w:r>
      <w:r>
        <w:rPr>
          <w:rFonts w:hint="default" w:ascii="Times New Roman" w:hAnsi="Times New Roman" w:eastAsia="仿宋_GB2312" w:cs="Times New Roman"/>
          <w:color w:val="auto"/>
          <w:sz w:val="32"/>
          <w:highlight w:val="none"/>
          <w:vertAlign w:val="superscript"/>
        </w:rPr>
        <w:t>3</w:t>
      </w:r>
      <w:r>
        <w:rPr>
          <w:rFonts w:hint="default" w:ascii="Times New Roman" w:hAnsi="Times New Roman" w:eastAsia="仿宋_GB2312" w:cs="Times New Roman"/>
          <w:color w:val="auto"/>
          <w:sz w:val="32"/>
          <w:highlight w:val="none"/>
        </w:rPr>
        <w:t>。是一座以灌溉为主，兼有防洪、养鱼等综合效益的小（1）水利工程。</w:t>
      </w:r>
    </w:p>
    <w:p>
      <w:pPr>
        <w:pStyle w:val="3"/>
        <w:spacing w:line="680" w:lineRule="exact"/>
        <w:ind w:firstLine="643" w:firstLineChars="200"/>
        <w:jc w:val="both"/>
        <w:rPr>
          <w:rFonts w:hint="default" w:eastAsia="楷体_GB2312"/>
          <w:sz w:val="32"/>
        </w:rPr>
      </w:pPr>
      <w:bookmarkStart w:id="15" w:name="_Toc12837"/>
      <w:r>
        <w:rPr>
          <w:rFonts w:hint="default" w:eastAsia="楷体_GB2312"/>
          <w:sz w:val="32"/>
        </w:rPr>
        <w:t>2.</w:t>
      </w:r>
      <w:r>
        <w:rPr>
          <w:rFonts w:hint="eastAsia" w:eastAsia="楷体_GB2312"/>
          <w:sz w:val="32"/>
          <w:lang w:val="en-US" w:eastAsia="zh-CN"/>
        </w:rPr>
        <w:t>4</w:t>
      </w:r>
      <w:r>
        <w:rPr>
          <w:rFonts w:hint="default" w:eastAsia="楷体_GB2312"/>
          <w:sz w:val="32"/>
        </w:rPr>
        <w:t xml:space="preserve"> 泵站基本信息</w:t>
      </w:r>
      <w:bookmarkEnd w:id="15"/>
    </w:p>
    <w:p>
      <w:pPr>
        <w:spacing w:line="640" w:lineRule="exact"/>
        <w:ind w:firstLine="640" w:firstLineChars="200"/>
        <w:rPr>
          <w:rFonts w:hint="default" w:ascii="Times New Roman" w:hAnsi="Times New Roman" w:eastAsia="仿宋_GB2312"/>
          <w:color w:val="000000" w:themeColor="text1"/>
          <w:sz w:val="32"/>
          <w14:textFill>
            <w14:solidFill>
              <w14:schemeClr w14:val="tx1"/>
            </w14:solidFill>
          </w14:textFill>
        </w:rPr>
      </w:pPr>
      <w:r>
        <w:rPr>
          <w:rFonts w:hint="default" w:ascii="Times New Roman" w:hAnsi="Times New Roman" w:eastAsia="仿宋_GB2312"/>
          <w:color w:val="000000" w:themeColor="text1"/>
          <w:sz w:val="32"/>
          <w14:textFill>
            <w14:solidFill>
              <w14:schemeClr w14:val="tx1"/>
            </w14:solidFill>
          </w14:textFill>
        </w:rPr>
        <w:t>（1）于家冲电灌站一级电排泵站</w:t>
      </w:r>
    </w:p>
    <w:p>
      <w:pPr>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于家冲电灌站一级电排泵站位于</w:t>
      </w:r>
      <w:r>
        <w:rPr>
          <w:rFonts w:hint="eastAsia" w:ascii="Times New Roman" w:hAnsi="Times New Roman" w:eastAsia="仿宋_GB2312" w:cs="Times New Roman"/>
          <w:color w:val="auto"/>
          <w:sz w:val="32"/>
          <w:highlight w:val="none"/>
          <w:lang w:eastAsia="zh-CN"/>
        </w:rPr>
        <w:t>祁阳市</w:t>
      </w:r>
      <w:r>
        <w:rPr>
          <w:rFonts w:hint="default" w:ascii="Times New Roman" w:hAnsi="Times New Roman" w:eastAsia="仿宋_GB2312" w:cs="Times New Roman"/>
          <w:color w:val="auto"/>
          <w:sz w:val="32"/>
          <w:highlight w:val="none"/>
        </w:rPr>
        <w:t>城</w:t>
      </w:r>
      <w:r>
        <w:rPr>
          <w:rFonts w:hint="eastAsia" w:ascii="Times New Roman" w:hAnsi="Times New Roman" w:eastAsia="仿宋_GB2312" w:cs="Times New Roman"/>
          <w:color w:val="auto"/>
          <w:sz w:val="32"/>
          <w:highlight w:val="none"/>
          <w:lang w:eastAsia="zh-CN"/>
        </w:rPr>
        <w:t>区</w:t>
      </w:r>
      <w:r>
        <w:rPr>
          <w:rFonts w:hint="default" w:ascii="Times New Roman" w:hAnsi="Times New Roman" w:eastAsia="仿宋_GB2312" w:cs="Times New Roman"/>
          <w:color w:val="auto"/>
          <w:sz w:val="32"/>
          <w:highlight w:val="none"/>
        </w:rPr>
        <w:t>湘江边，工程规模为Ⅲ级，一级电排泵站装机流量1.7 m</w:t>
      </w:r>
      <w:r>
        <w:rPr>
          <w:rFonts w:hint="default" w:ascii="Times New Roman" w:hAnsi="Times New Roman" w:eastAsia="仿宋_GB2312" w:cs="Times New Roman"/>
          <w:color w:val="auto"/>
          <w:sz w:val="32"/>
          <w:highlight w:val="none"/>
          <w:vertAlign w:val="superscript"/>
        </w:rPr>
        <w:t>3</w:t>
      </w:r>
      <w:r>
        <w:rPr>
          <w:rFonts w:hint="default" w:ascii="Times New Roman" w:hAnsi="Times New Roman" w:eastAsia="仿宋_GB2312" w:cs="Times New Roman"/>
          <w:color w:val="auto"/>
          <w:sz w:val="32"/>
          <w:highlight w:val="none"/>
        </w:rPr>
        <w:t>/秒，装机功率1040kw。此外还包括一处二级泵站，其管理单位为</w:t>
      </w:r>
      <w:r>
        <w:rPr>
          <w:rFonts w:hint="eastAsia" w:ascii="Times New Roman" w:hAnsi="Times New Roman" w:eastAsia="仿宋_GB2312" w:cs="Times New Roman"/>
          <w:color w:val="auto"/>
          <w:sz w:val="32"/>
          <w:highlight w:val="none"/>
          <w:lang w:eastAsia="zh-CN"/>
        </w:rPr>
        <w:t>祁阳市</w:t>
      </w:r>
      <w:r>
        <w:rPr>
          <w:rFonts w:hint="default" w:ascii="Times New Roman" w:hAnsi="Times New Roman" w:eastAsia="仿宋_GB2312" w:cs="Times New Roman"/>
          <w:color w:val="auto"/>
          <w:sz w:val="32"/>
          <w:highlight w:val="none"/>
        </w:rPr>
        <w:t>于家冲电灌站管理所。</w:t>
      </w:r>
    </w:p>
    <w:p>
      <w:pPr>
        <w:spacing w:line="640" w:lineRule="exact"/>
        <w:ind w:firstLine="640" w:firstLineChars="200"/>
        <w:rPr>
          <w:rFonts w:hint="default" w:ascii="Times New Roman" w:hAnsi="Times New Roman" w:eastAsia="仿宋_GB2312"/>
          <w:color w:val="000000" w:themeColor="text1"/>
          <w:sz w:val="32"/>
          <w14:textFill>
            <w14:solidFill>
              <w14:schemeClr w14:val="tx1"/>
            </w14:solidFill>
          </w14:textFill>
        </w:rPr>
      </w:pPr>
      <w:r>
        <w:rPr>
          <w:rFonts w:hint="default" w:ascii="Times New Roman" w:hAnsi="Times New Roman" w:eastAsia="仿宋_GB2312"/>
          <w:color w:val="000000" w:themeColor="text1"/>
          <w:sz w:val="32"/>
          <w14:textFill>
            <w14:solidFill>
              <w14:schemeClr w14:val="tx1"/>
            </w14:solidFill>
          </w14:textFill>
        </w:rPr>
        <w:t>（2）喝罗滩电排泵站</w:t>
      </w:r>
    </w:p>
    <w:p>
      <w:pPr>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喝罗滩电排泵站位于</w:t>
      </w:r>
      <w:r>
        <w:rPr>
          <w:rFonts w:hint="eastAsia" w:ascii="Times New Roman" w:hAnsi="Times New Roman" w:eastAsia="仿宋_GB2312" w:cs="Times New Roman"/>
          <w:color w:val="auto"/>
          <w:sz w:val="32"/>
          <w:highlight w:val="none"/>
          <w:lang w:eastAsia="zh-CN"/>
        </w:rPr>
        <w:t>祁阳市</w:t>
      </w:r>
      <w:r>
        <w:rPr>
          <w:rFonts w:hint="default" w:ascii="Times New Roman" w:hAnsi="Times New Roman" w:eastAsia="仿宋_GB2312" w:cs="Times New Roman"/>
          <w:color w:val="auto"/>
          <w:sz w:val="32"/>
          <w:highlight w:val="none"/>
        </w:rPr>
        <w:t>湘江边，石喝灌区总干渠上，属于石喝灌区配套工程。工程规模为Ⅲ级，电排泵站装机流量2.59 m</w:t>
      </w:r>
      <w:r>
        <w:rPr>
          <w:rFonts w:hint="default" w:ascii="Times New Roman" w:hAnsi="Times New Roman" w:eastAsia="仿宋_GB2312" w:cs="Times New Roman"/>
          <w:color w:val="auto"/>
          <w:sz w:val="32"/>
          <w:highlight w:val="none"/>
          <w:vertAlign w:val="superscript"/>
        </w:rPr>
        <w:t>3</w:t>
      </w:r>
      <w:r>
        <w:rPr>
          <w:rFonts w:hint="default" w:ascii="Times New Roman" w:hAnsi="Times New Roman" w:eastAsia="仿宋_GB2312" w:cs="Times New Roman"/>
          <w:color w:val="auto"/>
          <w:sz w:val="32"/>
          <w:highlight w:val="none"/>
        </w:rPr>
        <w:t>/秒，装机功率1730kw。其管理单位为</w:t>
      </w:r>
      <w:r>
        <w:rPr>
          <w:rFonts w:hint="eastAsia" w:ascii="Times New Roman" w:hAnsi="Times New Roman" w:eastAsia="仿宋_GB2312" w:cs="Times New Roman"/>
          <w:color w:val="auto"/>
          <w:sz w:val="32"/>
          <w:highlight w:val="none"/>
          <w:lang w:eastAsia="zh-CN"/>
        </w:rPr>
        <w:t>祁阳市</w:t>
      </w:r>
      <w:r>
        <w:rPr>
          <w:rFonts w:hint="default" w:ascii="Times New Roman" w:hAnsi="Times New Roman" w:eastAsia="仿宋_GB2312" w:cs="Times New Roman"/>
          <w:color w:val="auto"/>
          <w:sz w:val="32"/>
          <w:highlight w:val="none"/>
        </w:rPr>
        <w:t>石洞源水库管理所。</w:t>
      </w:r>
    </w:p>
    <w:p>
      <w:pPr>
        <w:pStyle w:val="3"/>
        <w:spacing w:line="680" w:lineRule="exact"/>
        <w:ind w:firstLine="643" w:firstLineChars="200"/>
        <w:jc w:val="both"/>
        <w:rPr>
          <w:rFonts w:hint="default" w:eastAsia="楷体_GB2312"/>
          <w:sz w:val="32"/>
        </w:rPr>
      </w:pPr>
      <w:bookmarkStart w:id="16" w:name="_Toc25092"/>
      <w:r>
        <w:rPr>
          <w:rFonts w:hint="default" w:eastAsia="楷体_GB2312"/>
          <w:sz w:val="32"/>
        </w:rPr>
        <w:t>2</w:t>
      </w:r>
      <w:r>
        <w:rPr>
          <w:rFonts w:hint="eastAsia" w:eastAsia="楷体_GB2312"/>
          <w:sz w:val="32"/>
          <w:lang w:val="en-US" w:eastAsia="zh-CN"/>
        </w:rPr>
        <w:t>.5</w:t>
      </w:r>
      <w:r>
        <w:rPr>
          <w:rFonts w:hint="default" w:eastAsia="楷体_GB2312"/>
          <w:sz w:val="32"/>
        </w:rPr>
        <w:t xml:space="preserve"> 水闸基本信息</w:t>
      </w:r>
      <w:bookmarkEnd w:id="16"/>
    </w:p>
    <w:p>
      <w:pPr>
        <w:spacing w:line="640" w:lineRule="exact"/>
        <w:ind w:firstLine="640" w:firstLineChars="200"/>
        <w:rPr>
          <w:rFonts w:hint="default" w:ascii="Times New Roman" w:hAnsi="Times New Roman" w:eastAsia="仿宋_GB2312"/>
          <w:color w:val="000000" w:themeColor="text1"/>
          <w:sz w:val="32"/>
          <w14:textFill>
            <w14:solidFill>
              <w14:schemeClr w14:val="tx1"/>
            </w14:solidFill>
          </w14:textFill>
        </w:rPr>
      </w:pPr>
      <w:r>
        <w:rPr>
          <w:rFonts w:hint="default" w:ascii="Times New Roman" w:hAnsi="Times New Roman" w:eastAsia="仿宋_GB2312"/>
          <w:color w:val="000000" w:themeColor="text1"/>
          <w:sz w:val="32"/>
          <w14:textFill>
            <w14:solidFill>
              <w14:schemeClr w14:val="tx1"/>
            </w14:solidFill>
          </w14:textFill>
        </w:rPr>
        <w:t>（1）白茅滩河坝水闸</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白茅滩河坝水闸位于湘江一级支流祁水河的下游，其管理单位为白茅滩河坝管理所。</w:t>
      </w:r>
    </w:p>
    <w:p>
      <w:pPr>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白茅滩河坝水闸工程枢纽于1973年1月建成。白茅滩河坝水闸由水闸、电站等建筑物组成，工程规模为中型，设计洪水标准（重现期）20年。闸址位于</w:t>
      </w:r>
      <w:r>
        <w:rPr>
          <w:rFonts w:hint="eastAsia" w:ascii="Times New Roman" w:hAnsi="Times New Roman" w:eastAsia="仿宋_GB2312" w:cs="Times New Roman"/>
          <w:color w:val="auto"/>
          <w:sz w:val="32"/>
          <w:highlight w:val="none"/>
          <w:lang w:eastAsia="zh-CN"/>
        </w:rPr>
        <w:t>祁阳市</w:t>
      </w:r>
      <w:r>
        <w:rPr>
          <w:rFonts w:hint="default" w:ascii="Times New Roman" w:hAnsi="Times New Roman" w:eastAsia="仿宋_GB2312" w:cs="Times New Roman"/>
          <w:color w:val="auto"/>
          <w:sz w:val="32"/>
          <w:highlight w:val="none"/>
        </w:rPr>
        <w:t>文富市镇成柿村、黄泥山村，水闸类型为节制闸，闸孔数量9孔，闸孔总净宽18m，过闸流量100.2m</w:t>
      </w:r>
      <w:r>
        <w:rPr>
          <w:rFonts w:hint="default" w:ascii="Times New Roman" w:hAnsi="Times New Roman" w:eastAsia="仿宋_GB2312" w:cs="Times New Roman"/>
          <w:color w:val="auto"/>
          <w:sz w:val="32"/>
          <w:highlight w:val="none"/>
          <w:vertAlign w:val="superscript"/>
        </w:rPr>
        <w:t>3</w:t>
      </w:r>
      <w:r>
        <w:rPr>
          <w:rFonts w:hint="default" w:ascii="Times New Roman" w:hAnsi="Times New Roman" w:eastAsia="仿宋_GB2312" w:cs="Times New Roman"/>
          <w:color w:val="auto"/>
          <w:sz w:val="32"/>
          <w:highlight w:val="none"/>
        </w:rPr>
        <w:t>/s。水闸上建有小型水电站一座，装机3×125kw，全年发电量80万kw·h。</w:t>
      </w:r>
    </w:p>
    <w:p>
      <w:pPr>
        <w:spacing w:line="640" w:lineRule="exact"/>
        <w:ind w:firstLine="640" w:firstLineChars="200"/>
        <w:rPr>
          <w:rFonts w:hint="default" w:ascii="Times New Roman" w:hAnsi="Times New Roman" w:eastAsia="仿宋_GB2312"/>
          <w:color w:val="000000" w:themeColor="text1"/>
          <w:sz w:val="32"/>
          <w14:textFill>
            <w14:solidFill>
              <w14:schemeClr w14:val="tx1"/>
            </w14:solidFill>
          </w14:textFill>
        </w:rPr>
      </w:pPr>
      <w:r>
        <w:rPr>
          <w:rFonts w:hint="default" w:ascii="Times New Roman" w:hAnsi="Times New Roman" w:eastAsia="仿宋_GB2312"/>
          <w:color w:val="000000" w:themeColor="text1"/>
          <w:sz w:val="32"/>
          <w14:textFill>
            <w14:solidFill>
              <w14:schemeClr w14:val="tx1"/>
            </w14:solidFill>
          </w14:textFill>
        </w:rPr>
        <w:t>（2）豹虎龙水闸</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豹虎龙水闸位于湘江水系白水一级支流大黄司河的下游，其管理单位为</w:t>
      </w:r>
      <w:r>
        <w:rPr>
          <w:rFonts w:hint="eastAsia" w:ascii="Times New Roman" w:hAnsi="Times New Roman" w:eastAsia="仿宋_GB2312" w:cs="Times New Roman"/>
          <w:color w:val="auto"/>
          <w:sz w:val="32"/>
          <w:highlight w:val="none"/>
          <w:lang w:eastAsia="zh-CN"/>
        </w:rPr>
        <w:t>祁阳市</w:t>
      </w:r>
      <w:r>
        <w:rPr>
          <w:rFonts w:hint="default" w:ascii="Times New Roman" w:hAnsi="Times New Roman" w:eastAsia="仿宋_GB2312" w:cs="Times New Roman"/>
          <w:color w:val="auto"/>
          <w:sz w:val="32"/>
          <w:highlight w:val="none"/>
        </w:rPr>
        <w:t>内下电站管理局。</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闸址位于大、小黄司河交汇处的下游，地处永州市金洞镇黄河村，距金洞管理区25 km，距</w:t>
      </w:r>
      <w:r>
        <w:rPr>
          <w:rFonts w:hint="eastAsia" w:ascii="Times New Roman" w:hAnsi="Times New Roman" w:eastAsia="仿宋_GB2312" w:cs="Times New Roman"/>
          <w:color w:val="auto"/>
          <w:sz w:val="32"/>
          <w:highlight w:val="none"/>
          <w:lang w:eastAsia="zh-CN"/>
        </w:rPr>
        <w:t>祁阳市区</w:t>
      </w:r>
      <w:r>
        <w:rPr>
          <w:rFonts w:hint="default" w:ascii="Times New Roman" w:hAnsi="Times New Roman" w:eastAsia="仿宋_GB2312" w:cs="Times New Roman"/>
          <w:color w:val="auto"/>
          <w:sz w:val="32"/>
          <w:highlight w:val="none"/>
        </w:rPr>
        <w:t>80km。闸址以上控制集雨面积263km</w:t>
      </w:r>
      <w:r>
        <w:rPr>
          <w:rFonts w:hint="default" w:ascii="Times New Roman" w:hAnsi="Times New Roman" w:eastAsia="仿宋_GB2312" w:cs="Times New Roman"/>
          <w:color w:val="auto"/>
          <w:sz w:val="32"/>
          <w:highlight w:val="none"/>
          <w:vertAlign w:val="superscript"/>
        </w:rPr>
        <w:t>2</w:t>
      </w:r>
      <w:r>
        <w:rPr>
          <w:rFonts w:hint="default" w:ascii="Times New Roman" w:hAnsi="Times New Roman" w:eastAsia="仿宋_GB2312" w:cs="Times New Roman"/>
          <w:color w:val="auto"/>
          <w:sz w:val="32"/>
          <w:highlight w:val="none"/>
        </w:rPr>
        <w:t>，干流长度44.39km，平均坡降12.68‰，多年平均降雨量1630mm，多年平均蒸发量1462.6mm。</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豹虎龙水闸工程枢纽于1977年动工兴建，1979年12月基本建成，设计洪水标准（重现期）30年，是一座集防洪、灌溉、发电等综合效益的大型水闸工程。本水闸设计灌溉面积2万亩，电站设计装机3×1250kw，设计多年平均发电量1395万kw·h，现实际装机2×1250kw和1×1470kw，实际多年平均发电量900万kw·h。</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豹虎龙水闸枢纽由溢流闸、冲砂闸、输水设施、电站及两岸连接段等建筑物组成。</w:t>
      </w:r>
    </w:p>
    <w:p>
      <w:pPr>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水闸为浆砌石圬工结构，水闸轴线长109m，分为三段，左、右岸连接段及中段溢流闸。左岸连接段长15.0m，右岸连接段长49.5m，连接段闸顶宽为8m，闸顶高程195.15m，水闸最大闸高28.65m，连接段最大底宽21.80m；溢流闸长44.5m，闸底宽25.10m，由四孔l0m宽的溢流堰组成，溢流堰顶高程185.0m，设四扇10×6.5m(宽×高)水力自控多铰翻螺闸门控制，挑流消能。</w:t>
      </w:r>
    </w:p>
    <w:p>
      <w:pPr>
        <w:spacing w:line="640" w:lineRule="exact"/>
        <w:ind w:firstLine="640" w:firstLineChars="200"/>
        <w:rPr>
          <w:rFonts w:hint="default" w:ascii="Times New Roman" w:hAnsi="Times New Roman" w:eastAsia="仿宋_GB2312"/>
          <w:color w:val="000000" w:themeColor="text1"/>
          <w:sz w:val="32"/>
          <w14:textFill>
            <w14:solidFill>
              <w14:schemeClr w14:val="tx1"/>
            </w14:solidFill>
          </w14:textFill>
        </w:rPr>
      </w:pPr>
      <w:r>
        <w:rPr>
          <w:rFonts w:hint="default" w:ascii="Times New Roman" w:hAnsi="Times New Roman" w:eastAsia="仿宋_GB2312"/>
          <w:color w:val="000000" w:themeColor="text1"/>
          <w:sz w:val="32"/>
          <w14:textFill>
            <w14:solidFill>
              <w14:schemeClr w14:val="tx1"/>
            </w14:solidFill>
          </w14:textFill>
        </w:rPr>
        <w:t>（3）大忠坝水闸</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大忠坝水闸位于湘江水系白水一级支流黄花河上，其管理单位为大忠坝</w:t>
      </w:r>
      <w:r>
        <w:rPr>
          <w:rFonts w:hint="default" w:ascii="Times New Roman" w:hAnsi="Times New Roman" w:eastAsia="仿宋_GB2312" w:cs="Times New Roman"/>
          <w:color w:val="auto"/>
          <w:sz w:val="32"/>
          <w:highlight w:val="none"/>
          <w:lang w:val="en-US" w:eastAsia="zh-CN"/>
        </w:rPr>
        <w:t>水闸</w:t>
      </w:r>
      <w:r>
        <w:rPr>
          <w:rFonts w:hint="default" w:ascii="Times New Roman" w:hAnsi="Times New Roman" w:eastAsia="仿宋_GB2312" w:cs="Times New Roman"/>
          <w:color w:val="auto"/>
          <w:sz w:val="32"/>
          <w:highlight w:val="none"/>
        </w:rPr>
        <w:t>管理所。</w:t>
      </w:r>
    </w:p>
    <w:p>
      <w:pPr>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大忠坝水闸工程枢纽于1980年12月建成。工程规模为中型，设计洪水标准（重现期）20年。闸址位于</w:t>
      </w:r>
      <w:r>
        <w:rPr>
          <w:rFonts w:hint="eastAsia" w:ascii="Times New Roman" w:hAnsi="Times New Roman" w:eastAsia="仿宋_GB2312" w:cs="Times New Roman"/>
          <w:color w:val="auto"/>
          <w:sz w:val="32"/>
          <w:highlight w:val="none"/>
          <w:lang w:eastAsia="zh-CN"/>
        </w:rPr>
        <w:t>祁阳市</w:t>
      </w:r>
      <w:r>
        <w:rPr>
          <w:rFonts w:hint="default" w:ascii="Times New Roman" w:hAnsi="Times New Roman" w:eastAsia="仿宋_GB2312" w:cs="Times New Roman"/>
          <w:color w:val="auto"/>
          <w:sz w:val="32"/>
          <w:highlight w:val="none"/>
        </w:rPr>
        <w:t>大忠桥镇西河街社区、和睦山村，水闸类型为分(泄)洪闸，闸孔数量20孔，闸孔总净宽80m，副闸孔数量1个，副闸孔总净宽5.7m，过闸流量268m</w:t>
      </w:r>
      <w:r>
        <w:rPr>
          <w:rFonts w:hint="default" w:ascii="Times New Roman" w:hAnsi="Times New Roman" w:eastAsia="仿宋_GB2312" w:cs="Times New Roman"/>
          <w:color w:val="auto"/>
          <w:sz w:val="32"/>
          <w:highlight w:val="none"/>
          <w:vertAlign w:val="superscript"/>
        </w:rPr>
        <w:t>3</w:t>
      </w:r>
      <w:r>
        <w:rPr>
          <w:rFonts w:hint="default" w:ascii="Times New Roman" w:hAnsi="Times New Roman" w:eastAsia="仿宋_GB2312" w:cs="Times New Roman"/>
          <w:color w:val="auto"/>
          <w:sz w:val="32"/>
          <w:highlight w:val="none"/>
        </w:rPr>
        <w:t>/s。</w:t>
      </w:r>
    </w:p>
    <w:p>
      <w:pPr>
        <w:spacing w:line="640" w:lineRule="exact"/>
        <w:ind w:firstLine="640" w:firstLineChars="200"/>
        <w:rPr>
          <w:rFonts w:hint="default" w:ascii="Times New Roman" w:hAnsi="Times New Roman" w:eastAsia="仿宋_GB2312"/>
          <w:color w:val="000000" w:themeColor="text1"/>
          <w:sz w:val="32"/>
          <w14:textFill>
            <w14:solidFill>
              <w14:schemeClr w14:val="tx1"/>
            </w14:solidFill>
          </w14:textFill>
        </w:rPr>
      </w:pPr>
      <w:r>
        <w:rPr>
          <w:rFonts w:hint="default" w:ascii="Times New Roman" w:hAnsi="Times New Roman" w:eastAsia="仿宋_GB2312"/>
          <w:color w:val="000000" w:themeColor="text1"/>
          <w:sz w:val="32"/>
          <w14:textFill>
            <w14:solidFill>
              <w14:schemeClr w14:val="tx1"/>
            </w14:solidFill>
          </w14:textFill>
        </w:rPr>
        <w:t>（4）花柳河坝水闸</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花柳河坝水闸位于湘江水系白水一级支流黄花河的上游，其管理单位为花柳河坝</w:t>
      </w:r>
      <w:r>
        <w:rPr>
          <w:rFonts w:hint="default" w:ascii="Times New Roman" w:hAnsi="Times New Roman" w:eastAsia="仿宋_GB2312" w:cs="Times New Roman"/>
          <w:color w:val="auto"/>
          <w:sz w:val="32"/>
          <w:highlight w:val="none"/>
          <w:lang w:val="en-US" w:eastAsia="zh-CN"/>
        </w:rPr>
        <w:t>水闸</w:t>
      </w:r>
      <w:r>
        <w:rPr>
          <w:rFonts w:hint="default" w:ascii="Times New Roman" w:hAnsi="Times New Roman" w:eastAsia="仿宋_GB2312" w:cs="Times New Roman"/>
          <w:color w:val="auto"/>
          <w:sz w:val="32"/>
          <w:highlight w:val="none"/>
        </w:rPr>
        <w:t>管理所。</w:t>
      </w:r>
    </w:p>
    <w:p>
      <w:pPr>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花柳河坝水闸工程枢纽于1973年5月建成。工程规模为中型，设计洪水标准（重现期）20年。闸址位于</w:t>
      </w:r>
      <w:r>
        <w:rPr>
          <w:rFonts w:hint="eastAsia" w:ascii="Times New Roman" w:hAnsi="Times New Roman" w:eastAsia="仿宋_GB2312" w:cs="Times New Roman"/>
          <w:color w:val="auto"/>
          <w:sz w:val="32"/>
          <w:highlight w:val="none"/>
          <w:lang w:eastAsia="zh-CN"/>
        </w:rPr>
        <w:t>祁阳市</w:t>
      </w:r>
      <w:r>
        <w:rPr>
          <w:rFonts w:hint="default" w:ascii="Times New Roman" w:hAnsi="Times New Roman" w:eastAsia="仿宋_GB2312" w:cs="Times New Roman"/>
          <w:color w:val="auto"/>
          <w:sz w:val="32"/>
          <w:highlight w:val="none"/>
        </w:rPr>
        <w:t>大忠桥镇黄家桥村，水闸类型为分(泄)洪闸，闸孔数量13孔，闸孔总净宽58.5m，副闸孔数量1个，副闸孔总净宽2m，过闸流量226.1m</w:t>
      </w:r>
      <w:r>
        <w:rPr>
          <w:rFonts w:hint="default" w:ascii="Times New Roman" w:hAnsi="Times New Roman" w:eastAsia="仿宋_GB2312" w:cs="Times New Roman"/>
          <w:color w:val="auto"/>
          <w:sz w:val="32"/>
          <w:highlight w:val="none"/>
          <w:vertAlign w:val="superscript"/>
        </w:rPr>
        <w:t>3</w:t>
      </w:r>
      <w:r>
        <w:rPr>
          <w:rFonts w:hint="default" w:ascii="Times New Roman" w:hAnsi="Times New Roman" w:eastAsia="仿宋_GB2312" w:cs="Times New Roman"/>
          <w:color w:val="auto"/>
          <w:sz w:val="32"/>
          <w:highlight w:val="none"/>
        </w:rPr>
        <w:t>/s。</w:t>
      </w:r>
    </w:p>
    <w:p>
      <w:pPr>
        <w:spacing w:line="640" w:lineRule="exact"/>
        <w:ind w:firstLine="640" w:firstLineChars="200"/>
        <w:rPr>
          <w:rFonts w:hint="default" w:ascii="Times New Roman" w:hAnsi="Times New Roman" w:eastAsia="仿宋_GB2312"/>
          <w:color w:val="000000" w:themeColor="text1"/>
          <w:sz w:val="32"/>
          <w14:textFill>
            <w14:solidFill>
              <w14:schemeClr w14:val="tx1"/>
            </w14:solidFill>
          </w14:textFill>
        </w:rPr>
      </w:pPr>
      <w:r>
        <w:rPr>
          <w:rFonts w:hint="default" w:ascii="Times New Roman" w:hAnsi="Times New Roman" w:eastAsia="仿宋_GB2312"/>
          <w:color w:val="000000" w:themeColor="text1"/>
          <w:sz w:val="32"/>
          <w14:textFill>
            <w14:solidFill>
              <w14:schemeClr w14:val="tx1"/>
            </w14:solidFill>
          </w14:textFill>
        </w:rPr>
        <w:t>（5）黄袍岭水闸</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黄袍岭水闸位于湘江水系清江河，其管理单位为羊角塘镇水利管理站。</w:t>
      </w:r>
    </w:p>
    <w:p>
      <w:pPr>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黄袍岭水闸工程枢纽于1972年11月建成。工程规模为中型，设计洪水标准（重现期）20年。闸址位于</w:t>
      </w:r>
      <w:r>
        <w:rPr>
          <w:rFonts w:hint="eastAsia" w:ascii="Times New Roman" w:hAnsi="Times New Roman" w:eastAsia="仿宋_GB2312" w:cs="Times New Roman"/>
          <w:color w:val="auto"/>
          <w:sz w:val="32"/>
          <w:highlight w:val="none"/>
          <w:lang w:eastAsia="zh-CN"/>
        </w:rPr>
        <w:t>祁阳市</w:t>
      </w:r>
      <w:r>
        <w:rPr>
          <w:rFonts w:hint="default" w:ascii="Times New Roman" w:hAnsi="Times New Roman" w:eastAsia="仿宋_GB2312" w:cs="Times New Roman"/>
          <w:color w:val="auto"/>
          <w:sz w:val="32"/>
          <w:highlight w:val="none"/>
        </w:rPr>
        <w:t>羊角塘镇八歧村，水闸类型为节制闸，闸孔数量9孔，闸孔总净宽15.3m，过闸流量103.5m</w:t>
      </w:r>
      <w:r>
        <w:rPr>
          <w:rFonts w:hint="default" w:ascii="Times New Roman" w:hAnsi="Times New Roman" w:eastAsia="仿宋_GB2312" w:cs="Times New Roman"/>
          <w:color w:val="auto"/>
          <w:sz w:val="32"/>
          <w:highlight w:val="none"/>
          <w:vertAlign w:val="superscript"/>
        </w:rPr>
        <w:t>3</w:t>
      </w:r>
      <w:r>
        <w:rPr>
          <w:rFonts w:hint="default" w:ascii="Times New Roman" w:hAnsi="Times New Roman" w:eastAsia="仿宋_GB2312" w:cs="Times New Roman"/>
          <w:color w:val="auto"/>
          <w:sz w:val="32"/>
          <w:highlight w:val="none"/>
        </w:rPr>
        <w:t>/s。</w:t>
      </w:r>
    </w:p>
    <w:p>
      <w:pPr>
        <w:spacing w:line="640" w:lineRule="exact"/>
        <w:ind w:firstLine="640" w:firstLineChars="200"/>
        <w:rPr>
          <w:rFonts w:hint="default" w:ascii="Times New Roman" w:hAnsi="Times New Roman" w:eastAsia="仿宋_GB2312"/>
          <w:color w:val="000000" w:themeColor="text1"/>
          <w:sz w:val="32"/>
          <w14:textFill>
            <w14:solidFill>
              <w14:schemeClr w14:val="tx1"/>
            </w14:solidFill>
          </w14:textFill>
        </w:rPr>
      </w:pPr>
      <w:r>
        <w:rPr>
          <w:rFonts w:hint="default" w:ascii="Times New Roman" w:hAnsi="Times New Roman" w:eastAsia="仿宋_GB2312"/>
          <w:color w:val="000000" w:themeColor="text1"/>
          <w:sz w:val="32"/>
          <w14:textFill>
            <w14:solidFill>
              <w14:schemeClr w14:val="tx1"/>
            </w14:solidFill>
          </w14:textFill>
        </w:rPr>
        <w:t>（6）老屋冲河坝水闸</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老屋冲河坝水闸工程位于祁水下游，地处</w:t>
      </w:r>
      <w:r>
        <w:rPr>
          <w:rFonts w:hint="eastAsia" w:ascii="Times New Roman" w:hAnsi="Times New Roman" w:eastAsia="仿宋_GB2312" w:cs="Times New Roman"/>
          <w:color w:val="auto"/>
          <w:sz w:val="32"/>
          <w:highlight w:val="none"/>
          <w:lang w:eastAsia="zh-CN"/>
        </w:rPr>
        <w:t>祁阳市</w:t>
      </w:r>
      <w:r>
        <w:rPr>
          <w:rFonts w:hint="default" w:ascii="Times New Roman" w:hAnsi="Times New Roman" w:eastAsia="仿宋_GB2312" w:cs="Times New Roman"/>
          <w:color w:val="auto"/>
          <w:sz w:val="32"/>
          <w:highlight w:val="none"/>
        </w:rPr>
        <w:t>黎家坪镇老屋冲村，距</w:t>
      </w:r>
      <w:r>
        <w:rPr>
          <w:rFonts w:hint="eastAsia" w:ascii="Times New Roman" w:hAnsi="Times New Roman" w:eastAsia="仿宋_GB2312" w:cs="Times New Roman"/>
          <w:color w:val="auto"/>
          <w:sz w:val="32"/>
          <w:highlight w:val="none"/>
          <w:lang w:eastAsia="zh-CN"/>
        </w:rPr>
        <w:t>祁阳市</w:t>
      </w:r>
      <w:r>
        <w:rPr>
          <w:rFonts w:hint="default" w:ascii="Times New Roman" w:hAnsi="Times New Roman" w:eastAsia="仿宋_GB2312" w:cs="Times New Roman"/>
          <w:color w:val="auto"/>
          <w:sz w:val="32"/>
          <w:highlight w:val="none"/>
        </w:rPr>
        <w:t>城15km，工程规模为大型，其管理单位为</w:t>
      </w:r>
      <w:r>
        <w:rPr>
          <w:rFonts w:hint="eastAsia" w:ascii="Times New Roman" w:hAnsi="Times New Roman" w:eastAsia="仿宋_GB2312" w:cs="Times New Roman"/>
          <w:color w:val="auto"/>
          <w:sz w:val="32"/>
          <w:highlight w:val="none"/>
          <w:lang w:eastAsia="zh-CN"/>
        </w:rPr>
        <w:t>祁阳市</w:t>
      </w:r>
      <w:r>
        <w:rPr>
          <w:rFonts w:hint="default" w:ascii="Times New Roman" w:hAnsi="Times New Roman" w:eastAsia="仿宋_GB2312" w:cs="Times New Roman"/>
          <w:color w:val="auto"/>
          <w:sz w:val="32"/>
          <w:highlight w:val="none"/>
        </w:rPr>
        <w:t>黎家坪综合供水公司。</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水闸以上控制流域面积为1445km</w:t>
      </w:r>
      <w:r>
        <w:rPr>
          <w:rFonts w:hint="default" w:ascii="Times New Roman" w:hAnsi="Times New Roman" w:eastAsia="仿宋_GB2312" w:cs="Times New Roman"/>
          <w:color w:val="auto"/>
          <w:sz w:val="32"/>
          <w:highlight w:val="none"/>
          <w:vertAlign w:val="superscript"/>
        </w:rPr>
        <w:t>2</w:t>
      </w:r>
      <w:r>
        <w:rPr>
          <w:rFonts w:hint="default" w:ascii="Times New Roman" w:hAnsi="Times New Roman" w:eastAsia="仿宋_GB2312" w:cs="Times New Roman"/>
          <w:color w:val="auto"/>
          <w:sz w:val="32"/>
          <w:highlight w:val="none"/>
        </w:rPr>
        <w:t>，占祁水流域总面积的85.8%。多年平均降雨量1279.6mm，多年平均蒸发量1415.1mm。</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本工程于1965年10月开工兴建，1969年建成运行，设计洪水标准（重现期）20年，灌溉黎家坪镇竹茶冲、枫树岭、松山、老屋冲、石子岭、太平、黎家坪、新塘、江边湾、荷叶塘、和大村甸镇官塘共十一个行政村，灌溉面积1.25万亩。同时能解决黎家坪集镇及周边3.68万人人畜饮水水源。是一座集农业灌溉、发电、自来水供应等综合利用于一体的大型水闸枢纽工程。</w:t>
      </w:r>
    </w:p>
    <w:p>
      <w:pPr>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老屋冲水闸枢纽由溢流闸、水泵、两岸连接段和电站等三大部分组成，水闸轴线长141.6m。自左往右分别由左岸连接段、左岸水轮泵段、溢流闸段、右岸水轮泵段、电站引水进水口检修闸及右岸连接段组成，宽度分别为：13m、15m、66.6m、23m、6.6m、17.4m。</w:t>
      </w:r>
    </w:p>
    <w:p>
      <w:pPr>
        <w:spacing w:line="640" w:lineRule="exact"/>
        <w:ind w:firstLine="640" w:firstLineChars="200"/>
        <w:rPr>
          <w:rFonts w:hint="default" w:ascii="Times New Roman" w:hAnsi="Times New Roman" w:eastAsia="仿宋_GB2312"/>
          <w:color w:val="000000" w:themeColor="text1"/>
          <w:sz w:val="32"/>
          <w14:textFill>
            <w14:solidFill>
              <w14:schemeClr w14:val="tx1"/>
            </w14:solidFill>
          </w14:textFill>
        </w:rPr>
      </w:pPr>
      <w:r>
        <w:rPr>
          <w:rFonts w:hint="default" w:ascii="Times New Roman" w:hAnsi="Times New Roman" w:eastAsia="仿宋_GB2312"/>
          <w:color w:val="000000" w:themeColor="text1"/>
          <w:sz w:val="32"/>
          <w14:textFill>
            <w14:solidFill>
              <w14:schemeClr w14:val="tx1"/>
            </w14:solidFill>
          </w14:textFill>
        </w:rPr>
        <w:t>（7）冷水江河坝水闸</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冷水江河坝水闸位于湘江一级支流祁水河，其管理单位为冷水江河坝管理所。</w:t>
      </w:r>
    </w:p>
    <w:p>
      <w:pPr>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冷水江河坝水闸工程枢纽于1972年7月建成。工程规模为中型，设计洪水标准（重现期）20年。闸址位于</w:t>
      </w:r>
      <w:r>
        <w:rPr>
          <w:rFonts w:hint="eastAsia" w:ascii="Times New Roman" w:hAnsi="Times New Roman" w:eastAsia="仿宋_GB2312" w:cs="Times New Roman"/>
          <w:color w:val="auto"/>
          <w:sz w:val="32"/>
          <w:highlight w:val="none"/>
          <w:lang w:eastAsia="zh-CN"/>
        </w:rPr>
        <w:t>祁阳市</w:t>
      </w:r>
      <w:r>
        <w:rPr>
          <w:rFonts w:hint="default" w:ascii="Times New Roman" w:hAnsi="Times New Roman" w:eastAsia="仿宋_GB2312" w:cs="Times New Roman"/>
          <w:color w:val="auto"/>
          <w:sz w:val="32"/>
          <w:highlight w:val="none"/>
        </w:rPr>
        <w:t>黎家坪镇马斯坪村，水闸类型为节制闸，闸孔数量28孔，闸孔总净宽84m，过闸流量190m</w:t>
      </w:r>
      <w:r>
        <w:rPr>
          <w:rFonts w:hint="default" w:ascii="Times New Roman" w:hAnsi="Times New Roman" w:eastAsia="仿宋_GB2312" w:cs="Times New Roman"/>
          <w:color w:val="auto"/>
          <w:sz w:val="32"/>
          <w:highlight w:val="none"/>
          <w:vertAlign w:val="superscript"/>
        </w:rPr>
        <w:t>3</w:t>
      </w:r>
      <w:r>
        <w:rPr>
          <w:rFonts w:hint="default" w:ascii="Times New Roman" w:hAnsi="Times New Roman" w:eastAsia="仿宋_GB2312" w:cs="Times New Roman"/>
          <w:color w:val="auto"/>
          <w:sz w:val="32"/>
          <w:highlight w:val="none"/>
        </w:rPr>
        <w:t>/s。</w:t>
      </w:r>
    </w:p>
    <w:p>
      <w:pPr>
        <w:spacing w:line="640" w:lineRule="exact"/>
        <w:ind w:firstLine="640" w:firstLineChars="200"/>
        <w:rPr>
          <w:rFonts w:hint="default" w:ascii="Times New Roman" w:hAnsi="Times New Roman" w:eastAsia="仿宋_GB2312"/>
          <w:color w:val="000000" w:themeColor="text1"/>
          <w:sz w:val="32"/>
          <w14:textFill>
            <w14:solidFill>
              <w14:schemeClr w14:val="tx1"/>
            </w14:solidFill>
          </w14:textFill>
        </w:rPr>
      </w:pPr>
      <w:r>
        <w:rPr>
          <w:rFonts w:hint="default" w:ascii="Times New Roman" w:hAnsi="Times New Roman" w:eastAsia="仿宋_GB2312"/>
          <w:color w:val="000000" w:themeColor="text1"/>
          <w:sz w:val="32"/>
          <w14:textFill>
            <w14:solidFill>
              <w14:schemeClr w14:val="tx1"/>
            </w14:solidFill>
          </w14:textFill>
        </w:rPr>
        <w:t>（8）人民灌区分洪闸</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人民灌区分洪闸水闸位于湘江一级支流白水河，其管理单位为</w:t>
      </w:r>
      <w:r>
        <w:rPr>
          <w:rFonts w:hint="eastAsia" w:ascii="Times New Roman" w:hAnsi="Times New Roman" w:eastAsia="仿宋_GB2312" w:cs="Times New Roman"/>
          <w:color w:val="auto"/>
          <w:sz w:val="32"/>
          <w:highlight w:val="none"/>
          <w:lang w:eastAsia="zh-CN"/>
        </w:rPr>
        <w:t>祁阳市</w:t>
      </w:r>
      <w:r>
        <w:rPr>
          <w:rFonts w:hint="default" w:ascii="Times New Roman" w:hAnsi="Times New Roman" w:eastAsia="仿宋_GB2312" w:cs="Times New Roman"/>
          <w:color w:val="auto"/>
          <w:sz w:val="32"/>
          <w:highlight w:val="none"/>
        </w:rPr>
        <w:t>人民电站。</w:t>
      </w:r>
    </w:p>
    <w:p>
      <w:pPr>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人民灌区分洪闸水闸水闸工程枢纽于1976年9月建成。工程规模为中型，设计洪水标准（重现期）20年。闸址位于</w:t>
      </w:r>
      <w:r>
        <w:rPr>
          <w:rFonts w:hint="eastAsia" w:ascii="Times New Roman" w:hAnsi="Times New Roman" w:eastAsia="仿宋_GB2312" w:cs="Times New Roman"/>
          <w:color w:val="auto"/>
          <w:sz w:val="32"/>
          <w:highlight w:val="none"/>
          <w:lang w:eastAsia="zh-CN"/>
        </w:rPr>
        <w:t>祁阳市</w:t>
      </w:r>
      <w:r>
        <w:rPr>
          <w:rFonts w:hint="default" w:ascii="Times New Roman" w:hAnsi="Times New Roman" w:eastAsia="仿宋_GB2312" w:cs="Times New Roman"/>
          <w:color w:val="auto"/>
          <w:sz w:val="32"/>
          <w:highlight w:val="none"/>
        </w:rPr>
        <w:t>八宝镇天龙村，水闸类型为节制闸，闸孔数量2孔，闸孔总净宽10m，过闸流量120m</w:t>
      </w:r>
      <w:r>
        <w:rPr>
          <w:rFonts w:hint="default" w:ascii="Times New Roman" w:hAnsi="Times New Roman" w:eastAsia="仿宋_GB2312" w:cs="Times New Roman"/>
          <w:color w:val="auto"/>
          <w:sz w:val="32"/>
          <w:highlight w:val="none"/>
          <w:vertAlign w:val="superscript"/>
        </w:rPr>
        <w:t>3</w:t>
      </w:r>
      <w:r>
        <w:rPr>
          <w:rFonts w:hint="default" w:ascii="Times New Roman" w:hAnsi="Times New Roman" w:eastAsia="仿宋_GB2312" w:cs="Times New Roman"/>
          <w:color w:val="auto"/>
          <w:sz w:val="32"/>
          <w:highlight w:val="none"/>
        </w:rPr>
        <w:t>/s。</w:t>
      </w:r>
    </w:p>
    <w:p>
      <w:pPr>
        <w:spacing w:line="640" w:lineRule="exact"/>
        <w:ind w:firstLine="640" w:firstLineChars="200"/>
        <w:rPr>
          <w:rFonts w:hint="default" w:ascii="Times New Roman" w:hAnsi="Times New Roman" w:eastAsia="仿宋_GB2312"/>
          <w:color w:val="000000" w:themeColor="text1"/>
          <w:sz w:val="32"/>
          <w14:textFill>
            <w14:solidFill>
              <w14:schemeClr w14:val="tx1"/>
            </w14:solidFill>
          </w14:textFill>
        </w:rPr>
      </w:pPr>
      <w:r>
        <w:rPr>
          <w:rFonts w:hint="default" w:ascii="Times New Roman" w:hAnsi="Times New Roman" w:eastAsia="仿宋_GB2312"/>
          <w:color w:val="000000" w:themeColor="text1"/>
          <w:sz w:val="32"/>
          <w14:textFill>
            <w14:solidFill>
              <w14:schemeClr w14:val="tx1"/>
            </w14:solidFill>
          </w14:textFill>
        </w:rPr>
        <w:t>（9）双江口河坝水闸</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双江口河坝水闸位于湘江一级支流祁水河，其管理单位为文富市镇</w:t>
      </w:r>
      <w:r>
        <w:rPr>
          <w:rFonts w:hint="eastAsia" w:ascii="Times New Roman" w:hAnsi="Times New Roman" w:eastAsia="仿宋_GB2312" w:cs="Times New Roman"/>
          <w:color w:val="auto"/>
          <w:sz w:val="32"/>
          <w:highlight w:val="none"/>
          <w:lang w:val="en-US" w:eastAsia="zh-CN"/>
        </w:rPr>
        <w:t>水利管理站</w:t>
      </w:r>
      <w:r>
        <w:rPr>
          <w:rFonts w:hint="default" w:ascii="Times New Roman" w:hAnsi="Times New Roman" w:eastAsia="仿宋_GB2312" w:cs="Times New Roman"/>
          <w:color w:val="auto"/>
          <w:sz w:val="32"/>
          <w:highlight w:val="none"/>
        </w:rPr>
        <w:t>。</w:t>
      </w:r>
    </w:p>
    <w:p>
      <w:pPr>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双江口河坝水闸工程枢纽于1964年1月建成。工程规模为中型，设计洪水标准（重现期）20年。闸址位于</w:t>
      </w:r>
      <w:r>
        <w:rPr>
          <w:rFonts w:hint="eastAsia" w:ascii="Times New Roman" w:hAnsi="Times New Roman" w:eastAsia="仿宋_GB2312" w:cs="Times New Roman"/>
          <w:color w:val="auto"/>
          <w:sz w:val="32"/>
          <w:highlight w:val="none"/>
          <w:lang w:eastAsia="zh-CN"/>
        </w:rPr>
        <w:t>祁阳市</w:t>
      </w:r>
      <w:r>
        <w:rPr>
          <w:rFonts w:hint="default" w:ascii="Times New Roman" w:hAnsi="Times New Roman" w:eastAsia="仿宋_GB2312" w:cs="Times New Roman"/>
          <w:color w:val="auto"/>
          <w:sz w:val="32"/>
          <w:highlight w:val="none"/>
        </w:rPr>
        <w:t>文富市镇双江口村，水闸类型为节制闸，闸孔数量10孔，闸孔总净宽60m，过闸流量132m</w:t>
      </w:r>
      <w:r>
        <w:rPr>
          <w:rFonts w:hint="default" w:ascii="Times New Roman" w:hAnsi="Times New Roman" w:eastAsia="仿宋_GB2312" w:cs="Times New Roman"/>
          <w:color w:val="auto"/>
          <w:sz w:val="32"/>
          <w:highlight w:val="none"/>
          <w:vertAlign w:val="superscript"/>
        </w:rPr>
        <w:t>3</w:t>
      </w:r>
      <w:r>
        <w:rPr>
          <w:rFonts w:hint="default" w:ascii="Times New Roman" w:hAnsi="Times New Roman" w:eastAsia="仿宋_GB2312" w:cs="Times New Roman"/>
          <w:color w:val="auto"/>
          <w:sz w:val="32"/>
          <w:highlight w:val="none"/>
        </w:rPr>
        <w:t>/s。</w:t>
      </w:r>
    </w:p>
    <w:p>
      <w:pPr>
        <w:spacing w:line="640" w:lineRule="exact"/>
        <w:ind w:firstLine="640" w:firstLineChars="200"/>
        <w:rPr>
          <w:rFonts w:hint="default" w:ascii="Times New Roman" w:hAnsi="Times New Roman" w:eastAsia="仿宋_GB2312"/>
          <w:color w:val="000000" w:themeColor="text1"/>
          <w:sz w:val="32"/>
          <w14:textFill>
            <w14:solidFill>
              <w14:schemeClr w14:val="tx1"/>
            </w14:solidFill>
          </w14:textFill>
        </w:rPr>
      </w:pPr>
      <w:r>
        <w:rPr>
          <w:rFonts w:hint="default" w:ascii="Times New Roman" w:hAnsi="Times New Roman" w:eastAsia="仿宋_GB2312"/>
          <w:color w:val="000000" w:themeColor="text1"/>
          <w:sz w:val="32"/>
          <w14:textFill>
            <w14:solidFill>
              <w14:schemeClr w14:val="tx1"/>
            </w14:solidFill>
          </w14:textFill>
        </w:rPr>
        <w:t>（10）杨家湾河坝水闸</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杨家湾河坝水闸是原县水电局设计，白水区公所、三江乡人民政府负责组织施工的综合性效益工程。其管理单位为</w:t>
      </w:r>
      <w:r>
        <w:rPr>
          <w:rFonts w:hint="eastAsia" w:ascii="Times New Roman" w:hAnsi="Times New Roman" w:eastAsia="仿宋_GB2312" w:cs="Times New Roman"/>
          <w:color w:val="auto"/>
          <w:sz w:val="32"/>
          <w:highlight w:val="none"/>
          <w:lang w:val="en-US" w:eastAsia="zh-CN"/>
        </w:rPr>
        <w:t>白水镇水利管理站</w:t>
      </w:r>
      <w:r>
        <w:rPr>
          <w:rFonts w:hint="default" w:ascii="Times New Roman" w:hAnsi="Times New Roman" w:eastAsia="仿宋_GB2312" w:cs="Times New Roman"/>
          <w:color w:val="auto"/>
          <w:sz w:val="32"/>
          <w:highlight w:val="none"/>
        </w:rPr>
        <w:t>。</w:t>
      </w:r>
    </w:p>
    <w:p>
      <w:pPr>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整个工程由拦河大坝、公路桥、发电站、水轮泵等设施组成。一九九二年七月工程竣工。拦河大坝，长131米，宽8米，高7.8米（含基础）。石拱公路长是135米，宽8.8米。高6.3米，右岸安装60-6型水轮泵2台，D760-120型发电机4台，装械容量320吨。左岸安装60-6型水轮泵4台。闸孔数量4孔，闸孔净宽4m，过闸流量185m</w:t>
      </w:r>
      <w:r>
        <w:rPr>
          <w:rFonts w:hint="default" w:ascii="Times New Roman" w:hAnsi="Times New Roman" w:eastAsia="仿宋_GB2312" w:cs="Times New Roman"/>
          <w:color w:val="auto"/>
          <w:sz w:val="32"/>
          <w:highlight w:val="none"/>
          <w:vertAlign w:val="superscript"/>
        </w:rPr>
        <w:t>3</w:t>
      </w:r>
      <w:r>
        <w:rPr>
          <w:rFonts w:hint="default" w:ascii="Times New Roman" w:hAnsi="Times New Roman" w:eastAsia="仿宋_GB2312" w:cs="Times New Roman"/>
          <w:color w:val="auto"/>
          <w:sz w:val="32"/>
          <w:highlight w:val="none"/>
        </w:rPr>
        <w:t>/s。</w:t>
      </w:r>
    </w:p>
    <w:p>
      <w:pPr>
        <w:rPr>
          <w:rFonts w:hint="default" w:ascii="Times New Roman" w:hAnsi="Times New Roman" w:cs="Times New Roman"/>
          <w:b/>
          <w:color w:val="auto"/>
          <w:sz w:val="36"/>
          <w:highlight w:val="none"/>
        </w:rPr>
      </w:pPr>
      <w:r>
        <w:rPr>
          <w:rFonts w:hint="default" w:ascii="Times New Roman" w:hAnsi="Times New Roman" w:cs="Times New Roman"/>
          <w:b/>
          <w:color w:val="auto"/>
          <w:sz w:val="36"/>
          <w:highlight w:val="none"/>
        </w:rPr>
        <w:br w:type="page"/>
      </w:r>
    </w:p>
    <w:p>
      <w:pPr>
        <w:pStyle w:val="2"/>
        <w:spacing w:beforeLines="-2147483648" w:afterLines="-2147483648" w:line="680" w:lineRule="exact"/>
        <w:ind w:firstLine="0" w:firstLineChars="0"/>
        <w:jc w:val="both"/>
        <w:rPr>
          <w:rFonts w:hint="default"/>
          <w:b/>
          <w:sz w:val="36"/>
        </w:rPr>
      </w:pPr>
      <w:bookmarkStart w:id="17" w:name="_Toc29716"/>
      <w:r>
        <w:rPr>
          <w:rFonts w:hint="eastAsia"/>
          <w:b/>
          <w:sz w:val="36"/>
          <w:lang w:val="en-US" w:eastAsia="zh-CN"/>
        </w:rPr>
        <w:t>3</w:t>
      </w:r>
      <w:r>
        <w:rPr>
          <w:rFonts w:hint="default"/>
          <w:b/>
          <w:sz w:val="36"/>
        </w:rPr>
        <w:t>管理与保护范围线标绘</w:t>
      </w:r>
      <w:bookmarkEnd w:id="17"/>
    </w:p>
    <w:p>
      <w:pPr>
        <w:pStyle w:val="3"/>
        <w:spacing w:line="680" w:lineRule="exact"/>
        <w:ind w:firstLine="643" w:firstLineChars="200"/>
        <w:jc w:val="both"/>
        <w:rPr>
          <w:rFonts w:hint="default" w:eastAsia="楷体_GB2312"/>
          <w:sz w:val="32"/>
        </w:rPr>
      </w:pPr>
      <w:bookmarkStart w:id="18" w:name="_Toc29009"/>
      <w:r>
        <w:rPr>
          <w:rFonts w:hint="eastAsia" w:eastAsia="楷体_GB2312"/>
          <w:sz w:val="32"/>
          <w:lang w:val="en-US" w:eastAsia="zh-CN"/>
        </w:rPr>
        <w:t>3</w:t>
      </w:r>
      <w:r>
        <w:rPr>
          <w:rFonts w:hint="default" w:eastAsia="楷体_GB2312"/>
          <w:sz w:val="32"/>
        </w:rPr>
        <w:t>.1库区设计洪水位线分析计算</w:t>
      </w:r>
      <w:bookmarkEnd w:id="18"/>
    </w:p>
    <w:p>
      <w:pPr>
        <w:pStyle w:val="4"/>
        <w:keepNext/>
        <w:keepLines/>
        <w:spacing w:line="680" w:lineRule="exact"/>
        <w:ind w:firstLine="640" w:firstLineChars="200"/>
        <w:rPr>
          <w:rFonts w:hint="default" w:cstheme="minorBidi"/>
          <w:b w:val="0"/>
          <w:sz w:val="32"/>
        </w:rPr>
      </w:pPr>
      <w:bookmarkStart w:id="19" w:name="_Toc60738505"/>
      <w:r>
        <w:rPr>
          <w:rFonts w:hint="eastAsia" w:cstheme="minorBidi"/>
          <w:b w:val="0"/>
          <w:sz w:val="32"/>
          <w:lang w:val="en-US" w:eastAsia="zh-CN"/>
        </w:rPr>
        <w:t>3</w:t>
      </w:r>
      <w:r>
        <w:rPr>
          <w:rFonts w:hint="default" w:cstheme="minorBidi"/>
          <w:b w:val="0"/>
          <w:sz w:val="32"/>
        </w:rPr>
        <w:t>.1.1 规程与依据</w:t>
      </w:r>
      <w:bookmarkEnd w:id="19"/>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1）《湖南省实施&lt;中华人民共和国水法&gt;办法》（2012年修订）第三章第十六条对国家所有的水库工程管理与保护范围划定进行了规定：“水库库区设计洪水位线以下（包括库内岛屿），大坝背水坡脚向外水平延伸30至200米，大坝两端山坡自开挖线起顺坡向外延伸50至100米（到达分水岭不足50米的至分水岭上），溢洪道两端自山坡开挖线起顺坡向外延伸10至20米为管理范围。库区管理范围边缘向外延伸20至100米为保护范围；大坝、溢洪道保护范围根据坝型、坝高及坝基情况划定”。</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（2）《水库工程管理设计规范》（SL 106-2017）第3章工程管理与保护范围：“3.0.3 工程区管理范围应包括大坝、溢洪道、输水道等建（构）筑物周围的管理范围和水库土地征用线以内的库区”、“工程管理范围的土地应与工程建设征地一并征用，并办理确权发证手续，工程验收后移交水库管理单位”。</w:t>
      </w:r>
    </w:p>
    <w:p>
      <w:pPr>
        <w:pStyle w:val="4"/>
        <w:keepNext/>
        <w:keepLines/>
        <w:spacing w:line="680" w:lineRule="exact"/>
        <w:ind w:firstLine="640" w:firstLineChars="200"/>
        <w:rPr>
          <w:rFonts w:hint="default" w:ascii="Times New Roman" w:hAnsi="Times New Roman" w:cs="Times New Roman"/>
          <w:b w:val="0"/>
          <w:color w:val="auto"/>
          <w:sz w:val="32"/>
          <w:highlight w:val="none"/>
        </w:rPr>
      </w:pPr>
      <w:bookmarkStart w:id="20" w:name="_Toc60738506"/>
      <w:r>
        <w:rPr>
          <w:rFonts w:hint="eastAsia" w:cs="Times New Roman"/>
          <w:b w:val="0"/>
          <w:color w:val="auto"/>
          <w:sz w:val="32"/>
          <w:highlight w:val="none"/>
          <w:lang w:val="en-US" w:eastAsia="zh-CN"/>
        </w:rPr>
        <w:t>3</w:t>
      </w:r>
      <w:r>
        <w:rPr>
          <w:rFonts w:hint="default" w:ascii="Times New Roman" w:hAnsi="Times New Roman" w:cs="Times New Roman"/>
          <w:b w:val="0"/>
          <w:color w:val="auto"/>
          <w:sz w:val="32"/>
          <w:highlight w:val="none"/>
        </w:rPr>
        <w:t>.1.2 水库的设计洪水位线</w:t>
      </w:r>
      <w:bookmarkEnd w:id="20"/>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水库库区设计洪水位线一般是指水库库区淹没对象设计洪水标准相对应的水位线。依据收集的水库注册登记资料，及实测坝顶、堰顶高程，确定各水库最终设计洪水位，各水库最终设计洪水位确定总体按照以下原则：</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（1）大中型水库管理与保护范围按省水文中心提供的库区设计洪水位成果划定；</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根据省水文中心提供的大中型水库库区设计洪水位成果，</w:t>
      </w:r>
      <w:r>
        <w:rPr>
          <w:rFonts w:hint="eastAsia" w:ascii="Times New Roman" w:hAnsi="Times New Roman" w:eastAsia="仿宋_GB2312" w:cs="Times New Roman"/>
          <w:color w:val="auto"/>
          <w:sz w:val="32"/>
          <w:highlight w:val="none"/>
          <w:lang w:eastAsia="zh-CN"/>
        </w:rPr>
        <w:t>祁阳市</w:t>
      </w:r>
      <w:r>
        <w:rPr>
          <w:rFonts w:hint="default" w:ascii="Times New Roman" w:hAnsi="Times New Roman" w:eastAsia="仿宋_GB2312" w:cs="Times New Roman"/>
          <w:color w:val="auto"/>
          <w:sz w:val="32"/>
          <w:highlight w:val="none"/>
        </w:rPr>
        <w:t>中型水库内下水库、大江水库与龙江桥水库的库区设计洪水位分别为470.00米、184.11米和234.67米（1985国家高程基准）。</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（2）小（1）型水库取正常蓄水位加1米作为库区设计洪水位。</w:t>
      </w:r>
    </w:p>
    <w:p>
      <w:pPr>
        <w:pStyle w:val="3"/>
        <w:spacing w:line="680" w:lineRule="exact"/>
        <w:ind w:firstLine="643" w:firstLineChars="200"/>
        <w:jc w:val="both"/>
        <w:rPr>
          <w:rFonts w:hint="default" w:eastAsia="楷体_GB2312"/>
          <w:sz w:val="32"/>
        </w:rPr>
      </w:pPr>
      <w:bookmarkStart w:id="21" w:name="_Toc60738508"/>
      <w:bookmarkStart w:id="22" w:name="_Toc22016"/>
      <w:r>
        <w:rPr>
          <w:rFonts w:hint="eastAsia" w:eastAsia="楷体_GB2312"/>
          <w:sz w:val="32"/>
          <w:lang w:val="en-US" w:eastAsia="zh-CN"/>
        </w:rPr>
        <w:t>3</w:t>
      </w:r>
      <w:r>
        <w:rPr>
          <w:rFonts w:hint="default" w:eastAsia="楷体_GB2312"/>
          <w:sz w:val="32"/>
        </w:rPr>
        <w:t>.</w:t>
      </w:r>
      <w:r>
        <w:rPr>
          <w:rFonts w:hint="eastAsia" w:eastAsia="楷体_GB2312"/>
          <w:sz w:val="32"/>
          <w:lang w:val="en-US" w:eastAsia="zh-CN"/>
        </w:rPr>
        <w:t>2</w:t>
      </w:r>
      <w:r>
        <w:rPr>
          <w:rFonts w:hint="default" w:eastAsia="楷体_GB2312"/>
          <w:sz w:val="32"/>
        </w:rPr>
        <w:t xml:space="preserve"> 管理与保护范围线标绘</w:t>
      </w:r>
      <w:bookmarkEnd w:id="21"/>
      <w:bookmarkEnd w:id="22"/>
    </w:p>
    <w:p>
      <w:pPr>
        <w:spacing w:line="640" w:lineRule="exact"/>
        <w:ind w:firstLine="640" w:firstLineChars="200"/>
        <w:rPr>
          <w:rFonts w:hint="eastAsia" w:ascii="Times New Roman" w:hAnsi="Times New Roman" w:eastAsia="仿宋_GB2312"/>
          <w:sz w:val="32"/>
        </w:rPr>
      </w:pPr>
      <w:r>
        <w:rPr>
          <w:rFonts w:hint="eastAsia" w:ascii="Times New Roman" w:hAnsi="Times New Roman" w:eastAsia="仿宋_GB2312"/>
          <w:sz w:val="32"/>
        </w:rPr>
        <w:t>依据《湖南省水利工程管理与保护范围划定技术指南（试行）》规定的划界标准，在绘制好的管理范围线上布设电子桩、电子告示牌，完成水利工程管理范围的图上标绘。</w:t>
      </w:r>
    </w:p>
    <w:p>
      <w:pPr>
        <w:pStyle w:val="4"/>
        <w:keepNext/>
        <w:keepLines/>
        <w:spacing w:line="680" w:lineRule="exact"/>
        <w:ind w:firstLine="640" w:firstLineChars="200"/>
        <w:rPr>
          <w:rFonts w:hint="default" w:ascii="Times New Roman" w:hAnsi="Times New Roman" w:cs="Times New Roman"/>
          <w:b w:val="0"/>
          <w:color w:val="auto"/>
          <w:sz w:val="32"/>
          <w:highlight w:val="none"/>
        </w:rPr>
      </w:pPr>
      <w:r>
        <w:rPr>
          <w:rFonts w:hint="eastAsia" w:cs="Times New Roman"/>
          <w:b w:val="0"/>
          <w:color w:val="auto"/>
          <w:sz w:val="32"/>
          <w:highlight w:val="none"/>
          <w:lang w:val="en-US" w:eastAsia="zh-CN"/>
        </w:rPr>
        <w:t>3</w:t>
      </w:r>
      <w:r>
        <w:rPr>
          <w:rFonts w:hint="default" w:ascii="Times New Roman" w:hAnsi="Times New Roman" w:cs="Times New Roman"/>
          <w:b w:val="0"/>
          <w:color w:val="auto"/>
          <w:sz w:val="32"/>
          <w:highlight w:val="none"/>
        </w:rPr>
        <w:t>.</w:t>
      </w:r>
      <w:r>
        <w:rPr>
          <w:rFonts w:hint="eastAsia" w:cs="Times New Roman"/>
          <w:b w:val="0"/>
          <w:color w:val="auto"/>
          <w:sz w:val="32"/>
          <w:highlight w:val="none"/>
          <w:lang w:val="en-US" w:eastAsia="zh-CN"/>
        </w:rPr>
        <w:t>2</w:t>
      </w:r>
      <w:r>
        <w:rPr>
          <w:rFonts w:hint="default" w:ascii="Times New Roman" w:hAnsi="Times New Roman" w:cs="Times New Roman"/>
          <w:b w:val="0"/>
          <w:color w:val="auto"/>
          <w:sz w:val="32"/>
          <w:highlight w:val="none"/>
        </w:rPr>
        <w:t>.1水库</w:t>
      </w:r>
    </w:p>
    <w:p>
      <w:pPr>
        <w:spacing w:line="640" w:lineRule="exact"/>
        <w:ind w:firstLine="640" w:firstLineChars="200"/>
        <w:rPr>
          <w:rFonts w:hint="default"/>
        </w:rPr>
      </w:pPr>
      <w:r>
        <w:rPr>
          <w:rFonts w:hint="eastAsia" w:ascii="Times New Roman" w:hAnsi="Times New Roman" w:eastAsia="仿宋_GB2312"/>
          <w:sz w:val="32"/>
        </w:rPr>
        <w:t>《湖南省水利工程管理与保护范围划定技术指南（试行）》对水库管理范围的划定做出了如下规定：</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（1）管理范围线</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fldChar w:fldCharType="begin"/>
      </w:r>
      <w:r>
        <w:rPr>
          <w:rFonts w:hint="default" w:ascii="Times New Roman" w:hAnsi="Times New Roman" w:eastAsia="仿宋_GB2312" w:cs="Times New Roman"/>
          <w:color w:val="auto"/>
          <w:sz w:val="32"/>
          <w:highlight w:val="none"/>
        </w:rPr>
        <w:instrText xml:space="preserve"> = 1 \* GB3 </w:instrText>
      </w:r>
      <w:r>
        <w:rPr>
          <w:rFonts w:hint="default" w:ascii="Times New Roman" w:hAnsi="Times New Roman" w:eastAsia="仿宋_GB2312" w:cs="Times New Roman"/>
          <w:color w:val="auto"/>
          <w:sz w:val="32"/>
          <w:highlight w:val="none"/>
        </w:rPr>
        <w:fldChar w:fldCharType="separate"/>
      </w:r>
      <w:r>
        <w:rPr>
          <w:rFonts w:hint="default" w:ascii="Times New Roman" w:hAnsi="Times New Roman" w:eastAsia="仿宋_GB2312" w:cs="Times New Roman"/>
          <w:color w:val="auto"/>
          <w:sz w:val="32"/>
          <w:highlight w:val="none"/>
        </w:rPr>
        <w:t>①</w:t>
      </w:r>
      <w:r>
        <w:rPr>
          <w:rFonts w:hint="default" w:ascii="Times New Roman" w:hAnsi="Times New Roman" w:eastAsia="仿宋_GB2312" w:cs="Times New Roman"/>
          <w:color w:val="auto"/>
          <w:sz w:val="32"/>
          <w:highlight w:val="none"/>
        </w:rPr>
        <w:fldChar w:fldCharType="end"/>
      </w:r>
      <w:r>
        <w:rPr>
          <w:rFonts w:hint="default" w:ascii="Times New Roman" w:hAnsi="Times New Roman" w:eastAsia="仿宋_GB2312" w:cs="Times New Roman"/>
          <w:color w:val="auto"/>
          <w:sz w:val="32"/>
          <w:highlight w:val="none"/>
        </w:rPr>
        <w:t>水库管理范围分为工程区管理范围和运行区管理范围。其中工程区管理范围是指库区、大坝（含副坝）、溢洪道（含非常溢洪道），以及输水建筑物等的管理范围，运行区管理范围是指办公室、会议室、资料档案室、仓库、防汛调度室、值班室、车库、食堂、值班宿舍及其他附属设施等建（构）筑物的管理范围。</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fldChar w:fldCharType="begin"/>
      </w:r>
      <w:r>
        <w:rPr>
          <w:rFonts w:hint="default" w:ascii="Times New Roman" w:hAnsi="Times New Roman" w:eastAsia="仿宋_GB2312" w:cs="Times New Roman"/>
          <w:color w:val="auto"/>
          <w:sz w:val="32"/>
          <w:highlight w:val="none"/>
        </w:rPr>
        <w:instrText xml:space="preserve"> = 2 \* GB3 </w:instrText>
      </w:r>
      <w:r>
        <w:rPr>
          <w:rFonts w:hint="default" w:ascii="Times New Roman" w:hAnsi="Times New Roman" w:eastAsia="仿宋_GB2312" w:cs="Times New Roman"/>
          <w:color w:val="auto"/>
          <w:sz w:val="32"/>
          <w:highlight w:val="none"/>
        </w:rPr>
        <w:fldChar w:fldCharType="separate"/>
      </w:r>
      <w:r>
        <w:rPr>
          <w:rFonts w:hint="default" w:ascii="Times New Roman" w:hAnsi="Times New Roman" w:eastAsia="仿宋_GB2312" w:cs="Times New Roman"/>
          <w:color w:val="auto"/>
          <w:sz w:val="32"/>
          <w:highlight w:val="none"/>
        </w:rPr>
        <w:t>②</w:t>
      </w:r>
      <w:r>
        <w:rPr>
          <w:rFonts w:hint="default" w:ascii="Times New Roman" w:hAnsi="Times New Roman" w:eastAsia="仿宋_GB2312" w:cs="Times New Roman"/>
          <w:color w:val="auto"/>
          <w:sz w:val="32"/>
          <w:highlight w:val="none"/>
        </w:rPr>
        <w:fldChar w:fldCharType="end"/>
      </w:r>
      <w:r>
        <w:rPr>
          <w:rFonts w:hint="default" w:ascii="Times New Roman" w:hAnsi="Times New Roman" w:eastAsia="仿宋_GB2312" w:cs="Times New Roman"/>
          <w:color w:val="auto"/>
          <w:sz w:val="32"/>
          <w:highlight w:val="none"/>
        </w:rPr>
        <w:t>水库库区设计洪水位线以下（包括库内岛屿），大坝背水坡脚向外水平延伸</w:t>
      </w:r>
      <w:r>
        <w:rPr>
          <w:rFonts w:hint="eastAsia" w:ascii="Times New Roman" w:hAnsi="Times New Roman" w:eastAsia="仿宋_GB2312" w:cs="Times New Roman"/>
          <w:color w:val="auto"/>
          <w:sz w:val="32"/>
          <w:highlight w:val="none"/>
          <w:lang w:val="en-US" w:eastAsia="zh-CN"/>
        </w:rPr>
        <w:t>3</w:t>
      </w:r>
      <w:r>
        <w:rPr>
          <w:rFonts w:hint="default" w:ascii="Times New Roman" w:hAnsi="Times New Roman" w:eastAsia="仿宋_GB2312" w:cs="Times New Roman"/>
          <w:color w:val="auto"/>
          <w:sz w:val="32"/>
          <w:highlight w:val="none"/>
        </w:rPr>
        <w:t>0m</w:t>
      </w:r>
      <w:r>
        <w:rPr>
          <w:rFonts w:hint="eastAsia" w:ascii="Times New Roman" w:hAnsi="Times New Roman" w:eastAsia="仿宋_GB2312" w:cs="Times New Roman"/>
          <w:color w:val="auto"/>
          <w:sz w:val="32"/>
          <w:highlight w:val="none"/>
          <w:lang w:val="en-US" w:eastAsia="zh-CN"/>
        </w:rPr>
        <w:t>~</w:t>
      </w:r>
      <w:r>
        <w:rPr>
          <w:rFonts w:hint="default" w:ascii="Times New Roman" w:hAnsi="Times New Roman" w:eastAsia="仿宋_GB2312" w:cs="Times New Roman"/>
          <w:color w:val="auto"/>
          <w:sz w:val="32"/>
          <w:highlight w:val="none"/>
        </w:rPr>
        <w:t>200m，大坝两端山坡自开挖线起顺坡向外延伸</w:t>
      </w:r>
      <w:r>
        <w:rPr>
          <w:rFonts w:hint="eastAsia" w:ascii="Times New Roman" w:hAnsi="Times New Roman" w:eastAsia="仿宋_GB2312" w:cs="Times New Roman"/>
          <w:color w:val="auto"/>
          <w:sz w:val="32"/>
          <w:highlight w:val="none"/>
          <w:lang w:val="en-US" w:eastAsia="zh-CN"/>
        </w:rPr>
        <w:t>50~</w:t>
      </w:r>
      <w:r>
        <w:rPr>
          <w:rFonts w:hint="default" w:ascii="Times New Roman" w:hAnsi="Times New Roman" w:eastAsia="仿宋_GB2312" w:cs="Times New Roman"/>
          <w:color w:val="auto"/>
          <w:sz w:val="32"/>
          <w:highlight w:val="none"/>
        </w:rPr>
        <w:t>100m（到达分水岭不足50m的至分水岭上），溢洪道两端自山坡开挖线（也称工程两侧轮廓线）起顺坡向外延伸</w:t>
      </w:r>
      <w:r>
        <w:rPr>
          <w:rFonts w:hint="eastAsia" w:ascii="Times New Roman" w:hAnsi="Times New Roman" w:eastAsia="仿宋_GB2312" w:cs="Times New Roman"/>
          <w:color w:val="auto"/>
          <w:sz w:val="32"/>
          <w:highlight w:val="none"/>
          <w:lang w:val="en-US" w:eastAsia="zh-CN"/>
        </w:rPr>
        <w:t>10~</w:t>
      </w:r>
      <w:r>
        <w:rPr>
          <w:rFonts w:hint="default" w:ascii="Times New Roman" w:hAnsi="Times New Roman" w:eastAsia="仿宋_GB2312" w:cs="Times New Roman"/>
          <w:color w:val="auto"/>
          <w:sz w:val="32"/>
          <w:highlight w:val="none"/>
        </w:rPr>
        <w:t>20m、末端至消力池以下100</w:t>
      </w:r>
      <w:r>
        <w:rPr>
          <w:rFonts w:hint="eastAsia" w:ascii="Times New Roman" w:hAnsi="Times New Roman" w:eastAsia="仿宋_GB2312" w:cs="Times New Roman"/>
          <w:color w:val="auto"/>
          <w:sz w:val="32"/>
          <w:highlight w:val="none"/>
          <w:lang w:val="en-US" w:eastAsia="zh-CN"/>
        </w:rPr>
        <w:t>~300</w:t>
      </w:r>
      <w:r>
        <w:rPr>
          <w:rFonts w:hint="default" w:ascii="Times New Roman" w:hAnsi="Times New Roman" w:eastAsia="仿宋_GB2312" w:cs="Times New Roman"/>
          <w:color w:val="auto"/>
          <w:sz w:val="32"/>
          <w:highlight w:val="none"/>
        </w:rPr>
        <w:t>m为工程区管理范围。水库工程区管理范围如表</w:t>
      </w:r>
      <w:r>
        <w:rPr>
          <w:rFonts w:hint="eastAsia" w:ascii="Times New Roman" w:hAnsi="Times New Roman" w:eastAsia="仿宋_GB2312" w:cs="Times New Roman"/>
          <w:color w:val="auto"/>
          <w:sz w:val="32"/>
          <w:highlight w:val="none"/>
          <w:lang w:val="en-US" w:eastAsia="zh-CN"/>
        </w:rPr>
        <w:t>3</w:t>
      </w:r>
      <w:r>
        <w:rPr>
          <w:rFonts w:hint="default" w:ascii="Times New Roman" w:hAnsi="Times New Roman" w:eastAsia="仿宋_GB2312" w:cs="Times New Roman"/>
          <w:color w:val="auto"/>
          <w:sz w:val="32"/>
          <w:highlight w:val="none"/>
        </w:rPr>
        <w:t>-</w:t>
      </w:r>
      <w:r>
        <w:rPr>
          <w:rFonts w:hint="eastAsia" w:ascii="Times New Roman" w:hAnsi="Times New Roman" w:eastAsia="仿宋_GB2312" w:cs="Times New Roman"/>
          <w:color w:val="auto"/>
          <w:sz w:val="32"/>
          <w:highlight w:val="none"/>
          <w:lang w:val="en-US" w:eastAsia="zh-CN"/>
        </w:rPr>
        <w:t>1</w:t>
      </w:r>
      <w:r>
        <w:rPr>
          <w:rFonts w:hint="default" w:ascii="Times New Roman" w:hAnsi="Times New Roman" w:eastAsia="仿宋_GB2312" w:cs="Times New Roman"/>
          <w:color w:val="auto"/>
          <w:sz w:val="32"/>
          <w:highlight w:val="none"/>
        </w:rPr>
        <w:t>所示。</w:t>
      </w:r>
    </w:p>
    <w:p>
      <w:pPr>
        <w:pStyle w:val="76"/>
        <w:ind w:firstLine="0" w:firstLineChars="0"/>
        <w:rPr>
          <w:rFonts w:hint="default"/>
        </w:rPr>
      </w:pPr>
      <w:r>
        <w:rPr>
          <w:rFonts w:hint="default"/>
        </w:rPr>
        <w:t>表</w:t>
      </w:r>
      <w:r>
        <w:rPr>
          <w:rFonts w:hint="eastAsia"/>
          <w:lang w:val="en-US" w:eastAsia="zh-CN"/>
        </w:rPr>
        <w:t>3</w:t>
      </w:r>
      <w:r>
        <w:rPr>
          <w:rFonts w:hint="default"/>
        </w:rPr>
        <w:t>-</w:t>
      </w:r>
      <w:r>
        <w:rPr>
          <w:rFonts w:hint="eastAsia"/>
          <w:lang w:val="en-US" w:eastAsia="zh-CN"/>
        </w:rPr>
        <w:t>1</w:t>
      </w:r>
      <w:r>
        <w:rPr>
          <w:rFonts w:hint="default"/>
        </w:rPr>
        <w:t xml:space="preserve"> 水库工程区管理范围表</w:t>
      </w:r>
    </w:p>
    <w:tbl>
      <w:tblPr>
        <w:tblStyle w:val="25"/>
        <w:tblW w:w="8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80"/>
        <w:gridCol w:w="3265"/>
        <w:gridCol w:w="2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9" w:hRule="atLeast"/>
          <w:tblHeader/>
          <w:jc w:val="center"/>
        </w:trPr>
        <w:tc>
          <w:tcPr>
            <w:tcW w:w="1980" w:type="dxa"/>
            <w:vAlign w:val="center"/>
          </w:tcPr>
          <w:p>
            <w:pPr>
              <w:pStyle w:val="76"/>
              <w:ind w:firstLine="422"/>
              <w:rPr>
                <w:rFonts w:hint="default" w:ascii="Times New Roman" w:hAnsi="Times New Roman" w:cs="Times New Roman"/>
                <w:color w:val="auto"/>
                <w:highlight w:val="none"/>
              </w:rPr>
            </w:pPr>
            <w:r>
              <w:rPr>
                <w:rFonts w:hint="default" w:ascii="Times New Roman" w:hAnsi="Times New Roman" w:cs="Times New Roman"/>
                <w:color w:val="auto"/>
                <w:highlight w:val="none"/>
              </w:rPr>
              <w:t>工程区域</w:t>
            </w:r>
          </w:p>
        </w:tc>
        <w:tc>
          <w:tcPr>
            <w:tcW w:w="3265" w:type="dxa"/>
            <w:vAlign w:val="center"/>
          </w:tcPr>
          <w:p>
            <w:pPr>
              <w:pStyle w:val="76"/>
              <w:ind w:firstLine="422"/>
              <w:rPr>
                <w:rFonts w:hint="default" w:ascii="Times New Roman" w:hAnsi="Times New Roman" w:cs="Times New Roman"/>
                <w:color w:val="auto"/>
                <w:highlight w:val="none"/>
              </w:rPr>
            </w:pPr>
            <w:r>
              <w:rPr>
                <w:rFonts w:hint="default" w:ascii="Times New Roman" w:hAnsi="Times New Roman" w:cs="Times New Roman"/>
                <w:color w:val="auto"/>
                <w:highlight w:val="none"/>
              </w:rPr>
              <w:t>下游</w:t>
            </w:r>
          </w:p>
        </w:tc>
        <w:tc>
          <w:tcPr>
            <w:tcW w:w="2977" w:type="dxa"/>
            <w:vAlign w:val="center"/>
          </w:tcPr>
          <w:p>
            <w:pPr>
              <w:pStyle w:val="76"/>
              <w:ind w:firstLine="422"/>
              <w:rPr>
                <w:rFonts w:hint="default" w:ascii="Times New Roman" w:hAnsi="Times New Roman" w:cs="Times New Roman"/>
                <w:color w:val="auto"/>
                <w:highlight w:val="none"/>
              </w:rPr>
            </w:pPr>
            <w:r>
              <w:rPr>
                <w:rFonts w:hint="default" w:ascii="Times New Roman" w:hAnsi="Times New Roman" w:cs="Times New Roman"/>
                <w:color w:val="auto"/>
                <w:highlight w:val="none"/>
              </w:rPr>
              <w:t>左右岸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5" w:hRule="atLeast"/>
          <w:jc w:val="center"/>
        </w:trPr>
        <w:tc>
          <w:tcPr>
            <w:tcW w:w="1980" w:type="dxa"/>
            <w:vAlign w:val="center"/>
          </w:tcPr>
          <w:p>
            <w:pPr>
              <w:widowControl/>
              <w:jc w:val="center"/>
              <w:rPr>
                <w:rFonts w:hint="default" w:ascii="Times New Roman" w:hAnsi="Times New Roman" w:cs="Times New Roman"/>
                <w:color w:val="auto"/>
                <w:sz w:val="22"/>
                <w:highlight w:val="none"/>
              </w:rPr>
            </w:pPr>
            <w:r>
              <w:rPr>
                <w:rFonts w:hint="default" w:ascii="Times New Roman" w:hAnsi="Times New Roman" w:cs="Times New Roman"/>
                <w:color w:val="auto"/>
                <w:sz w:val="22"/>
                <w:highlight w:val="none"/>
              </w:rPr>
              <w:t>中型水库大坝</w:t>
            </w:r>
          </w:p>
        </w:tc>
        <w:tc>
          <w:tcPr>
            <w:tcW w:w="3265" w:type="dxa"/>
            <w:vAlign w:val="center"/>
          </w:tcPr>
          <w:p>
            <w:pPr>
              <w:widowControl/>
              <w:jc w:val="center"/>
              <w:rPr>
                <w:rFonts w:hint="default" w:ascii="Times New Roman" w:hAnsi="Times New Roman" w:cs="Times New Roman"/>
                <w:color w:val="auto"/>
                <w:sz w:val="22"/>
                <w:highlight w:val="none"/>
              </w:rPr>
            </w:pPr>
            <w:r>
              <w:rPr>
                <w:rFonts w:hint="default" w:ascii="Times New Roman" w:hAnsi="Times New Roman" w:cs="Times New Roman"/>
                <w:color w:val="auto"/>
                <w:sz w:val="22"/>
                <w:highlight w:val="none"/>
              </w:rPr>
              <w:t>从坝脚线向下游</w:t>
            </w:r>
            <w:r>
              <w:rPr>
                <w:rFonts w:hint="eastAsia" w:ascii="Times New Roman" w:hAnsi="Times New Roman" w:cs="Times New Roman"/>
                <w:color w:val="auto"/>
                <w:sz w:val="22"/>
                <w:highlight w:val="none"/>
                <w:lang w:val="en-US" w:eastAsia="zh-CN"/>
              </w:rPr>
              <w:t>50~100</w:t>
            </w:r>
            <w:r>
              <w:rPr>
                <w:rFonts w:hint="default" w:ascii="Times New Roman" w:hAnsi="Times New Roman" w:cs="Times New Roman"/>
                <w:color w:val="auto"/>
                <w:sz w:val="22"/>
                <w:highlight w:val="none"/>
              </w:rPr>
              <w:t>m</w:t>
            </w:r>
          </w:p>
        </w:tc>
        <w:tc>
          <w:tcPr>
            <w:tcW w:w="2977" w:type="dxa"/>
            <w:vMerge w:val="restart"/>
            <w:vAlign w:val="center"/>
          </w:tcPr>
          <w:p>
            <w:pPr>
              <w:widowControl/>
              <w:jc w:val="center"/>
              <w:rPr>
                <w:rFonts w:hint="default" w:ascii="Times New Roman" w:hAnsi="Times New Roman" w:cs="Times New Roman"/>
                <w:color w:val="auto"/>
                <w:sz w:val="22"/>
                <w:highlight w:val="none"/>
              </w:rPr>
            </w:pPr>
            <w:r>
              <w:rPr>
                <w:rFonts w:hint="default" w:ascii="Times New Roman" w:hAnsi="Times New Roman" w:cs="Times New Roman"/>
                <w:color w:val="auto"/>
                <w:sz w:val="22"/>
                <w:highlight w:val="none"/>
              </w:rPr>
              <w:t>从坝端开挖线外延</w:t>
            </w:r>
          </w:p>
          <w:p>
            <w:pPr>
              <w:widowControl/>
              <w:jc w:val="center"/>
              <w:rPr>
                <w:rFonts w:hint="default" w:ascii="Times New Roman" w:hAnsi="Times New Roman" w:cs="Times New Roman"/>
                <w:color w:val="auto"/>
                <w:sz w:val="22"/>
                <w:highlight w:val="none"/>
              </w:rPr>
            </w:pPr>
            <w:r>
              <w:rPr>
                <w:rFonts w:hint="eastAsia" w:ascii="Times New Roman" w:hAnsi="Times New Roman" w:cs="Times New Roman"/>
                <w:color w:val="auto"/>
                <w:sz w:val="22"/>
                <w:highlight w:val="none"/>
                <w:lang w:val="en-US" w:eastAsia="zh-CN"/>
              </w:rPr>
              <w:t>50~</w:t>
            </w:r>
            <w:r>
              <w:rPr>
                <w:rFonts w:hint="default" w:ascii="Times New Roman" w:hAnsi="Times New Roman" w:cs="Times New Roman"/>
                <w:color w:val="auto"/>
                <w:sz w:val="22"/>
                <w:highlight w:val="none"/>
              </w:rPr>
              <w:t>100m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1" w:hRule="atLeast"/>
          <w:jc w:val="center"/>
        </w:trPr>
        <w:tc>
          <w:tcPr>
            <w:tcW w:w="1980" w:type="dxa"/>
            <w:vAlign w:val="center"/>
          </w:tcPr>
          <w:p>
            <w:pPr>
              <w:widowControl/>
              <w:jc w:val="center"/>
              <w:rPr>
                <w:rFonts w:hint="default" w:ascii="Times New Roman" w:hAnsi="Times New Roman" w:cs="Times New Roman"/>
                <w:color w:val="auto"/>
                <w:sz w:val="22"/>
                <w:highlight w:val="none"/>
              </w:rPr>
            </w:pPr>
            <w:r>
              <w:rPr>
                <w:rFonts w:hint="default" w:ascii="Times New Roman" w:hAnsi="Times New Roman" w:cs="Times New Roman"/>
                <w:color w:val="auto"/>
                <w:sz w:val="22"/>
                <w:highlight w:val="none"/>
              </w:rPr>
              <w:t>小型水库大坝</w:t>
            </w:r>
          </w:p>
        </w:tc>
        <w:tc>
          <w:tcPr>
            <w:tcW w:w="3265" w:type="dxa"/>
            <w:vAlign w:val="center"/>
          </w:tcPr>
          <w:p>
            <w:pPr>
              <w:widowControl/>
              <w:jc w:val="center"/>
              <w:rPr>
                <w:rFonts w:hint="default" w:ascii="Times New Roman" w:hAnsi="Times New Roman" w:cs="Times New Roman"/>
                <w:color w:val="auto"/>
                <w:sz w:val="22"/>
                <w:highlight w:val="none"/>
              </w:rPr>
            </w:pPr>
            <w:r>
              <w:rPr>
                <w:rFonts w:hint="default" w:ascii="Times New Roman" w:hAnsi="Times New Roman" w:cs="Times New Roman"/>
                <w:color w:val="auto"/>
                <w:sz w:val="22"/>
                <w:highlight w:val="none"/>
              </w:rPr>
              <w:t>从坝脚线向下游</w:t>
            </w:r>
            <w:r>
              <w:rPr>
                <w:rFonts w:hint="eastAsia" w:ascii="Times New Roman" w:hAnsi="Times New Roman" w:cs="Times New Roman"/>
                <w:color w:val="auto"/>
                <w:sz w:val="22"/>
                <w:highlight w:val="none"/>
                <w:lang w:val="en-US" w:eastAsia="zh-CN"/>
              </w:rPr>
              <w:t>30~</w:t>
            </w:r>
            <w:r>
              <w:rPr>
                <w:rFonts w:hint="default" w:ascii="Times New Roman" w:hAnsi="Times New Roman" w:cs="Times New Roman"/>
                <w:color w:val="auto"/>
                <w:sz w:val="22"/>
                <w:highlight w:val="none"/>
              </w:rPr>
              <w:t>50m</w:t>
            </w:r>
          </w:p>
        </w:tc>
        <w:tc>
          <w:tcPr>
            <w:tcW w:w="2977" w:type="dxa"/>
            <w:vMerge w:val="continue"/>
            <w:vAlign w:val="center"/>
          </w:tcPr>
          <w:p>
            <w:pPr>
              <w:jc w:val="center"/>
              <w:rPr>
                <w:rFonts w:hint="default" w:ascii="Times New Roman" w:hAnsi="Times New Roman" w:cs="Times New Roman"/>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6" w:hRule="atLeast"/>
          <w:jc w:val="center"/>
        </w:trPr>
        <w:tc>
          <w:tcPr>
            <w:tcW w:w="1980" w:type="dxa"/>
            <w:vAlign w:val="center"/>
          </w:tcPr>
          <w:p>
            <w:pPr>
              <w:widowControl/>
              <w:jc w:val="center"/>
              <w:rPr>
                <w:rFonts w:hint="default" w:ascii="Times New Roman" w:hAnsi="Times New Roman" w:cs="Times New Roman"/>
                <w:color w:val="auto"/>
                <w:sz w:val="22"/>
                <w:highlight w:val="none"/>
              </w:rPr>
            </w:pPr>
            <w:r>
              <w:rPr>
                <w:rFonts w:hint="default" w:ascii="Times New Roman" w:hAnsi="Times New Roman" w:cs="Times New Roman"/>
                <w:color w:val="auto"/>
                <w:sz w:val="22"/>
                <w:highlight w:val="none"/>
              </w:rPr>
              <w:t>其他建筑物</w:t>
            </w:r>
          </w:p>
        </w:tc>
        <w:tc>
          <w:tcPr>
            <w:tcW w:w="6242" w:type="dxa"/>
            <w:gridSpan w:val="2"/>
            <w:vAlign w:val="center"/>
          </w:tcPr>
          <w:p>
            <w:pPr>
              <w:widowControl/>
              <w:jc w:val="center"/>
              <w:rPr>
                <w:rFonts w:hint="default" w:ascii="Times New Roman" w:hAnsi="Times New Roman" w:cs="Times New Roman"/>
                <w:color w:val="auto"/>
                <w:sz w:val="22"/>
                <w:highlight w:val="none"/>
              </w:rPr>
            </w:pPr>
            <w:r>
              <w:rPr>
                <w:rFonts w:hint="default" w:ascii="Times New Roman" w:hAnsi="Times New Roman" w:cs="Times New Roman"/>
                <w:color w:val="auto"/>
                <w:sz w:val="22"/>
                <w:highlight w:val="none"/>
              </w:rPr>
              <w:t>由工程外轮廓线向外：大中型3</w:t>
            </w:r>
            <w:r>
              <w:rPr>
                <w:rFonts w:hint="eastAsia" w:ascii="Times New Roman" w:hAnsi="Times New Roman" w:cs="Times New Roman"/>
                <w:color w:val="auto"/>
                <w:sz w:val="22"/>
                <w:highlight w:val="none"/>
                <w:lang w:val="en-US" w:eastAsia="zh-CN"/>
              </w:rPr>
              <w:t>0~</w:t>
            </w:r>
            <w:r>
              <w:rPr>
                <w:rFonts w:hint="default" w:ascii="Times New Roman" w:hAnsi="Times New Roman" w:cs="Times New Roman"/>
                <w:color w:val="auto"/>
                <w:sz w:val="22"/>
                <w:highlight w:val="none"/>
              </w:rPr>
              <w:t>50m、小型10～30m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48" w:hRule="atLeast"/>
          <w:jc w:val="center"/>
        </w:trPr>
        <w:tc>
          <w:tcPr>
            <w:tcW w:w="8222" w:type="dxa"/>
            <w:gridSpan w:val="3"/>
            <w:vAlign w:val="center"/>
          </w:tcPr>
          <w:p>
            <w:pPr>
              <w:jc w:val="left"/>
              <w:rPr>
                <w:rFonts w:hint="default" w:ascii="Times New Roman" w:hAnsi="Times New Roman" w:cs="Times New Roman"/>
                <w:color w:val="auto"/>
                <w:sz w:val="22"/>
                <w:highlight w:val="none"/>
              </w:rPr>
            </w:pPr>
            <w:r>
              <w:rPr>
                <w:rFonts w:hint="default" w:ascii="Times New Roman" w:hAnsi="Times New Roman" w:cs="Times New Roman"/>
                <w:color w:val="auto"/>
                <w:sz w:val="22"/>
                <w:highlight w:val="none"/>
              </w:rPr>
              <w:t>注1：大坝下游和左右岸管理范围端线应与库区管理范围线相衔接。</w:t>
            </w:r>
          </w:p>
          <w:p>
            <w:pPr>
              <w:jc w:val="left"/>
              <w:rPr>
                <w:rFonts w:hint="default" w:ascii="Times New Roman" w:hAnsi="Times New Roman" w:cs="Times New Roman"/>
                <w:color w:val="auto"/>
                <w:sz w:val="22"/>
                <w:highlight w:val="none"/>
              </w:rPr>
            </w:pPr>
            <w:r>
              <w:rPr>
                <w:rFonts w:hint="default" w:ascii="Times New Roman" w:hAnsi="Times New Roman" w:cs="Times New Roman"/>
                <w:color w:val="auto"/>
                <w:sz w:val="22"/>
                <w:highlight w:val="none"/>
              </w:rPr>
              <w:t>注2：输水隧洞岩层（土层）厚度、岩性和生产活动对工程安全无影响时，可不划定其上部地面管理范围。</w:t>
            </w:r>
          </w:p>
        </w:tc>
      </w:tr>
    </w:tbl>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fldChar w:fldCharType="begin"/>
      </w:r>
      <w:r>
        <w:rPr>
          <w:rFonts w:hint="default" w:ascii="Times New Roman" w:hAnsi="Times New Roman" w:eastAsia="仿宋_GB2312" w:cs="Times New Roman"/>
          <w:color w:val="auto"/>
          <w:sz w:val="32"/>
          <w:highlight w:val="none"/>
        </w:rPr>
        <w:instrText xml:space="preserve"> = 3 \* GB3 </w:instrText>
      </w:r>
      <w:r>
        <w:rPr>
          <w:rFonts w:hint="default" w:ascii="Times New Roman" w:hAnsi="Times New Roman" w:eastAsia="仿宋_GB2312" w:cs="Times New Roman"/>
          <w:color w:val="auto"/>
          <w:sz w:val="32"/>
          <w:highlight w:val="none"/>
        </w:rPr>
        <w:fldChar w:fldCharType="separate"/>
      </w:r>
      <w:r>
        <w:rPr>
          <w:rFonts w:hint="default" w:ascii="Times New Roman" w:hAnsi="Times New Roman" w:eastAsia="仿宋_GB2312" w:cs="Times New Roman"/>
          <w:color w:val="auto"/>
          <w:sz w:val="32"/>
          <w:highlight w:val="none"/>
        </w:rPr>
        <w:t>③</w:t>
      </w:r>
      <w:r>
        <w:rPr>
          <w:rFonts w:hint="default" w:ascii="Times New Roman" w:hAnsi="Times New Roman" w:eastAsia="仿宋_GB2312" w:cs="Times New Roman"/>
          <w:color w:val="auto"/>
          <w:sz w:val="32"/>
          <w:highlight w:val="none"/>
        </w:rPr>
        <w:fldChar w:fldCharType="end"/>
      </w:r>
      <w:r>
        <w:rPr>
          <w:rFonts w:hint="default" w:ascii="Times New Roman" w:hAnsi="Times New Roman" w:eastAsia="仿宋_GB2312" w:cs="Times New Roman"/>
          <w:color w:val="auto"/>
          <w:sz w:val="32"/>
          <w:highlight w:val="none"/>
        </w:rPr>
        <w:t>运行区按其征地范围线或围墙外边线划定管理范围。</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（2）保护范围线</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根据技术指南规定，结合</w:t>
      </w:r>
      <w:r>
        <w:rPr>
          <w:rFonts w:hint="eastAsia" w:ascii="Times New Roman" w:hAnsi="Times New Roman" w:eastAsia="仿宋_GB2312" w:cs="Times New Roman"/>
          <w:color w:val="auto"/>
          <w:sz w:val="32"/>
          <w:highlight w:val="none"/>
          <w:lang w:eastAsia="zh-CN"/>
        </w:rPr>
        <w:t>祁阳市</w:t>
      </w:r>
      <w:r>
        <w:rPr>
          <w:rFonts w:hint="default" w:ascii="Times New Roman" w:hAnsi="Times New Roman" w:eastAsia="仿宋_GB2312" w:cs="Times New Roman"/>
          <w:color w:val="auto"/>
          <w:sz w:val="32"/>
          <w:highlight w:val="none"/>
        </w:rPr>
        <w:t>实际，库区管理范围边界线向外延伸20～100m为保护范围，大坝、溢洪道保护范围根据坝型、坝高及坝基情况划定，可依照表</w:t>
      </w:r>
      <w:r>
        <w:rPr>
          <w:rFonts w:hint="eastAsia" w:ascii="Times New Roman" w:hAnsi="Times New Roman" w:eastAsia="仿宋_GB2312" w:cs="Times New Roman"/>
          <w:color w:val="auto"/>
          <w:sz w:val="32"/>
          <w:highlight w:val="none"/>
          <w:lang w:val="en-US" w:eastAsia="zh-CN"/>
        </w:rPr>
        <w:t>3</w:t>
      </w:r>
      <w:r>
        <w:rPr>
          <w:rFonts w:hint="default" w:ascii="Times New Roman" w:hAnsi="Times New Roman" w:eastAsia="仿宋_GB2312" w:cs="Times New Roman"/>
          <w:color w:val="auto"/>
          <w:sz w:val="32"/>
          <w:highlight w:val="none"/>
        </w:rPr>
        <w:t>-</w:t>
      </w:r>
      <w:r>
        <w:rPr>
          <w:rFonts w:hint="eastAsia" w:ascii="Times New Roman" w:hAnsi="Times New Roman" w:eastAsia="仿宋_GB2312" w:cs="Times New Roman"/>
          <w:color w:val="auto"/>
          <w:sz w:val="32"/>
          <w:highlight w:val="none"/>
          <w:lang w:val="en-US" w:eastAsia="zh-CN"/>
        </w:rPr>
        <w:t>2</w:t>
      </w:r>
      <w:r>
        <w:rPr>
          <w:rFonts w:hint="default" w:ascii="Times New Roman" w:hAnsi="Times New Roman" w:eastAsia="仿宋_GB2312" w:cs="Times New Roman"/>
          <w:color w:val="auto"/>
          <w:sz w:val="32"/>
          <w:highlight w:val="none"/>
        </w:rPr>
        <w:t>控制。</w:t>
      </w:r>
    </w:p>
    <w:p>
      <w:pPr>
        <w:spacing w:line="640" w:lineRule="exact"/>
        <w:rPr>
          <w:rFonts w:hint="default" w:ascii="Times New Roman" w:hAnsi="Times New Roman" w:eastAsia="仿宋_GB2312" w:cs="Times New Roman"/>
          <w:color w:val="auto"/>
          <w:sz w:val="32"/>
          <w:highlight w:val="none"/>
        </w:rPr>
      </w:pPr>
    </w:p>
    <w:p>
      <w:pPr>
        <w:pStyle w:val="76"/>
        <w:ind w:firstLine="0" w:firstLineChars="0"/>
        <w:rPr>
          <w:rFonts w:hint="default"/>
        </w:rPr>
      </w:pPr>
    </w:p>
    <w:p>
      <w:pPr>
        <w:pStyle w:val="76"/>
        <w:ind w:firstLine="0" w:firstLineChars="0"/>
        <w:rPr>
          <w:rFonts w:hint="default"/>
        </w:rPr>
      </w:pPr>
      <w:r>
        <w:rPr>
          <w:rFonts w:hint="default"/>
        </w:rPr>
        <w:t>表</w:t>
      </w:r>
      <w:r>
        <w:rPr>
          <w:rFonts w:hint="eastAsia"/>
          <w:lang w:val="en-US" w:eastAsia="zh-CN"/>
        </w:rPr>
        <w:t>3</w:t>
      </w:r>
      <w:r>
        <w:rPr>
          <w:rFonts w:hint="default"/>
        </w:rPr>
        <w:t>-</w:t>
      </w:r>
      <w:r>
        <w:rPr>
          <w:rFonts w:hint="eastAsia"/>
          <w:lang w:val="en-US" w:eastAsia="zh-CN"/>
        </w:rPr>
        <w:t>2</w:t>
      </w:r>
      <w:r>
        <w:rPr>
          <w:rFonts w:hint="default"/>
        </w:rPr>
        <w:t xml:space="preserve"> 水库工程区保护范围</w:t>
      </w:r>
    </w:p>
    <w:tbl>
      <w:tblPr>
        <w:tblStyle w:val="25"/>
        <w:tblW w:w="81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6"/>
        <w:gridCol w:w="3325"/>
        <w:gridCol w:w="2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906" w:type="dxa"/>
            <w:vAlign w:val="center"/>
          </w:tcPr>
          <w:p>
            <w:pPr>
              <w:pStyle w:val="76"/>
              <w:ind w:firstLine="422"/>
              <w:jc w:val="both"/>
              <w:rPr>
                <w:rFonts w:hint="default" w:ascii="Times New Roman" w:hAnsi="Times New Roman" w:cs="Times New Roman"/>
                <w:color w:val="auto"/>
                <w:highlight w:val="none"/>
              </w:rPr>
            </w:pPr>
            <w:r>
              <w:rPr>
                <w:rFonts w:hint="default" w:ascii="Times New Roman" w:hAnsi="Times New Roman" w:cs="Times New Roman"/>
                <w:color w:val="auto"/>
                <w:highlight w:val="none"/>
              </w:rPr>
              <w:t>工程区域</w:t>
            </w:r>
          </w:p>
        </w:tc>
        <w:tc>
          <w:tcPr>
            <w:tcW w:w="3325" w:type="dxa"/>
            <w:vAlign w:val="center"/>
          </w:tcPr>
          <w:p>
            <w:pPr>
              <w:pStyle w:val="76"/>
              <w:ind w:firstLine="0" w:firstLineChars="0"/>
              <w:rPr>
                <w:rFonts w:hint="default" w:ascii="Times New Roman" w:hAnsi="Times New Roman" w:cs="Times New Roman"/>
                <w:color w:val="auto"/>
                <w:highlight w:val="none"/>
              </w:rPr>
            </w:pPr>
            <w:r>
              <w:rPr>
                <w:rFonts w:hint="default" w:ascii="Times New Roman" w:hAnsi="Times New Roman" w:cs="Times New Roman"/>
                <w:color w:val="auto"/>
                <w:highlight w:val="none"/>
              </w:rPr>
              <w:t>下游</w:t>
            </w:r>
          </w:p>
        </w:tc>
        <w:tc>
          <w:tcPr>
            <w:tcW w:w="2917" w:type="dxa"/>
            <w:vAlign w:val="center"/>
          </w:tcPr>
          <w:p>
            <w:pPr>
              <w:pStyle w:val="76"/>
              <w:ind w:firstLine="0" w:firstLineChars="0"/>
              <w:rPr>
                <w:rFonts w:hint="default" w:ascii="Times New Roman" w:hAnsi="Times New Roman" w:cs="Times New Roman"/>
                <w:color w:val="auto"/>
                <w:highlight w:val="none"/>
              </w:rPr>
            </w:pPr>
            <w:r>
              <w:rPr>
                <w:rFonts w:hint="default" w:ascii="Times New Roman" w:hAnsi="Times New Roman" w:cs="Times New Roman"/>
                <w:color w:val="auto"/>
                <w:highlight w:val="none"/>
              </w:rPr>
              <w:t>左右岸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906" w:type="dxa"/>
            <w:vAlign w:val="center"/>
          </w:tcPr>
          <w:p>
            <w:pPr>
              <w:pStyle w:val="77"/>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大型水库大坝</w:t>
            </w:r>
          </w:p>
        </w:tc>
        <w:tc>
          <w:tcPr>
            <w:tcW w:w="3325" w:type="dxa"/>
          </w:tcPr>
          <w:p>
            <w:pPr>
              <w:pStyle w:val="77"/>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管理范围边界线外延</w:t>
            </w:r>
          </w:p>
          <w:p>
            <w:pPr>
              <w:pStyle w:val="77"/>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 xml:space="preserve">300～500m </w:t>
            </w:r>
          </w:p>
        </w:tc>
        <w:tc>
          <w:tcPr>
            <w:tcW w:w="2917" w:type="dxa"/>
            <w:vAlign w:val="center"/>
          </w:tcPr>
          <w:p>
            <w:pPr>
              <w:pStyle w:val="77"/>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管理范围边界线外延</w:t>
            </w:r>
          </w:p>
          <w:p>
            <w:pPr>
              <w:pStyle w:val="77"/>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200～300m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906" w:type="dxa"/>
            <w:vAlign w:val="center"/>
          </w:tcPr>
          <w:p>
            <w:pPr>
              <w:pStyle w:val="77"/>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中型水库大坝</w:t>
            </w:r>
          </w:p>
        </w:tc>
        <w:tc>
          <w:tcPr>
            <w:tcW w:w="3325" w:type="dxa"/>
            <w:vAlign w:val="center"/>
          </w:tcPr>
          <w:p>
            <w:pPr>
              <w:pStyle w:val="77"/>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管理范围边界线外延</w:t>
            </w:r>
          </w:p>
          <w:p>
            <w:pPr>
              <w:pStyle w:val="77"/>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200～300m</w:t>
            </w:r>
          </w:p>
        </w:tc>
        <w:tc>
          <w:tcPr>
            <w:tcW w:w="2917" w:type="dxa"/>
            <w:vAlign w:val="center"/>
          </w:tcPr>
          <w:p>
            <w:pPr>
              <w:pStyle w:val="77"/>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管理范围边界线外延</w:t>
            </w:r>
          </w:p>
          <w:p>
            <w:pPr>
              <w:pStyle w:val="77"/>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100～200m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906" w:type="dxa"/>
            <w:vAlign w:val="center"/>
          </w:tcPr>
          <w:p>
            <w:pPr>
              <w:pStyle w:val="77"/>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小型水库大坝</w:t>
            </w:r>
          </w:p>
        </w:tc>
        <w:tc>
          <w:tcPr>
            <w:tcW w:w="3325" w:type="dxa"/>
          </w:tcPr>
          <w:p>
            <w:pPr>
              <w:pStyle w:val="77"/>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管理范围边界线外延</w:t>
            </w:r>
          </w:p>
          <w:p>
            <w:pPr>
              <w:pStyle w:val="77"/>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 xml:space="preserve">50～200m </w:t>
            </w:r>
          </w:p>
        </w:tc>
        <w:tc>
          <w:tcPr>
            <w:tcW w:w="2917" w:type="dxa"/>
          </w:tcPr>
          <w:p>
            <w:pPr>
              <w:pStyle w:val="77"/>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管理范围边界线外延</w:t>
            </w:r>
          </w:p>
          <w:p>
            <w:pPr>
              <w:pStyle w:val="77"/>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 xml:space="preserve">50～100m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8148" w:type="dxa"/>
            <w:gridSpan w:val="3"/>
          </w:tcPr>
          <w:p>
            <w:pPr>
              <w:pStyle w:val="77"/>
              <w:jc w:val="left"/>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注1：溢洪道的管理范围边界线向外延伸50～100m为保护范围。</w:t>
            </w:r>
          </w:p>
          <w:p>
            <w:pPr>
              <w:pStyle w:val="77"/>
              <w:jc w:val="left"/>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注2：当保护范围线超过分水岭时以分水岭为界。</w:t>
            </w:r>
          </w:p>
        </w:tc>
      </w:tr>
    </w:tbl>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办公室、会议室、资料档案室、仓库、防汛调度室、值班室、车库、食堂、值班宿舍及其他附属设施等建（构）筑物等运行区可沿用各级自然资源部门划界的范围。</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对于管理范围线与保护范围线穿越房子的情况，则是在保证各水库划界参数取值处于水库划界的参数范围内，通过对管理范围线、保护范围线的优化，使其划定范围更加符合实际情况。</w:t>
      </w:r>
    </w:p>
    <w:p>
      <w:pPr>
        <w:spacing w:line="640" w:lineRule="exact"/>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1.内下水库</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（1）管理范围线标绘</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2019年内下水库已开展了河湖划界工作，河湖划界成果已经</w:t>
      </w:r>
      <w:r>
        <w:rPr>
          <w:rFonts w:hint="eastAsia" w:ascii="Times New Roman" w:hAnsi="Times New Roman" w:eastAsia="仿宋_GB2312" w:cs="Times New Roman"/>
          <w:color w:val="auto"/>
          <w:sz w:val="32"/>
          <w:highlight w:val="none"/>
          <w:lang w:eastAsia="zh-CN"/>
        </w:rPr>
        <w:t>原祁阳县</w:t>
      </w:r>
      <w:r>
        <w:rPr>
          <w:rFonts w:hint="default" w:ascii="Times New Roman" w:hAnsi="Times New Roman" w:eastAsia="仿宋_GB2312" w:cs="Times New Roman"/>
          <w:color w:val="auto"/>
          <w:sz w:val="32"/>
          <w:highlight w:val="none"/>
        </w:rPr>
        <w:t>人民政府批复并公示。河湖划界成果中库区采用50年一遇的设计洪水位值为470m（1985国家高程基准），与湖南省水文水资源勘测中心提供的《湖南省大中型水库库区设计洪水位及水面线复核成果汇总表》中提供的值一致，所以本次内下水库库区管理范围线直接采用县管河道管理范围划定方案的成果，并补充其工程运行区管理范围。</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坝区管理范围线以枢纽工程两端自开挖线起顺坡向外延伸50米划定；内下水库一级电站管理范围线采用大黄系河河湖划界数据，枢纽工程下游与内下水库一级电站管理范围线相衔接，溢洪设施管理范围线包含在本枢纽工程管理范围内，不另行划定。运行区中内下水库管理局、职工宿舍、检修厂、机修车间等管理用房以围墙为界划定。</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（2）保护范围线标绘</w:t>
      </w:r>
    </w:p>
    <w:p>
      <w:pPr>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库区保护范围以管理范围边界线向外延伸20米划定。</w:t>
      </w:r>
    </w:p>
    <w:p>
      <w:pPr>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坝区保护范围以枢纽工程左岸以管理范围线外延100米进行划定，超出分水岭的部分依分水岭划定；枢纽工程右岸以管理范围线外延100米进行划定；</w:t>
      </w:r>
    </w:p>
    <w:p>
      <w:pPr>
        <w:spacing w:line="640" w:lineRule="exact"/>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2.大江水库</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（1）管理范围线标绘</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2019年大江水库已开展了河湖划界工作，河湖划界成果已经</w:t>
      </w:r>
      <w:r>
        <w:rPr>
          <w:rFonts w:hint="eastAsia" w:ascii="Times New Roman" w:hAnsi="Times New Roman" w:eastAsia="仿宋_GB2312" w:cs="Times New Roman"/>
          <w:color w:val="auto"/>
          <w:sz w:val="32"/>
          <w:highlight w:val="none"/>
          <w:lang w:eastAsia="zh-CN"/>
        </w:rPr>
        <w:t>原祁阳县</w:t>
      </w:r>
      <w:r>
        <w:rPr>
          <w:rFonts w:hint="default" w:ascii="Times New Roman" w:hAnsi="Times New Roman" w:eastAsia="仿宋_GB2312" w:cs="Times New Roman"/>
          <w:color w:val="auto"/>
          <w:sz w:val="32"/>
          <w:highlight w:val="none"/>
        </w:rPr>
        <w:t>人民政府批复并公示。大江水库河湖划界成果中采用50年一遇的设计洪水位值为184.5m（1985国家高程基准）。湖南省水文水资源勘测中心提供的《湖南省大中型水库库区设计洪水位及水面线复核成果汇总表》中为20年一遇设计洪水位184.11m（1985国家高程基准）。所以本次大江水库库区管理范围界线划定取大值，以河湖划界管理范围线划定。</w:t>
      </w:r>
    </w:p>
    <w:p>
      <w:pPr>
        <w:ind w:firstLine="640" w:firstLineChars="200"/>
        <w:rPr>
          <w:rFonts w:hint="default" w:ascii="Times New Roman" w:hAnsi="Times New Roman" w:cs="Times New Roman"/>
          <w:color w:val="auto"/>
          <w:highlight w:val="none"/>
        </w:rPr>
      </w:pPr>
      <w:r>
        <w:rPr>
          <w:rFonts w:hint="default" w:ascii="Times New Roman" w:hAnsi="Times New Roman" w:eastAsia="仿宋_GB2312" w:cs="Times New Roman"/>
          <w:color w:val="auto"/>
          <w:sz w:val="32"/>
          <w:highlight w:val="none"/>
        </w:rPr>
        <w:t>坝区管理范围线以大坝左岸自开挖线起顺坡向外延伸50米至分水岭为界划定；大坝右岸自开挖线起顺坡向外延伸50～100米，以集体土地所有权界线划定；枢纽工程大坝下游与大江水库运行区征地范围线及河湖划界界线相衔接，溢洪设施管理范围线包含在本枢纽工程管理范围内，不另行划定。水库运行区管理用房以围墙为界划定。</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（2）保护范围线标绘</w:t>
      </w:r>
    </w:p>
    <w:p>
      <w:pPr>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库区保护范围以管理范围边界线向外延伸20米划定。</w:t>
      </w:r>
    </w:p>
    <w:p>
      <w:pPr>
        <w:ind w:firstLine="64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坝区保护范围以管理范围边界线外延100米进行划定，超出分水岭的部分依分水岭划定。运行管理区包含在枢纽工程保护范围内，不另行标绘。</w:t>
      </w:r>
    </w:p>
    <w:p>
      <w:pPr>
        <w:spacing w:line="640" w:lineRule="exact"/>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3.龙江桥水库</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（1）管理范围线标绘</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2019年龙江桥水库已开展了河湖划界工作，河湖划界成果已经</w:t>
      </w:r>
      <w:r>
        <w:rPr>
          <w:rFonts w:hint="eastAsia" w:ascii="Times New Roman" w:hAnsi="Times New Roman" w:eastAsia="仿宋_GB2312" w:cs="Times New Roman"/>
          <w:color w:val="auto"/>
          <w:sz w:val="32"/>
          <w:highlight w:val="none"/>
          <w:lang w:eastAsia="zh-CN"/>
        </w:rPr>
        <w:t>原祁阳县</w:t>
      </w:r>
      <w:r>
        <w:rPr>
          <w:rFonts w:hint="default" w:ascii="Times New Roman" w:hAnsi="Times New Roman" w:eastAsia="仿宋_GB2312" w:cs="Times New Roman"/>
          <w:color w:val="auto"/>
          <w:sz w:val="32"/>
          <w:highlight w:val="none"/>
        </w:rPr>
        <w:t>人民政府批复并公示。龙江桥水库河湖划界成果中采用50年一遇的设计洪水位值为235.78m（1985国家高程基准）。湖南省水文水资源勘测中心提供的《湖南省大中型水库库区设计洪水位及水面线复核成果汇总表》中为20年一遇设计洪水位234.67（1985国家高程基准），本次龙江桥水库库区管理范围划界线取大值，以河湖划界管理范围线划定。</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坝区大坝左岸自开挖线起顺坡向外延伸50米小于河湖划界管理范围则以河湖划界管理范围线划定；大坝右岸自开挖线起顺坡向外延伸50米划定；大坝下游以大坝堤脚线外扩100米划定；溢洪道按工程轮廓线顺坡向外延伸10米进行划定，末端沿水流方向延伸至消力池以下100米；水库运行区管理用房以围墙为界划定。</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（2）保护范围线标绘</w:t>
      </w:r>
    </w:p>
    <w:p>
      <w:pPr>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库区保护范围以管理范围边界线向外延伸20米划定。</w:t>
      </w:r>
    </w:p>
    <w:p>
      <w:pPr>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坝区保护范围以大坝两端以管理范围边界线外延100米进行划定，超出分水岭的部分依分水岭划定；大坝下游保护范围以大坝堤脚线外扩100米进行划定。运行区保护范围以管理所围墙为界。</w:t>
      </w:r>
    </w:p>
    <w:p>
      <w:pPr>
        <w:spacing w:line="640" w:lineRule="exact"/>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4.高彼塘水库</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（1）管理范围线标绘</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高彼塘水库资料收集中无二十年一遇设计洪水位，根据省水利厅（LXD-2020-027）号工作联系单要求，库区管理范围线按正常蓄水位（实测堰顶高程）121.28米（1985国家高程基准）加1米为设计洪水位122.28米（1985国家高程基准）划定。</w:t>
      </w:r>
    </w:p>
    <w:p>
      <w:pPr>
        <w:ind w:firstLine="64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坝区管理范围线以大坝两端自开挖线起顺坡向外延伸50米划定，大坝下游以坝脚线向外水平延伸30米划定。溢洪道按工程轮廓线顺坡向外延伸10米划定，末端至消力池以下沿水流方向100米划定。运行区的管理范围按建筑物轮廓线及围墙划定。</w:t>
      </w:r>
    </w:p>
    <w:p>
      <w:pPr>
        <w:ind w:firstLine="640"/>
        <w:rPr>
          <w:rFonts w:hint="default" w:ascii="Times New Roman" w:hAnsi="Times New Roman" w:eastAsia="仿宋_GB2312" w:cs="Times New Roman"/>
          <w:color w:val="auto"/>
          <w:sz w:val="32"/>
          <w:highlight w:val="none"/>
        </w:rPr>
      </w:pP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（2）保护范围线标绘</w:t>
      </w:r>
    </w:p>
    <w:p>
      <w:pPr>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库区保护范围以管理范围边界线外延20米划定。</w:t>
      </w:r>
    </w:p>
    <w:p>
      <w:pPr>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坝区保护范围以大坝两端以管理范围边界线外延50米进行划定，大坝下游保护范围以管理范围线外延50米划定，溢洪道的保护范围以管理范围边界线向外延伸50米划定。运行区的保护范围已含在水利工程的保护范围内，不再另行划定。</w:t>
      </w:r>
    </w:p>
    <w:p>
      <w:pPr>
        <w:spacing w:line="640" w:lineRule="exact"/>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5.四角丘水库</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（1）管理范围线标绘</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四角丘水库资料收集中无二十年一遇设计洪水位，根据省水利厅（LXD-2020-027）号工作联系单要求，库区管理范围线按正常蓄水位（实测堰顶高程）239.95米（1985国家高程基准）加1米240.95米（1985国家高程基准）划定。</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坝区以大坝两端自开挖线起顺坡向外延伸50米划定，大坝下游以坝脚线向外水平延伸30米划定。溢洪道按工程轮廓线顺坡向外延伸10米划定，末端至消力池以下沿水流方向100米划定。运行区的管理范围按建筑物轮廓线及围墙划定。</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（2）保护范围线标绘</w:t>
      </w:r>
    </w:p>
    <w:p>
      <w:pPr>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库区保护范围以管理范围边界线外延20米划定。</w:t>
      </w:r>
    </w:p>
    <w:p>
      <w:pPr>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坝区保护范围以大坝两端以管理范围边界线外延50米进行划定，超过分水岭至分水岭上。大坝下游保护范围以管理范围线外延50米划定，溢洪道的保护范围以管理范围边界线向外延伸50米划定。运行区保护范围以管理所围墙为界。</w:t>
      </w:r>
    </w:p>
    <w:p>
      <w:pPr>
        <w:spacing w:line="640" w:lineRule="exact"/>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6.东江源水库</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（1）管理范围线标绘</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东江源水库资料收集中无二十年一遇设计洪水位，根据省水利厅（LXD-2020-027）号工作联系单要求，库区管理范围线按正常蓄水位（实测堰顶高程）200.77米（1985国家高程基准）加1米201.77米（1985国家高程基准）划定。</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坝区以大坝两端自开挖线起顺坡向外延伸50米划定，大坝下游以坝脚线向外水平延伸30米划定。溢洪道按工程轮廓线顺坡向外延伸10米划定，末端至消力池以下沿水流方向100米划定。运行区的管理范围按建筑物轮廓线及围墙划定。</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（2）保护范围线标绘</w:t>
      </w:r>
    </w:p>
    <w:p>
      <w:pPr>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库区保护范围以库区管理范围边界线外延20米划定。</w:t>
      </w:r>
    </w:p>
    <w:p>
      <w:pPr>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坝区保护范围以大坝两端管理范围边界线外延50米进行划定，大坝下游保护范围以管理范围线外延50米划定，溢洪道的保护范围以管理范围边界线向外延伸50米划定。运行区的保护范围已含在水利工程的保护范围内，不再另行划定。</w:t>
      </w:r>
    </w:p>
    <w:p>
      <w:pPr>
        <w:spacing w:line="640" w:lineRule="exact"/>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7.丁源冲水库</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（1）管理范围线标绘</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丁源冲水库资料收集中无二十年一遇设计洪水位，根据省水利厅（LXD-2020-027）号工作联系单要求，库区管理范围线按正常蓄水位（实测堰顶高程）148.39米（1985国家高程基准）加1米149.39米（1985国家高程基准）划定。</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坝区以大坝两端自开挖线起顺坡向外延伸50米划定，大坝下游以坝脚线向外水平延伸30米划定。溢洪道按工程轮廓线顺坡向外延伸10米划定，末端至消力池以下沿水流方向100米划定。运行区的管理范围按建筑物轮廓线及围墙划定。</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（2）保护范围线标绘</w:t>
      </w:r>
    </w:p>
    <w:p>
      <w:pPr>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库区保护范围以管理范围边界线外延20米划定。</w:t>
      </w:r>
    </w:p>
    <w:p>
      <w:pPr>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坝区保护范围以枢纽工程两端管理范围边界线外延50米进行划定，枢纽工程下游保护范围以管理范围线外延50米划定，溢洪道的保护范围以管理范围边界线向外延伸50米划定。运行区的保护范围已含在水利工程的保护范围内，不再另行划定。</w:t>
      </w:r>
    </w:p>
    <w:p>
      <w:pPr>
        <w:spacing w:line="640" w:lineRule="exact"/>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8.陶家冲水库</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（1）管理范围线标绘</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陶家冲水库资料收集中无二十年一遇设计洪水位，根据省水利厅（LXD-2020-027）号工作联系单要求，库区管理范围线按正常蓄水位（实测堰顶高程）152.68米（1985国家高程基准）加1米153.68米（1985国家高程基准）划定。</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坝区以大坝两端自开挖线起顺坡向外延伸50米划定，大坝下游以坝脚线向外水平延伸30米划定。溢洪道按工程轮廓线顺坡向外延伸10米划定，末端至消力池以下沿水流方向100米划定。运行区的管理范围按建筑物轮廓线及围墙划定。</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（2）保护范围线标绘</w:t>
      </w:r>
    </w:p>
    <w:p>
      <w:pPr>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库区保护范围以管理范围边界线外延20米划定。</w:t>
      </w:r>
    </w:p>
    <w:p>
      <w:pPr>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坝区保护范围以大坝两端管理范围边界线外延50米进行划定，大坝下游保护范围以管理范围线外延50米划定，溢洪道的保护范围以管理范围边界线向外延伸50米划定。运行区的保护范围已含在水利工程的保护范围内，不再另行划定。</w:t>
      </w:r>
    </w:p>
    <w:p>
      <w:pPr>
        <w:spacing w:line="640" w:lineRule="exact"/>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9.长塘冲水库</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（1）管理范围线标绘</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长塘冲水库资料收集中无二十年一遇设计洪水位，根据省水利厅（LXD-2020-027）号工作联系单要求，库区管理范围线按正常蓄水位（实测堰顶高程）127.02米（1985国家高程基准）加1米128.02米（1985国家高程基准）划定。</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坝区以大坝两端自开挖线起顺坡向外延伸50米划定，大坝下游以坝脚线向外水平延伸30米划定。溢洪道按工程轮廓线顺坡向外延伸10米划定，末端至消力池以下沿水流方向100米划定。运行区的管理范围按建筑物轮廓线及围墙划定。</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（2）保护范围线标绘</w:t>
      </w:r>
    </w:p>
    <w:p>
      <w:pPr>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库区保护范围以管理范围边界线外延20米划定。</w:t>
      </w:r>
    </w:p>
    <w:p>
      <w:pPr>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坝区保护范围以大坝两端管理范围边界线外延50米进行划定，大坝下游保护范围以管理范围线外延50米划定，溢洪道的保护范围以管理范围边界线向外延伸50米划定。运行区的保护范围已含在水利工程的保护范围内，不再另行划定。</w:t>
      </w:r>
    </w:p>
    <w:p>
      <w:pPr>
        <w:spacing w:line="640" w:lineRule="exact"/>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10.波罗山水库</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（1）管理范围线标绘</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波罗山水库资料收集中无二十年一遇设计洪水位，根据省水利厅（LXD-2020-027）号工作联系单要求，库区管理范围线按正常蓄水位（实测堰顶高程）127.85米（1985国家高程基准）加1米128.85米（1985国家高程基准）划定。</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坝区以大坝两端自开挖线起顺坡向外延伸50米划定，大坝下游以坝脚线向外水平延伸30米划定。溢洪道按工程轮廓线顺坡向外延伸10米划定，末端至消力池以下沿水流方向100米划定。运行区的管理范围按建筑物轮廓线及围墙划定。</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（2）保护范围线标绘</w:t>
      </w:r>
    </w:p>
    <w:p>
      <w:pPr>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库区保护范围以管理范围边界线外延20米划定。</w:t>
      </w:r>
    </w:p>
    <w:p>
      <w:pPr>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坝区保护范围以大坝两端以管理范围边界线外延50米进行划定，大坝下游保护范围以管理范围线外延50米划定，溢洪道的保护范围以管理范围边界线向外延伸50米划定。运行区的保护范围已含在水利工程的保护范围内，不再另行划定。</w:t>
      </w:r>
    </w:p>
    <w:p>
      <w:pPr>
        <w:spacing w:line="640" w:lineRule="exact"/>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11.大桥水库</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（1）管理范围线标绘</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大桥水库资料收集中无二十年一遇设计洪水位，根据省水利厅（LXD-2020-027）号工作联系单要求，库区管理范围线按正常蓄水位（实测堰顶高程）164.06米（1985国家高程基准）加1米165.06米（1985国家高程基准）划定。</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坝区以大坝两端自开挖线起顺坡向外延伸50米划定，大坝下游以坝脚线向外水平延伸30米划定。溢洪道按工程轮廓线顺坡向外延伸10米划定，末端至消力池以下沿水流方向100米划定。运行区的管理范围按建筑物轮廓线及围墙划定。</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（2）保护范围线标绘</w:t>
      </w:r>
    </w:p>
    <w:p>
      <w:pPr>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库区保护范围以管理范围边界线外延20米划定。</w:t>
      </w:r>
    </w:p>
    <w:p>
      <w:pPr>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坝区保护范围以大坝两端管理范围边界线外延50米进行划定，大坝下游保护范围以管理范围线外延50米划定，溢洪道的保护范围以管理范围边界线向外延伸50米划定。运行区的保护范围已含在水利工程的保护范围内，不再另行划定。</w:t>
      </w:r>
    </w:p>
    <w:p>
      <w:pPr>
        <w:spacing w:line="640" w:lineRule="exact"/>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12.水口庙水库</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（1）管理范围线标绘</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水口庙水库资料收集中无二十年一遇设计洪水位，根据省水利厅（LXD-2020-027）号工作联系单要求，库区管理范围线按正常蓄水位（实测堰顶高程）149.91米（1985国家高程基准）加1米150.91米（1985国家高程基准）划定。</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坝区以大坝两端自开挖线起顺坡向外延伸50米划定，其中大坝左岸管理范围至分水岭处。大坝下游以坝脚线向外水平延伸30米划定。溢洪道按工程轮廓线顺坡向外延伸10米划定，末端至消力池以下沿水流方向100米划定。运行区的管理范围按建筑物轮廓线及围墙划定。</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（2）保护范围线标绘</w:t>
      </w:r>
    </w:p>
    <w:p>
      <w:pPr>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库区保护范围以管理范围边界线外延20米划定。</w:t>
      </w:r>
    </w:p>
    <w:p>
      <w:pPr>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坝区保护范围以大坝两端管理范围边界线外延50米进行划定，其中大坝左岸保护范围至分水岭处。大坝下游保护范围以管理范围线外延50米划定，溢洪道的保护范围以管理范围边界线向外延伸50米划定。运行区的保护范围已含在水利工程的保护范围内，不再另行划定。</w:t>
      </w:r>
    </w:p>
    <w:p>
      <w:pPr>
        <w:spacing w:line="640" w:lineRule="exact"/>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13.楠木皂水库</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（1）管理范围线标绘</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楠木皂水库资料收集中无二十年一遇设计洪水位，根据省水利厅（LXD-2020-027）号工作联系单要求，库区管理范围线按正常蓄水位（实测堰顶高程）175.63米（1985国家高程基准）加1米176.63米（1985国家高程基准）划定。</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坝区以大坝两端自开挖线起顺坡向外延伸50米划定，大坝下游以坝脚线向外水平延伸30米划定。溢洪道按工程轮廓线顺坡向外延伸10米划定，末端至消力池以下沿水流方向100米划定。运行区的管理范围按建筑物轮廓线及围墙划定。</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（2）保护范围线标绘</w:t>
      </w:r>
    </w:p>
    <w:p>
      <w:pPr>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库区保护范围以管理范围边界线外延20米划定。</w:t>
      </w:r>
    </w:p>
    <w:p>
      <w:pPr>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坝区保护范围以大坝两端管理范围边界线外延50米进行划定，大坝下游保护范围以管理范围线外延50米划定，溢洪道的保护范围以管理范围边界线向外延伸50米划定。运行区的保护范围已含在水利工程的保护范围内，不再另行划定。</w:t>
      </w:r>
    </w:p>
    <w:p>
      <w:pPr>
        <w:spacing w:line="640" w:lineRule="exact"/>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14.炭木冲水库</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（1）管理范围线标绘</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炭木冲水库资料收集中无二十年一遇设计洪水位，根据省水利厅（LXD-2020-027）号工作联系单要求，库区管理范围线按正常蓄水位（实测堰顶高程）177.66米（1985国家高程基准）加1米178.66米（1985国家高程基准）划定。</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坝区以大坝两端自开挖线起顺坡向外延伸50米划定，大坝下游以坝脚线向外水平延伸30米划定。溢洪道按工程轮廓线顺坡向外延伸10米划定，末端至消力池以下沿水流方向100米划定。运行区的管理范围按建筑物轮廓线及围墙划定。</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（2）保护范围线标绘</w:t>
      </w:r>
    </w:p>
    <w:p>
      <w:pPr>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库区保护范围以管理范围边界线外延20米划定。</w:t>
      </w:r>
    </w:p>
    <w:p>
      <w:pPr>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坝区保护范围以大坝两端管理范围边界线外延50米进行划定，大坝下游保护范围以管理范围线外延50米划定，溢洪道的保护范围以管理范围边界线向外延伸50米划定。运行区的保护范围已含在水利工程的保护范围内，不再另行划定。</w:t>
      </w:r>
    </w:p>
    <w:p>
      <w:pPr>
        <w:spacing w:line="640" w:lineRule="exact"/>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15.月口冲水库</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（1）管理范围线标绘</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月口冲水库资料收集中无二十年一遇设计洪水位，根据省水利厅（LXD-2020-027）号工作联系单要求，库区管理范围线按正常蓄水位（实测堰顶高程）197.59米（1985国家高程基准）加1米198.59米（1985国家高程基准）划定。</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坝区以大坝两端自开挖线起顺坡向外延伸50米划定，大坝下游以坝脚线向外水平延伸30米划定。溢洪道按工程轮廓线顺坡向外延伸10米划定，末端至消力池以下沿水流方向100米划定。运行区的管理范围按建筑物轮廓线及围墙划定。</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（2）保护范围线标绘</w:t>
      </w:r>
    </w:p>
    <w:p>
      <w:pPr>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库区保护范围以管理范围边界线外延20米划定。</w:t>
      </w:r>
    </w:p>
    <w:p>
      <w:pPr>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坝区保护范围以大坝两端管理范围边界线外延50米进行划定，大坝下游保护范围以管理范围线外延50米划定，溢洪道的保护范围以管理范围边界线向外延伸50米划定。运行区的保护范围已含在水利工程的保护范围内，不再另行划定。</w:t>
      </w:r>
    </w:p>
    <w:p>
      <w:pPr>
        <w:spacing w:line="640" w:lineRule="exact"/>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16.碧芝塘水库</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（1）管理范围线标绘</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碧芝塘水库资料收集中无二十年一遇设计洪水位，根据省水利厅（LXD-2020-027）号工作联系单要求，库区管理范围线按正常蓄水位（实测堰顶高程）156.46米（1985国家高程基准）加1米157.46米（1985国家高程基准）划定。</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大坝以大坝两端自开挖线起顺坡向外延伸50米划定，大坝下游以坝脚线向外水平延伸30米划定。溢洪道按工程轮廓线顺坡向外延伸10米划定，末端至消力池以下沿水流方向100米划定。运行区的管理范围按建筑物轮廓线及围墙划定。</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（2）保护范围线标绘</w:t>
      </w:r>
    </w:p>
    <w:p>
      <w:pPr>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库区保护范围以管理范围边界线外延20米划定。</w:t>
      </w:r>
    </w:p>
    <w:p>
      <w:pPr>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坝区保护范围以大坝两端管理范围边界线外延50米进行划定，大坝下游保护范围以管理范围线外延50米划定，溢洪道的保护范围以管理范围边界线向外延伸50米划定。运行区的保护范围已含在水利工程的保护范围内，不再另行划定。</w:t>
      </w:r>
    </w:p>
    <w:p>
      <w:pPr>
        <w:spacing w:line="640" w:lineRule="exact"/>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17.大堰水库</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（1）管理范围线标绘</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大堰水库资料收集中无二十年一遇设计洪水位，根据省水利厅（LXD-2020-027）号工作联系单要求，库区管理范围线按正常蓄水位（实测堰顶高程）130.48米（1985国家高程基准）加1米131.48米（1985国家高程基准）划定。</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坝区以大坝两端自开挖线起顺坡向外延伸50米划定，大坝下游以坝脚线向外水平延伸30米划定。溢洪道按工程轮廓线顺坡向外延伸10米划定，末端至消力池以下沿水流方向100米划定。运行区的管理范围按建筑物轮廓线及围墙划定。</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（2）保护范围线标绘</w:t>
      </w:r>
    </w:p>
    <w:p>
      <w:pPr>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库区保护范围以管理范围边界线外延20米划定。</w:t>
      </w:r>
    </w:p>
    <w:p>
      <w:pPr>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坝区保护范围以大坝两端管理范围边界线外延50米进行划定，大坝下游保护范围以管理范围线外延50米划定，溢洪道的保护范围以管理范围边界线向外延伸50米划定。运行区的保护范围已含在水利工程的保护范围内，不再另行划定。</w:t>
      </w:r>
    </w:p>
    <w:p>
      <w:pPr>
        <w:spacing w:line="640" w:lineRule="exact"/>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18.烟塘水库</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（1）管理范围线标绘</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烟塘水库资料收集中无二十年一遇设计洪水位，根据省水利厅（LXD-2020-027）号工作联系单要求，库区管理范围线按正常蓄水位（实测堰顶高程）102.72米（1985国家高程基准）加1米103.72米（1985国家高程基准）划定。</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坝区以大坝两端自开挖线起顺坡向外延伸50米划定，大坝下游以坝脚线向外水平延伸30米划定。溢洪道按工程轮廓线顺坡向外延伸10米划定，末端至消力池以下沿水流方向100米划定。运行区的管理范围按建筑物轮廓线及围墙划定。</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（2）保护范围线标绘</w:t>
      </w:r>
    </w:p>
    <w:p>
      <w:pPr>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库区保护范围以管理范围边界线外延20米划定。</w:t>
      </w:r>
    </w:p>
    <w:p>
      <w:pPr>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坝区保护范围以大坝两端管理范围边界线外延50米进行划定，大坝下游保护范围以管理范围线外延50米划定，溢洪道的保护范围以管理范围边界线向外延伸50米划定。运行区的保护范围已含在水利工程的保护范围内，不再另行划定。</w:t>
      </w:r>
    </w:p>
    <w:p>
      <w:pPr>
        <w:spacing w:line="640" w:lineRule="exact"/>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19.杨司桥水库</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（1）管理范围线标绘</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杨司桥水库资料收集中无二十年一遇设计洪水位，根据省水利厅（LXD-2020-027）号工作联系单要求，库区管理范围线按正常蓄水位（实测堰顶高程）113.70米（1985国家高程基准）加1米114.70米（1985国家高程基准）划定。</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坝区以大坝两端自开挖线起顺坡向外延伸50米划定，大坝下游以坝脚线向外水平延伸30米划定。溢洪道按工程轮廓线顺坡向外延伸10米划定，末端至消力池以下沿水流方向100米划定。运行区的管理范围按建筑物轮廓线及围墙划定。</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（2）保护范围线标绘</w:t>
      </w:r>
    </w:p>
    <w:p>
      <w:pPr>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库区保护范围以管理范围边界线外延20米划定。</w:t>
      </w:r>
    </w:p>
    <w:p>
      <w:pPr>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坝区保护范围以大坝两端管理范围边界线外延50米进行划定，枢纽工程下游保护范围以管理范围线外延50米划定，溢洪道的保护范围以管理范围边界线向外延伸50米划定。运行区的保护范围已含在水利工程的保护范围内，不再另行划定。</w:t>
      </w:r>
    </w:p>
    <w:p>
      <w:pPr>
        <w:ind w:firstLine="640" w:firstLineChars="200"/>
        <w:rPr>
          <w:rFonts w:hint="default" w:ascii="Times New Roman" w:hAnsi="Times New Roman" w:eastAsia="仿宋_GB2312" w:cs="Times New Roman"/>
          <w:color w:val="auto"/>
          <w:sz w:val="32"/>
          <w:highlight w:val="none"/>
        </w:rPr>
      </w:pPr>
    </w:p>
    <w:p>
      <w:pPr>
        <w:spacing w:line="640" w:lineRule="exact"/>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20.舜塘水库</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（1）管理范围线标绘</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舜塘水库资料收集中无二十年一遇设计洪水位，根据省水利厅（LXD-2020-027）号工作联系单要求，库区管理范围线按正常蓄水位（实测堰顶高程）187.36米（1985国家高程基准）加1米188.36米（1985国家高程基准）划定。</w:t>
      </w:r>
    </w:p>
    <w:p>
      <w:pPr>
        <w:spacing w:line="640" w:lineRule="exact"/>
        <w:ind w:firstLine="640" w:firstLineChars="200"/>
        <w:rPr>
          <w:rFonts w:hint="default" w:ascii="Times New Roman" w:hAnsi="Times New Roman" w:eastAsia="仿宋_GB2312" w:cs="Times New Roman"/>
          <w:color w:val="auto"/>
          <w:sz w:val="32"/>
          <w:highlight w:val="none"/>
          <w:lang w:eastAsia="zh-CN"/>
        </w:rPr>
      </w:pPr>
      <w:r>
        <w:rPr>
          <w:rFonts w:hint="default" w:ascii="Times New Roman" w:hAnsi="Times New Roman" w:eastAsia="仿宋_GB2312" w:cs="Times New Roman"/>
          <w:color w:val="auto"/>
          <w:sz w:val="32"/>
          <w:highlight w:val="none"/>
        </w:rPr>
        <w:t>坝区以大坝两端自开挖线起顺坡向外延伸50米划定，大坝下游以坝脚线向外水平延伸30米划定。溢洪道按工程轮廓线顺坡向外延伸10米划定，末端至消力池以下沿水流方向100米划定。运行区的管理范围按建筑物轮廓线及围墙划定。</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（2）保护范围线标绘</w:t>
      </w:r>
    </w:p>
    <w:p>
      <w:pPr>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库区保护范围以管理范围边界线外延20米划定。</w:t>
      </w:r>
    </w:p>
    <w:p>
      <w:pPr>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坝区保护范围以大坝两端管理范围边界线外延50米进行划定，大坝下游保护范围以管理范围线外延50米划定，溢洪道的保护范围以管理范围边界线向外延伸50米划定。运行区的保护范围已含在水利工程的保护范围内，不再另行划定。</w:t>
      </w:r>
    </w:p>
    <w:p>
      <w:pPr>
        <w:spacing w:line="640" w:lineRule="exact"/>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21.保定安水库</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（1）管理范围线标绘</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保定安水库资料收集中无二十年一遇设计洪水位，根据省水利厅（LXD-2020-027）号工作联系单要求，库区管理范围线按正常蓄水位（实测堰顶高程）134.25米（1985国家高程基准）加1米135.25米（1985国家高程基准）划定。</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坝区以大坝两端自开挖线起顺坡向外延伸50米划定，大坝下游以坝脚线向外水平延伸30米划定。溢洪道按工程轮廓线顺坡向外延伸10米划定，末端至消力池以下沿水流方向100米划定。运行区的管理范围按建筑物轮廓线及围墙划定。</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（2）保护范围线标绘</w:t>
      </w:r>
    </w:p>
    <w:p>
      <w:pPr>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库区保护范围以管理范围边界线外延20米划定。</w:t>
      </w:r>
    </w:p>
    <w:p>
      <w:pPr>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坝区保护范围以大坝两端管理范围边界线外延50米进行划定，大坝下游保护范围以管理范围线外延50米划定，溢洪道的保护范围以管理范围边界线向外延伸50米划定。运行区的保护范围已含在水利工程的保护范围内，不再另行划定。</w:t>
      </w:r>
    </w:p>
    <w:p>
      <w:pPr>
        <w:spacing w:line="640" w:lineRule="exact"/>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22.长塘水库</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（1）管理范围线标绘</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长塘水库资料收集中无二十年一遇设计洪水位，根据省水利厅（LXD-2020-027）号工作联系单要求，库区管理范围线按正常蓄水位（实测堰顶高程）134.08米（1985国家高程基准）加1米135.08米（1985国家高程基准）划定。</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坝区以大坝左端自开挖线起顺坡向外延伸至分水岭划定，大坝右端自开挖线起顺坡向外延伸50米划定，大坝下游以坝脚线向外水平延伸30米划定。溢洪道按工程轮廓线顺坡向外延伸10米划定，末端至消力池以下沿水流方向100米划定。运行区的管理范围按建筑物轮廓线及围墙划定。</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（2）保护范围线标绘</w:t>
      </w:r>
    </w:p>
    <w:p>
      <w:pPr>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库区保护范围以管理范围边界线外延20米划定，大坝两端保护范围以管理范围边界线外延50米进行划定，超过分水岭的以分水岭为界。大坝下游保护范围以管理范围线外延50米划定，溢洪道的保护范围以管理范围边界线向外延伸50米划定。运行区的保护范围已含在水利工程的保护范围内，不再另行划定。</w:t>
      </w:r>
    </w:p>
    <w:p>
      <w:pPr>
        <w:spacing w:line="640" w:lineRule="exact"/>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23.茶园水库</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（1）管理范围线标绘</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茶园水库资料收集中无二十年一遇设计洪水位，根据省水利厅（LXD-2020-027）号工作联系单要求，库区管理范围线按正常蓄水位（实测堰顶高程）114.52米（1985国家高程基准）加1米115.52米（1985国家高程基准）划定。</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坝区以大坝两端自开挖线起顺坡向外延伸50米划定，大坝下游以坝脚线向外水平延伸40米划定。溢洪道按工程轮廓线顺坡向外延伸10米划定，末端至消力池以下沿水流方向100米划定。运行区的管理范围按建筑物轮廓线及围墙划定。</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（2）保护范围线标绘</w:t>
      </w:r>
    </w:p>
    <w:p>
      <w:pPr>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库区保护范围以管理范围边界线外延20米划定。</w:t>
      </w:r>
    </w:p>
    <w:p>
      <w:pPr>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坝区保护范围以大坝两端管理范围边界线外延50米进行划定，大坝下游保护范围以管理范围线外延50米划定，溢洪道的保护范围以管理范围边界线向外延伸50米划定。运行区的保护范围已含在水利工程的保护范围内，不再另行划定。</w:t>
      </w:r>
    </w:p>
    <w:p>
      <w:pPr>
        <w:spacing w:line="640" w:lineRule="exact"/>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24.乌山冲水库</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（1）管理范围线标绘</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乌山冲水库资料收集中无二十年一遇设计洪水位，根据省水利厅（LXD-2020-027）号工作联系单要求，库区管理范围线按正常蓄水位（实测堰顶高程）180.95米（1985国家高程基准）加1米181.95米（1985国家高程基准）划定。</w:t>
      </w:r>
    </w:p>
    <w:p>
      <w:pPr>
        <w:spacing w:line="640" w:lineRule="exact"/>
        <w:ind w:firstLine="640" w:firstLineChars="200"/>
        <w:rPr>
          <w:rFonts w:hint="default" w:ascii="Times New Roman" w:hAnsi="Times New Roman" w:eastAsia="仿宋_GB2312" w:cs="Times New Roman"/>
          <w:color w:val="auto"/>
          <w:sz w:val="32"/>
          <w:highlight w:val="none"/>
          <w:lang w:eastAsia="zh-CN"/>
        </w:rPr>
      </w:pPr>
      <w:r>
        <w:rPr>
          <w:rFonts w:hint="default" w:ascii="Times New Roman" w:hAnsi="Times New Roman" w:eastAsia="仿宋_GB2312" w:cs="Times New Roman"/>
          <w:color w:val="auto"/>
          <w:sz w:val="32"/>
          <w:highlight w:val="none"/>
        </w:rPr>
        <w:t>坝区以大坝两端自开挖线起顺坡向外延伸50米划定，大坝下游以坝脚线向外水平延伸30米划定。溢洪道按工程轮廓线顺坡向外延伸10米划定，末端至消力池以下沿水流方向100米划定。运行区的管理范围按建筑物轮廓线及围墙划定。</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（2）保护范围线标绘</w:t>
      </w:r>
    </w:p>
    <w:p>
      <w:pPr>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库区保护范围以管理范围边界线外延20米划定。</w:t>
      </w:r>
    </w:p>
    <w:p>
      <w:pPr>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坝区保护范围以大坝两端管理范围边界线外延50米进行划定，大坝下游保护范围以管理范围线外延50米划定，溢洪道的保护范围以管理范围边界线向外延伸50米划定。运行区的保护范围已含在水利工程的保护范围内，不再另行划定。</w:t>
      </w:r>
    </w:p>
    <w:p>
      <w:pPr>
        <w:spacing w:line="640" w:lineRule="exact"/>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25.唐家冲水库</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（1）管理范围线标绘</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唐家冲水库资料收集中无二十年一遇设计洪水位，根据省水利厅（LXD-2020-027）号工作联系单要求，库区管理范围线按正常蓄水位（实测堰顶高程）170.26米（1985国家高程基准）加1米171.26米（1985国家高程基准）划定。</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坝区以大坝两端自开挖线起顺坡向外延伸50米划定，大坝下游以坝脚线向外水平延伸30米划定。溢洪道按工程轮廓线顺坡向外延伸10米划定，末端至消力池以下沿水流方向100米划定。运行区的管理范围按建筑物轮廓线及围墙划定。</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（2）保护范围线标绘</w:t>
      </w:r>
    </w:p>
    <w:p>
      <w:pPr>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库区保护范围以管理范围边界线外延20米划定。</w:t>
      </w:r>
    </w:p>
    <w:p>
      <w:pPr>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坝区保护范围以大坝两端管理范围边界线外延50米进行划定，大坝下游保护范围以管理范围线外延50米划定，溢洪道的保护范围以管理范围边界线向外延伸50米划定。运行区的保护范围已含在水利工程的保护范围内，不再另行划定。</w:t>
      </w:r>
    </w:p>
    <w:p>
      <w:pPr>
        <w:spacing w:line="640" w:lineRule="exact"/>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26.高拱桥水库</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（1）管理范围线标绘</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高拱桥水库资料收集中无二十年一遇设计洪水位，根据省水利厅（LXD-2020-027）号工作联系单要求，库区管理范围线按正常蓄水位（实测堰顶高程）132.72米（1985国家高程基准）加1米133.72米（1985国家高程基准）划定。</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坝区以大坝两端自开挖线起顺坡向外延伸50米划定，大坝下游以坝脚线向外水平延伸30米划定。运行区的管理范围按建筑物轮廓线及围墙划定。</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（2）保护范围线标绘</w:t>
      </w:r>
    </w:p>
    <w:p>
      <w:pPr>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库区保护范围以管理范围边界线外延20米划定。</w:t>
      </w:r>
    </w:p>
    <w:p>
      <w:pPr>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坝区保护范围以大坝两端管理范围边界线外延50米进行划定，大坝下游保护范围以管理范围线外延50米划定。运行区的保护范围已含在水利工程的保护范围内，不再另行划定。</w:t>
      </w:r>
    </w:p>
    <w:p>
      <w:pPr>
        <w:spacing w:line="640" w:lineRule="exact"/>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27.畔塘水库</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（1）管理范围线标绘</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畔塘水库资料收集中无二十年一遇设计洪水位，根据省水利厅（LXD-2020-027）号工作联系单要求，库区管理范围线按正常蓄水位（实测堰顶高程）118.78米（1985国家高程基准）加1米119.78米（1985国家高程基准）划定。</w:t>
      </w:r>
    </w:p>
    <w:p>
      <w:pPr>
        <w:widowControl/>
        <w:jc w:val="left"/>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坝区以大坝两端自开挖线起顺坡向外延伸50米划定，大坝下游以坝脚线向外水平延伸30米划定。溢洪道按工程轮廓线顺坡向外延伸10米划定，末端未设置消力池水直接泄入小（2）型金台水库，为方便管理溢洪道末端未沿水流方向延伸100米划定管理范围。运行区的管理范围按建筑物轮廓线及围墙划定。</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（2）保护范围线标绘</w:t>
      </w:r>
    </w:p>
    <w:p>
      <w:pPr>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库区保护范围以管理范围边界线外延20米划定。</w:t>
      </w:r>
    </w:p>
    <w:p>
      <w:pPr>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坝区保护范围以大坝两端管理范围边界线外延50米进行划定，超过分水岭的以分水岭为界，大坝下游保护范围以管理范围线外延50米划定，溢洪道的保护范围以管理范围边界线向外延伸50米划定。运行区的保护范围已含在水利工程的保护范围内，不再另行划定。</w:t>
      </w:r>
    </w:p>
    <w:p>
      <w:pPr>
        <w:spacing w:line="640" w:lineRule="exact"/>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28.楼塘水库</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（1）管理范围线标绘</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楼塘水库资料收集中无二十年一遇设计洪水位，根据省水利厅（LXD-2020-027）号工作联系单要求，库区管理范围线按正常蓄水位（实测堰顶高程）123.20米（1985国家高程基准）加1米124.20米（1985国家高程基准）划定。</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坝区以大坝两端自开挖线起顺坡向外延伸50米划定，大坝下游以坝脚线向外水平延伸30米划定。溢洪道按工程轮廓线顺坡向外延伸10米划定，末端至消力池以下沿水流方向100米划定。运行区的管理范围按建筑物轮廓线及围墙划定。</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（2）保护范围线标绘</w:t>
      </w:r>
    </w:p>
    <w:p>
      <w:pPr>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库区保护范围以管理范围边界线外延20米划定。</w:t>
      </w:r>
    </w:p>
    <w:p>
      <w:pPr>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坝区保护范围以大坝两端管理范围边界线外延50米进行划定，大坝下游保护范围以管理范围线外延50米划定，溢洪道的保护范围以管理范围边界线向外延伸50米划定。运行区的保护范围已含在水利工程的保护范围内，不再另行划定。</w:t>
      </w:r>
    </w:p>
    <w:p>
      <w:pPr>
        <w:spacing w:line="640" w:lineRule="exact"/>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29.里塘水库</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（1）管理范围线标绘</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里塘水库资料收集中无二十年一遇设计洪水位，根据省水利厅（LXD-2020-027）号工作联系单要求，库区管理范围线按正常蓄水位（实测堰顶高程）130.35米（1985国家高程基准）加1米131.35米（1985国家高程基准）划定。</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坝区以大坝左端自开挖线起顺坡向外延伸50米划定，大坝右端自开挖线起顺坡向外延伸至分水岭划定，大坝下游以坝脚线向外水平延伸30米划定。溢洪道按工程轮廓线顺坡向外延伸10米划定，末端至消力池以下沿水流方向100米划定。运行区的管理范围按建筑物轮廓线及围墙划定。</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（2）保护范围线标绘</w:t>
      </w:r>
    </w:p>
    <w:p>
      <w:pPr>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库区保护范围以管理范围边界线外延20米划定。</w:t>
      </w:r>
    </w:p>
    <w:p>
      <w:pPr>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坝区保护范围以大坝两端管理范围边界线外延50米进行划定，大坝下游保护范围以管理范围线外延50米划定，溢洪道的保护范围以管理范围边界线向外延伸50米划定。运行区的保护范围已含在水利工程的保护范围内，不再另行划定。</w:t>
      </w:r>
    </w:p>
    <w:p>
      <w:pPr>
        <w:spacing w:line="640" w:lineRule="exact"/>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30.石堰脑水库</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（1）管理范围线标绘</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石堰脑水库资料收集中无二十年一遇设计洪水位，根据省水利厅（LXD-2020-027）号工作联系单要求，库区管理范围线按正常蓄水位（实测堰顶高程）117.58米（1985国家高程基准）加1米118.58米（1985国家高程基准）划定。</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坝区以大坝两端自开挖线起顺坡向外延伸50米划定，大坝下游以坝脚线向外水平延伸30米划定。溢洪道按工程轮廓线顺坡向外延伸10米划定，末端至消力池以下沿水流方向100米划定。运行区的管理范围按建筑物轮廓线及围墙划定。</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（2）保护范围线标绘</w:t>
      </w:r>
    </w:p>
    <w:p>
      <w:pPr>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库区保护范围以管理范围边界线外延20米划定。</w:t>
      </w:r>
    </w:p>
    <w:p>
      <w:pPr>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坝区保护范围以大坝两端管理范围边界线外延50米进行划定，大坝下游保护范围以管理范围线外延50米划定，溢洪道的保护范围以管理范围边界线向外延伸50米划定。运行区的保护范围已含在水利工程的保护范围内，不再另行划定。</w:t>
      </w:r>
    </w:p>
    <w:p>
      <w:pPr>
        <w:spacing w:line="640" w:lineRule="exact"/>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31.石洞源水库</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（1）管理范围线标绘</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2019年石洞源水库已开展了河湖划界工作，河湖划界成果已经过</w:t>
      </w:r>
      <w:r>
        <w:rPr>
          <w:rFonts w:hint="eastAsia" w:ascii="Times New Roman" w:hAnsi="Times New Roman" w:eastAsia="仿宋_GB2312" w:cs="Times New Roman"/>
          <w:color w:val="auto"/>
          <w:sz w:val="32"/>
          <w:highlight w:val="none"/>
          <w:lang w:eastAsia="zh-CN"/>
        </w:rPr>
        <w:t>原祁阳县</w:t>
      </w:r>
      <w:r>
        <w:rPr>
          <w:rFonts w:hint="default" w:ascii="Times New Roman" w:hAnsi="Times New Roman" w:eastAsia="仿宋_GB2312" w:cs="Times New Roman"/>
          <w:color w:val="auto"/>
          <w:sz w:val="32"/>
          <w:highlight w:val="none"/>
        </w:rPr>
        <w:t>人民政府批复并公示。石洞源水库库区管理范围线河湖划界成果采用50年一遇设计洪水位线184.86米划定。</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石洞源水库资料收集中无二十年一遇设计洪水位，根据省水利厅（LXD-2020-027）号工作联系单要求，库区管理范围线按正常蓄水位（实测堰顶高程）184.27米（1985国家高程基准）加1米185.27米（1985国家高程基准）划定。</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经与</w:t>
      </w:r>
      <w:r>
        <w:rPr>
          <w:rFonts w:hint="eastAsia" w:ascii="Times New Roman" w:hAnsi="Times New Roman" w:eastAsia="仿宋_GB2312" w:cs="Times New Roman"/>
          <w:color w:val="auto"/>
          <w:sz w:val="32"/>
          <w:highlight w:val="none"/>
          <w:lang w:eastAsia="zh-CN"/>
        </w:rPr>
        <w:t>祁阳市</w:t>
      </w:r>
      <w:r>
        <w:rPr>
          <w:rFonts w:hint="default" w:ascii="Times New Roman" w:hAnsi="Times New Roman" w:eastAsia="仿宋_GB2312" w:cs="Times New Roman"/>
          <w:color w:val="auto"/>
          <w:sz w:val="32"/>
          <w:highlight w:val="none"/>
        </w:rPr>
        <w:t>水利局沟通按两者相比较取大值，本次石洞源水库库区管理范围界线按185.27米水位线划定。</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坝区以大坝两端自开挖线起顺坡向外延伸50米划定，超过分水岭的划至分水岭上。大坝下游及溢洪道按石洞源水库河湖划界成果划定。运行区的管理范围按建筑物轮廓线及围墙划定。</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（2）保护范围线标绘</w:t>
      </w:r>
    </w:p>
    <w:p>
      <w:pPr>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库区保护范围以管理范围边界线外延20米划定，大坝两端保护范围以管理范围边界线外延50米进行划定，大坝下游保护范围以管理范围线外延50米划定，溢洪道的保护范围以管理范围边界线向外延伸50米划定。运行区的保护范围已含在水利工程的保护范围内，不再另行划定。</w:t>
      </w:r>
    </w:p>
    <w:p>
      <w:pPr>
        <w:spacing w:line="640" w:lineRule="exact"/>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32.文家冲水库</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（1）管理范围线标绘</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2019年文家冲水库已开展了河湖划界工作，河湖划界成果已经过</w:t>
      </w:r>
      <w:r>
        <w:rPr>
          <w:rFonts w:hint="eastAsia" w:ascii="Times New Roman" w:hAnsi="Times New Roman" w:eastAsia="仿宋_GB2312" w:cs="Times New Roman"/>
          <w:color w:val="auto"/>
          <w:sz w:val="32"/>
          <w:highlight w:val="none"/>
          <w:lang w:eastAsia="zh-CN"/>
        </w:rPr>
        <w:t>原祁阳县</w:t>
      </w:r>
      <w:r>
        <w:rPr>
          <w:rFonts w:hint="default" w:ascii="Times New Roman" w:hAnsi="Times New Roman" w:eastAsia="仿宋_GB2312" w:cs="Times New Roman"/>
          <w:color w:val="auto"/>
          <w:sz w:val="32"/>
          <w:highlight w:val="none"/>
        </w:rPr>
        <w:t>人民政府批复并公示。文家冲水库库区管理范围线河湖划界成果采用50年一遇设计洪水位线203.01米划定。本次水利工程划界要求以正常蓄水位201.81加1米202.81米划定。</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经与</w:t>
      </w:r>
      <w:r>
        <w:rPr>
          <w:rFonts w:hint="eastAsia" w:ascii="Times New Roman" w:hAnsi="Times New Roman" w:eastAsia="仿宋_GB2312" w:cs="Times New Roman"/>
          <w:color w:val="auto"/>
          <w:sz w:val="32"/>
          <w:highlight w:val="none"/>
          <w:lang w:eastAsia="zh-CN"/>
        </w:rPr>
        <w:t>祁阳市</w:t>
      </w:r>
      <w:r>
        <w:rPr>
          <w:rFonts w:hint="default" w:ascii="Times New Roman" w:hAnsi="Times New Roman" w:eastAsia="仿宋_GB2312" w:cs="Times New Roman"/>
          <w:color w:val="auto"/>
          <w:sz w:val="32"/>
          <w:highlight w:val="none"/>
        </w:rPr>
        <w:t>水利局沟通按两者相比较取大值，本次石洞源水库库区管理范围界线按河湖划界成果203.01米水位线划定。</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坝区中大坝两端、大坝下游、溢洪道以及运行区的管理范围按河湖划界确定界线划定。</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（2）保护范围线标绘</w:t>
      </w:r>
    </w:p>
    <w:p>
      <w:pPr>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库区保护范围以管理范围边界线外延20米划定，大坝两端保护范围以管理范围边界线外延50米进行划定，大坝下游保护范围以管理范围线外延50米划定，溢洪道的保护范围以管理范围边界线向外延伸50米划定。运行区的保护范围已含在水利工程的保护范围内，不再另行划定。</w:t>
      </w:r>
    </w:p>
    <w:p>
      <w:pPr>
        <w:pStyle w:val="4"/>
        <w:keepNext/>
        <w:keepLines/>
        <w:spacing w:line="680" w:lineRule="exact"/>
        <w:ind w:firstLine="640" w:firstLineChars="200"/>
        <w:rPr>
          <w:rFonts w:hint="default" w:cstheme="minorBidi"/>
          <w:b w:val="0"/>
          <w:sz w:val="32"/>
        </w:rPr>
      </w:pPr>
      <w:bookmarkStart w:id="23" w:name="_Toc22703"/>
      <w:r>
        <w:rPr>
          <w:rFonts w:hint="eastAsia" w:cstheme="minorBidi"/>
          <w:b w:val="0"/>
          <w:sz w:val="32"/>
          <w:lang w:val="en-US" w:eastAsia="zh-CN"/>
        </w:rPr>
        <w:t>3.2.2</w:t>
      </w:r>
      <w:r>
        <w:rPr>
          <w:rFonts w:hint="default" w:cstheme="minorBidi"/>
          <w:b w:val="0"/>
          <w:sz w:val="32"/>
        </w:rPr>
        <w:t>灌区</w:t>
      </w:r>
      <w:bookmarkEnd w:id="23"/>
    </w:p>
    <w:p>
      <w:pPr>
        <w:ind w:firstLine="640" w:firstLineChars="200"/>
        <w:rPr>
          <w:rFonts w:hint="default" w:ascii="Times New Roman" w:hAnsi="Times New Roman" w:cs="Times New Roman"/>
          <w:color w:val="auto"/>
          <w:highlight w:val="none"/>
        </w:rPr>
      </w:pPr>
      <w:r>
        <w:rPr>
          <w:rFonts w:hint="default" w:ascii="Times New Roman" w:hAnsi="Times New Roman" w:eastAsia="仿宋_GB2312" w:cs="Times New Roman"/>
          <w:color w:val="auto"/>
          <w:sz w:val="32"/>
          <w:highlight w:val="none"/>
        </w:rPr>
        <w:t>根据湖南省水利工程管理与保护范围划定技术指南中关于灌区管理范围的规定，渠堤外坡脚线或者开挖线以内为渠（沟）道管理范围，保护范围线以渠堤外坡脚线外延1～5米以内为渠（沟）道保护范围。渠系建筑物周边2～10米为保护范围。</w:t>
      </w:r>
    </w:p>
    <w:p>
      <w:pPr>
        <w:spacing w:line="640" w:lineRule="exact"/>
        <w:ind w:firstLine="562" w:firstLineChars="200"/>
        <w:rPr>
          <w:rFonts w:hint="default" w:ascii="Times New Roman" w:hAnsi="Times New Roman" w:eastAsia="仿宋_GB2312" w:cs="Times New Roman"/>
          <w:b/>
          <w:sz w:val="28"/>
          <w:szCs w:val="28"/>
          <w:lang w:val="en-IE"/>
        </w:rPr>
      </w:pPr>
      <w:r>
        <w:rPr>
          <w:rFonts w:hint="default" w:ascii="Times New Roman" w:hAnsi="Times New Roman" w:eastAsia="仿宋_GB2312" w:cs="Times New Roman"/>
          <w:b/>
          <w:sz w:val="28"/>
          <w:szCs w:val="28"/>
          <w:lang w:val="en-IE"/>
        </w:rPr>
        <w:t>1.大江灌区</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（1）管理范围线标绘</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根据收集的资料结合外业调绘测量工作，标绘大江灌区渠系建筑和隧洞进出口位置。</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大江灌区干渠包括左干渠、中干渠、右干渠以及总干渠，其管理范围线以渠堤外坡脚或渠道开挖线划定。灌区管理用房的管理范围线按建设用地红线或围墙标绘。</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（2）保护范围线标绘</w:t>
      </w:r>
    </w:p>
    <w:p>
      <w:pPr>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干渠保护范围线以渠道及渠系建筑物按靠山侧外延3米，其他以渠堤外坡脚线外延5米以内为渠道保护范围。运行区保护范围参考集体土地所有权范围划定。</w:t>
      </w:r>
    </w:p>
    <w:p>
      <w:pPr>
        <w:spacing w:line="640" w:lineRule="exact"/>
        <w:ind w:firstLine="562" w:firstLineChars="200"/>
        <w:rPr>
          <w:rFonts w:hint="default" w:ascii="Times New Roman" w:hAnsi="Times New Roman" w:eastAsia="仿宋_GB2312" w:cs="Times New Roman"/>
          <w:b/>
          <w:sz w:val="28"/>
          <w:szCs w:val="28"/>
          <w:lang w:val="en-IE"/>
        </w:rPr>
      </w:pPr>
      <w:r>
        <w:rPr>
          <w:rFonts w:hint="default" w:ascii="Times New Roman" w:hAnsi="Times New Roman" w:eastAsia="仿宋_GB2312" w:cs="Times New Roman"/>
          <w:b/>
          <w:sz w:val="28"/>
          <w:szCs w:val="28"/>
          <w:lang w:val="en-IE"/>
        </w:rPr>
        <w:t>2.龙江桥灌区</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（1）管理范围线标绘</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根据收集的资料结合外业调绘测量工作，标绘龙江桥灌区渠系建筑和隧洞进出口位置。</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龙江桥灌区干渠总干渠，其管理范围线以渠堤外坡脚或渠道开挖线划定。灌区管理用房的管理范围线按建设用地红线或围墙标绘。</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（2）保护范围线标绘</w:t>
      </w:r>
    </w:p>
    <w:p>
      <w:pPr>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干渠保护范围线以渠堤外坡脚线外延5米以内为渠（沟）道保护范围。渠系建筑物（渡槽）周边10米为保护范围。运行区保护范围参考集体土地所有权范围划定。</w:t>
      </w:r>
    </w:p>
    <w:p>
      <w:pPr>
        <w:spacing w:line="640" w:lineRule="exact"/>
        <w:ind w:firstLine="562" w:firstLineChars="200"/>
        <w:rPr>
          <w:rFonts w:hint="default" w:ascii="Times New Roman" w:hAnsi="Times New Roman" w:eastAsia="仿宋_GB2312" w:cs="Times New Roman"/>
          <w:b/>
          <w:sz w:val="28"/>
          <w:szCs w:val="28"/>
          <w:lang w:val="en-IE"/>
        </w:rPr>
      </w:pPr>
      <w:r>
        <w:rPr>
          <w:rFonts w:hint="default" w:ascii="Times New Roman" w:hAnsi="Times New Roman" w:eastAsia="仿宋_GB2312" w:cs="Times New Roman"/>
          <w:b/>
          <w:sz w:val="28"/>
          <w:szCs w:val="28"/>
          <w:lang w:val="en-IE"/>
        </w:rPr>
        <w:t>3.石喝灌区</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（1）管理范围线标绘</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根据收集的资料结合外业调绘测量工作，标绘石喝灌区渠系建筑和隧洞进出口位置。</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石喝灌区干渠包括左干渠、中干渠、右干渠以及总干渠，其管理范围线以渠堤外坡脚或渠道开挖线划定。灌区管理用房的管理范围线按建设用地红线或围墙标绘。</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（2）保护范围线标绘</w:t>
      </w:r>
    </w:p>
    <w:p>
      <w:pPr>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干渠保护范围线以渠堤外坡脚线外延2米以内为渠（沟）道保护范围。渠系建筑物（渡槽）周边10米为保护范围。运行区保护范围参考集体土地所有权范围划定。</w:t>
      </w:r>
    </w:p>
    <w:p>
      <w:pPr>
        <w:pStyle w:val="4"/>
        <w:keepNext/>
        <w:keepLines/>
        <w:spacing w:line="680" w:lineRule="exact"/>
        <w:ind w:firstLine="640" w:firstLineChars="200"/>
        <w:rPr>
          <w:rFonts w:hint="default" w:cstheme="minorBidi"/>
          <w:b w:val="0"/>
          <w:sz w:val="32"/>
        </w:rPr>
      </w:pPr>
      <w:r>
        <w:rPr>
          <w:rFonts w:hint="eastAsia" w:cstheme="minorBidi"/>
          <w:b w:val="0"/>
          <w:sz w:val="32"/>
          <w:lang w:val="en-US" w:eastAsia="zh-CN"/>
        </w:rPr>
        <w:t>3</w:t>
      </w:r>
      <w:r>
        <w:rPr>
          <w:rFonts w:hint="default" w:cstheme="minorBidi"/>
          <w:b w:val="0"/>
          <w:sz w:val="32"/>
        </w:rPr>
        <w:t>.</w:t>
      </w:r>
      <w:r>
        <w:rPr>
          <w:rFonts w:hint="eastAsia" w:cstheme="minorBidi"/>
          <w:b w:val="0"/>
          <w:sz w:val="32"/>
          <w:lang w:val="en-US" w:eastAsia="zh-CN"/>
        </w:rPr>
        <w:t>2</w:t>
      </w:r>
      <w:r>
        <w:rPr>
          <w:rFonts w:hint="default" w:cstheme="minorBidi"/>
          <w:b w:val="0"/>
          <w:sz w:val="32"/>
        </w:rPr>
        <w:t>.</w:t>
      </w:r>
      <w:r>
        <w:rPr>
          <w:rFonts w:hint="eastAsia" w:cstheme="minorBidi"/>
          <w:b w:val="0"/>
          <w:sz w:val="32"/>
          <w:lang w:val="en-US" w:eastAsia="zh-CN"/>
        </w:rPr>
        <w:t>3</w:t>
      </w:r>
      <w:r>
        <w:rPr>
          <w:rFonts w:hint="default" w:cstheme="minorBidi"/>
          <w:b w:val="0"/>
          <w:sz w:val="32"/>
        </w:rPr>
        <w:t>泵站</w:t>
      </w:r>
    </w:p>
    <w:p>
      <w:pPr>
        <w:ind w:firstLine="640" w:firstLineChars="200"/>
        <w:rPr>
          <w:rFonts w:hint="default" w:ascii="Times New Roman" w:hAnsi="Times New Roman" w:cs="Times New Roman"/>
          <w:color w:val="auto"/>
          <w:highlight w:val="none"/>
        </w:rPr>
      </w:pPr>
      <w:r>
        <w:rPr>
          <w:rFonts w:hint="default" w:ascii="Times New Roman" w:hAnsi="Times New Roman" w:eastAsia="仿宋_GB2312" w:cs="Times New Roman"/>
          <w:color w:val="auto"/>
          <w:sz w:val="32"/>
          <w:highlight w:val="none"/>
        </w:rPr>
        <w:t>泵站工程管理范围分为工程区管理范围和运行区管理范围。工程区管理范围指引渠、前池、进水池、泵房、出水管道、出水池及压力水箱等主体工程的覆盖范围，以及主体工程建筑物边界线向外延2～10m的区域。运行区管理范围是指管理单位的办公、生产、生活设施等建（构）筑物的管理范围。</w:t>
      </w:r>
    </w:p>
    <w:p>
      <w:pPr>
        <w:spacing w:line="640" w:lineRule="exact"/>
        <w:ind w:firstLine="562" w:firstLineChars="200"/>
        <w:rPr>
          <w:rFonts w:hint="default" w:ascii="Times New Roman" w:hAnsi="Times New Roman" w:eastAsia="仿宋_GB2312" w:cs="Times New Roman"/>
          <w:b/>
          <w:sz w:val="28"/>
          <w:szCs w:val="28"/>
          <w:lang w:val="en-IE"/>
        </w:rPr>
      </w:pPr>
      <w:r>
        <w:rPr>
          <w:rFonts w:hint="default" w:ascii="Times New Roman" w:hAnsi="Times New Roman" w:eastAsia="仿宋_GB2312" w:cs="Times New Roman"/>
          <w:b/>
          <w:sz w:val="28"/>
          <w:szCs w:val="28"/>
          <w:lang w:val="en-IE"/>
        </w:rPr>
        <w:t>1.于家冲电灌站一级电排泵站</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（1）管理范围线标绘</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本次于家冲电灌站一级电排泵站管理范围由于家冲电灌站一级电排泵站、于家冲电灌站管理所用房、于家冲电灌站二级泵站三部分管理范围组成。</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于家冲电灌站一级电排泵站主体工程建筑物边界线管理范围取外延5米，其中出水管道、出水池以边界线外延5米。于家冲电灌站二级泵站主体工程建筑物边界线管理范围取外延2米，其中出水管道、出水池以边界线外延2米。于家冲电灌站管理所用房按建筑物轮廓线及围墙划定。</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（2）保护范围线标绘</w:t>
      </w:r>
    </w:p>
    <w:p>
      <w:pPr>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于家冲电灌站一级电排泵站主体工程保护范围</w:t>
      </w:r>
      <w:r>
        <w:rPr>
          <w:rFonts w:hint="eastAsia" w:ascii="Times New Roman" w:hAnsi="Times New Roman" w:eastAsia="仿宋_GB2312" w:cs="Times New Roman"/>
          <w:color w:val="auto"/>
          <w:sz w:val="32"/>
          <w:highlight w:val="none"/>
          <w:lang w:eastAsia="zh-CN"/>
        </w:rPr>
        <w:t>以</w:t>
      </w:r>
      <w:r>
        <w:rPr>
          <w:rFonts w:hint="default" w:ascii="Times New Roman" w:hAnsi="Times New Roman" w:eastAsia="仿宋_GB2312" w:cs="Times New Roman"/>
          <w:color w:val="auto"/>
          <w:sz w:val="32"/>
          <w:highlight w:val="none"/>
        </w:rPr>
        <w:t>建筑物边界线外延10米，于家冲电灌站二级泵站主体工程保护范围</w:t>
      </w:r>
      <w:r>
        <w:rPr>
          <w:rFonts w:hint="eastAsia" w:ascii="Times New Roman" w:hAnsi="Times New Roman" w:eastAsia="仿宋_GB2312" w:cs="Times New Roman"/>
          <w:color w:val="auto"/>
          <w:sz w:val="32"/>
          <w:highlight w:val="none"/>
          <w:lang w:eastAsia="zh-CN"/>
        </w:rPr>
        <w:t>以</w:t>
      </w:r>
      <w:r>
        <w:rPr>
          <w:rFonts w:hint="default" w:ascii="Times New Roman" w:hAnsi="Times New Roman" w:eastAsia="仿宋_GB2312" w:cs="Times New Roman"/>
          <w:color w:val="auto"/>
          <w:sz w:val="32"/>
          <w:highlight w:val="none"/>
        </w:rPr>
        <w:t>建筑物边界线外延5米划定。</w:t>
      </w:r>
    </w:p>
    <w:p>
      <w:pPr>
        <w:spacing w:line="640" w:lineRule="exact"/>
        <w:ind w:firstLine="562" w:firstLineChars="200"/>
        <w:rPr>
          <w:rFonts w:hint="default" w:ascii="Times New Roman" w:hAnsi="Times New Roman" w:eastAsia="仿宋_GB2312" w:cs="Times New Roman"/>
          <w:b/>
          <w:sz w:val="28"/>
          <w:szCs w:val="28"/>
          <w:lang w:val="en-IE"/>
        </w:rPr>
      </w:pPr>
      <w:r>
        <w:rPr>
          <w:rFonts w:hint="default" w:ascii="Times New Roman" w:hAnsi="Times New Roman" w:eastAsia="仿宋_GB2312" w:cs="Times New Roman"/>
          <w:b/>
          <w:sz w:val="28"/>
          <w:szCs w:val="28"/>
          <w:lang w:val="en-IE"/>
        </w:rPr>
        <w:t>2.喝罗滩电排泵站</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（1）管理范围线标绘</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本次喝罗滩电排管理范围由喝罗滩电排泵站、喝罗滩电排管理所用房组成。</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喝罗滩电排泵站主体工程建筑物边界线管理范围取外延5米，喝罗滩电排管理所用房按建筑物轮廓线及围墙划定。</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（2）保护范围线标绘</w:t>
      </w:r>
    </w:p>
    <w:p>
      <w:pPr>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喝罗滩电排泵站主体工程保护范围</w:t>
      </w:r>
      <w:r>
        <w:rPr>
          <w:rFonts w:hint="eastAsia" w:ascii="Times New Roman" w:hAnsi="Times New Roman" w:eastAsia="仿宋_GB2312" w:cs="Times New Roman"/>
          <w:color w:val="auto"/>
          <w:sz w:val="32"/>
          <w:highlight w:val="none"/>
          <w:lang w:eastAsia="zh-CN"/>
        </w:rPr>
        <w:t>以</w:t>
      </w:r>
      <w:r>
        <w:rPr>
          <w:rFonts w:hint="default" w:ascii="Times New Roman" w:hAnsi="Times New Roman" w:eastAsia="仿宋_GB2312" w:cs="Times New Roman"/>
          <w:color w:val="auto"/>
          <w:sz w:val="32"/>
          <w:highlight w:val="none"/>
        </w:rPr>
        <w:t>建筑物边界线外延5米划定。</w:t>
      </w:r>
    </w:p>
    <w:p>
      <w:pPr>
        <w:pStyle w:val="4"/>
        <w:keepNext/>
        <w:keepLines/>
        <w:spacing w:line="680" w:lineRule="exact"/>
        <w:ind w:firstLine="640" w:firstLineChars="200"/>
        <w:rPr>
          <w:rFonts w:hint="default" w:cstheme="minorBidi"/>
          <w:b w:val="0"/>
          <w:sz w:val="32"/>
        </w:rPr>
      </w:pPr>
      <w:r>
        <w:rPr>
          <w:rFonts w:hint="eastAsia" w:cstheme="minorBidi"/>
          <w:b w:val="0"/>
          <w:sz w:val="32"/>
          <w:lang w:val="en-US" w:eastAsia="zh-CN"/>
        </w:rPr>
        <w:t>3</w:t>
      </w:r>
      <w:r>
        <w:rPr>
          <w:rFonts w:hint="default" w:cstheme="minorBidi"/>
          <w:b w:val="0"/>
          <w:sz w:val="32"/>
        </w:rPr>
        <w:t>.</w:t>
      </w:r>
      <w:r>
        <w:rPr>
          <w:rFonts w:hint="eastAsia" w:cstheme="minorBidi"/>
          <w:b w:val="0"/>
          <w:sz w:val="32"/>
          <w:lang w:val="en-US" w:eastAsia="zh-CN"/>
        </w:rPr>
        <w:t>2</w:t>
      </w:r>
      <w:r>
        <w:rPr>
          <w:rFonts w:hint="default" w:cstheme="minorBidi"/>
          <w:b w:val="0"/>
          <w:sz w:val="32"/>
        </w:rPr>
        <w:t>.</w:t>
      </w:r>
      <w:r>
        <w:rPr>
          <w:rFonts w:hint="eastAsia" w:cstheme="minorBidi"/>
          <w:b w:val="0"/>
          <w:sz w:val="32"/>
          <w:lang w:val="en-US" w:eastAsia="zh-CN"/>
        </w:rPr>
        <w:t>4</w:t>
      </w:r>
      <w:r>
        <w:rPr>
          <w:rFonts w:hint="default" w:cstheme="minorBidi"/>
          <w:b w:val="0"/>
          <w:sz w:val="32"/>
        </w:rPr>
        <w:t>水闸</w:t>
      </w:r>
    </w:p>
    <w:p>
      <w:pPr>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1）水闸管理范围分为工程区管理范围和运行区管理范围。工程区管理范围指水闸主体工程各组成部分（包括上游连接段（翼墙）、闸室段、下游连接段（翼墙）和两岸连接建筑物等）的覆盖范围以及覆盖范围以外的一定范围，运行区管理范围是指管理单位的办公、生产、生活设施等建（构）筑物的管理范围。</w:t>
      </w:r>
    </w:p>
    <w:p>
      <w:pPr>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（2）水闸上下游翼墙末端以内为管理范围。</w:t>
      </w:r>
    </w:p>
    <w:p>
      <w:pPr>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（3）水闸主体工程建筑物覆盖范围以外两侧的管理范围可按表</w:t>
      </w:r>
      <w:r>
        <w:rPr>
          <w:rFonts w:hint="eastAsia" w:ascii="Times New Roman" w:hAnsi="Times New Roman" w:eastAsia="仿宋_GB2312" w:cs="Times New Roman"/>
          <w:color w:val="auto"/>
          <w:sz w:val="32"/>
          <w:highlight w:val="none"/>
          <w:lang w:val="en-US" w:eastAsia="zh-CN"/>
        </w:rPr>
        <w:t>3</w:t>
      </w:r>
      <w:r>
        <w:rPr>
          <w:rFonts w:hint="default" w:ascii="Times New Roman" w:hAnsi="Times New Roman" w:eastAsia="仿宋_GB2312" w:cs="Times New Roman"/>
          <w:color w:val="auto"/>
          <w:sz w:val="32"/>
          <w:highlight w:val="none"/>
        </w:rPr>
        <w:t>-</w:t>
      </w:r>
      <w:r>
        <w:rPr>
          <w:rFonts w:hint="eastAsia" w:ascii="Times New Roman" w:hAnsi="Times New Roman" w:eastAsia="仿宋_GB2312" w:cs="Times New Roman"/>
          <w:color w:val="auto"/>
          <w:sz w:val="32"/>
          <w:highlight w:val="none"/>
          <w:lang w:val="en-US" w:eastAsia="zh-CN"/>
        </w:rPr>
        <w:t>3</w:t>
      </w:r>
      <w:r>
        <w:rPr>
          <w:rFonts w:hint="default" w:ascii="Times New Roman" w:hAnsi="Times New Roman" w:eastAsia="仿宋_GB2312" w:cs="Times New Roman"/>
          <w:color w:val="auto"/>
          <w:sz w:val="32"/>
          <w:highlight w:val="none"/>
        </w:rPr>
        <w:t>控制。</w:t>
      </w:r>
    </w:p>
    <w:p>
      <w:pPr>
        <w:pStyle w:val="76"/>
        <w:ind w:firstLine="0" w:firstLineChars="0"/>
        <w:rPr>
          <w:rFonts w:hint="default"/>
        </w:rPr>
      </w:pPr>
      <w:r>
        <w:rPr>
          <w:rFonts w:hint="default"/>
        </w:rPr>
        <w:t>表</w:t>
      </w:r>
      <w:r>
        <w:rPr>
          <w:rFonts w:hint="eastAsia"/>
          <w:lang w:val="en-US" w:eastAsia="zh-CN"/>
        </w:rPr>
        <w:t>3</w:t>
      </w:r>
      <w:r>
        <w:rPr>
          <w:rFonts w:hint="default"/>
        </w:rPr>
        <w:t>-</w:t>
      </w:r>
      <w:r>
        <w:rPr>
          <w:rFonts w:hint="eastAsia"/>
          <w:lang w:val="en-US" w:eastAsia="zh-CN"/>
        </w:rPr>
        <w:t>3</w:t>
      </w:r>
      <w:r>
        <w:rPr>
          <w:rFonts w:hint="default"/>
        </w:rPr>
        <w:t xml:space="preserve">  水闸主体工程建筑物覆盖范围以外的管理范围</w:t>
      </w:r>
    </w:p>
    <w:tbl>
      <w:tblPr>
        <w:tblStyle w:val="2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9"/>
        <w:gridCol w:w="1865"/>
        <w:gridCol w:w="1865"/>
        <w:gridCol w:w="18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exact"/>
          <w:jc w:val="center"/>
        </w:trPr>
        <w:tc>
          <w:tcPr>
            <w:tcW w:w="2929" w:type="dxa"/>
            <w:vAlign w:val="center"/>
          </w:tcPr>
          <w:p>
            <w:pPr>
              <w:pStyle w:val="76"/>
              <w:ind w:left="0" w:leftChars="0" w:firstLine="0" w:firstLineChars="0"/>
              <w:jc w:val="center"/>
              <w:rPr>
                <w:rFonts w:hint="default"/>
                <w:sz w:val="22"/>
                <w:szCs w:val="22"/>
              </w:rPr>
            </w:pPr>
            <w:r>
              <w:rPr>
                <w:rFonts w:hint="default"/>
                <w:sz w:val="22"/>
                <w:szCs w:val="22"/>
              </w:rPr>
              <w:t>工程规模</w:t>
            </w:r>
          </w:p>
        </w:tc>
        <w:tc>
          <w:tcPr>
            <w:tcW w:w="1865" w:type="dxa"/>
            <w:vAlign w:val="center"/>
          </w:tcPr>
          <w:p>
            <w:pPr>
              <w:pStyle w:val="76"/>
              <w:ind w:left="0" w:leftChars="0" w:firstLine="0" w:firstLineChars="0"/>
              <w:jc w:val="center"/>
              <w:rPr>
                <w:rFonts w:hint="default"/>
                <w:sz w:val="22"/>
                <w:szCs w:val="22"/>
              </w:rPr>
            </w:pPr>
            <w:r>
              <w:rPr>
                <w:rFonts w:hint="default"/>
                <w:sz w:val="22"/>
                <w:szCs w:val="22"/>
              </w:rPr>
              <w:t>大型</w:t>
            </w:r>
          </w:p>
        </w:tc>
        <w:tc>
          <w:tcPr>
            <w:tcW w:w="1865" w:type="dxa"/>
            <w:vAlign w:val="center"/>
          </w:tcPr>
          <w:p>
            <w:pPr>
              <w:pStyle w:val="76"/>
              <w:ind w:left="0" w:leftChars="0" w:firstLine="0" w:firstLineChars="0"/>
              <w:jc w:val="center"/>
              <w:rPr>
                <w:rFonts w:hint="default"/>
                <w:sz w:val="22"/>
                <w:szCs w:val="22"/>
              </w:rPr>
            </w:pPr>
            <w:r>
              <w:rPr>
                <w:rFonts w:hint="default"/>
                <w:sz w:val="22"/>
                <w:szCs w:val="22"/>
              </w:rPr>
              <w:t>中型</w:t>
            </w:r>
          </w:p>
        </w:tc>
        <w:tc>
          <w:tcPr>
            <w:tcW w:w="1863" w:type="dxa"/>
            <w:vAlign w:val="center"/>
          </w:tcPr>
          <w:p>
            <w:pPr>
              <w:pStyle w:val="76"/>
              <w:ind w:left="0" w:leftChars="0" w:firstLine="0" w:firstLineChars="0"/>
              <w:jc w:val="center"/>
              <w:rPr>
                <w:rFonts w:hint="default"/>
                <w:sz w:val="22"/>
                <w:szCs w:val="22"/>
              </w:rPr>
            </w:pPr>
            <w:r>
              <w:rPr>
                <w:rFonts w:hint="default"/>
                <w:sz w:val="22"/>
                <w:szCs w:val="22"/>
              </w:rPr>
              <w:t>小型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exact"/>
          <w:jc w:val="center"/>
        </w:trPr>
        <w:tc>
          <w:tcPr>
            <w:tcW w:w="2929" w:type="dxa"/>
            <w:vAlign w:val="center"/>
          </w:tcPr>
          <w:p>
            <w:pPr>
              <w:pStyle w:val="22"/>
              <w:snapToGrid w:val="0"/>
              <w:spacing w:before="0" w:beforeAutospacing="0" w:after="0" w:afterAutospacing="0"/>
              <w:jc w:val="center"/>
              <w:rPr>
                <w:rFonts w:hint="default" w:ascii="Times New Roman" w:hAnsi="Times New Roman" w:cs="Times New Roman" w:eastAsiaTheme="minorEastAsia"/>
                <w:color w:val="auto"/>
                <w:kern w:val="2"/>
                <w:sz w:val="22"/>
                <w:szCs w:val="22"/>
                <w:highlight w:val="none"/>
              </w:rPr>
            </w:pPr>
            <w:r>
              <w:rPr>
                <w:rFonts w:hint="default" w:ascii="Times New Roman" w:hAnsi="Times New Roman" w:cs="Times New Roman" w:eastAsiaTheme="minorEastAsia"/>
                <w:color w:val="auto"/>
                <w:kern w:val="2"/>
                <w:sz w:val="22"/>
                <w:szCs w:val="22"/>
                <w:highlight w:val="none"/>
              </w:rPr>
              <w:t>两侧边界以外的宽度（m）</w:t>
            </w:r>
          </w:p>
        </w:tc>
        <w:tc>
          <w:tcPr>
            <w:tcW w:w="1865" w:type="dxa"/>
            <w:vAlign w:val="center"/>
          </w:tcPr>
          <w:p>
            <w:pPr>
              <w:pStyle w:val="22"/>
              <w:snapToGrid w:val="0"/>
              <w:spacing w:before="0" w:beforeAutospacing="0" w:after="0" w:afterAutospacing="0"/>
              <w:jc w:val="center"/>
              <w:rPr>
                <w:rFonts w:hint="default" w:ascii="Times New Roman" w:hAnsi="Times New Roman" w:cs="Times New Roman" w:eastAsiaTheme="minorEastAsia"/>
                <w:color w:val="auto"/>
                <w:kern w:val="2"/>
                <w:sz w:val="22"/>
                <w:szCs w:val="22"/>
                <w:highlight w:val="none"/>
              </w:rPr>
            </w:pPr>
            <w:r>
              <w:rPr>
                <w:rFonts w:hint="default" w:ascii="Times New Roman" w:hAnsi="Times New Roman" w:cs="Times New Roman" w:eastAsiaTheme="minorEastAsia"/>
                <w:color w:val="auto"/>
                <w:kern w:val="2"/>
                <w:sz w:val="22"/>
                <w:szCs w:val="22"/>
                <w:highlight w:val="none"/>
              </w:rPr>
              <w:t>单侧40～100</w:t>
            </w:r>
          </w:p>
        </w:tc>
        <w:tc>
          <w:tcPr>
            <w:tcW w:w="1865" w:type="dxa"/>
            <w:vAlign w:val="center"/>
          </w:tcPr>
          <w:p>
            <w:pPr>
              <w:pStyle w:val="22"/>
              <w:snapToGrid w:val="0"/>
              <w:spacing w:before="0" w:beforeAutospacing="0" w:after="0" w:afterAutospacing="0"/>
              <w:jc w:val="center"/>
              <w:rPr>
                <w:rFonts w:hint="default" w:ascii="Times New Roman" w:hAnsi="Times New Roman" w:cs="Times New Roman" w:eastAsiaTheme="minorEastAsia"/>
                <w:color w:val="auto"/>
                <w:kern w:val="2"/>
                <w:sz w:val="22"/>
                <w:szCs w:val="22"/>
                <w:highlight w:val="none"/>
              </w:rPr>
            </w:pPr>
            <w:r>
              <w:rPr>
                <w:rFonts w:hint="default" w:ascii="Times New Roman" w:hAnsi="Times New Roman" w:cs="Times New Roman" w:eastAsiaTheme="minorEastAsia"/>
                <w:color w:val="auto"/>
                <w:kern w:val="2"/>
                <w:sz w:val="22"/>
                <w:szCs w:val="22"/>
                <w:highlight w:val="none"/>
              </w:rPr>
              <w:t>单侧20～40</w:t>
            </w:r>
          </w:p>
        </w:tc>
        <w:tc>
          <w:tcPr>
            <w:tcW w:w="1863" w:type="dxa"/>
            <w:vAlign w:val="center"/>
          </w:tcPr>
          <w:p>
            <w:pPr>
              <w:pStyle w:val="22"/>
              <w:snapToGrid w:val="0"/>
              <w:spacing w:before="0" w:beforeAutospacing="0" w:after="0" w:afterAutospacing="0"/>
              <w:jc w:val="center"/>
              <w:rPr>
                <w:rFonts w:hint="default" w:ascii="Times New Roman" w:hAnsi="Times New Roman" w:cs="Times New Roman" w:eastAsiaTheme="minorEastAsia"/>
                <w:color w:val="auto"/>
                <w:kern w:val="2"/>
                <w:sz w:val="22"/>
                <w:szCs w:val="22"/>
                <w:highlight w:val="none"/>
              </w:rPr>
            </w:pPr>
            <w:r>
              <w:rPr>
                <w:rFonts w:hint="default" w:ascii="Times New Roman" w:hAnsi="Times New Roman" w:cs="Times New Roman" w:eastAsiaTheme="minorEastAsia"/>
                <w:color w:val="auto"/>
                <w:kern w:val="2"/>
                <w:sz w:val="22"/>
                <w:szCs w:val="22"/>
                <w:highlight w:val="none"/>
              </w:rPr>
              <w:t>单侧10～20</w:t>
            </w:r>
          </w:p>
        </w:tc>
      </w:tr>
    </w:tbl>
    <w:p>
      <w:pPr>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（4）已完成征地的水闸，如果征地范围线与上述管理范围线划定规则基本符合，管理范围线以征地范围线为准。</w:t>
      </w:r>
    </w:p>
    <w:p>
      <w:pPr>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（5）运行区按其征地范围线或围墙外边线划定管理范围。</w:t>
      </w:r>
    </w:p>
    <w:p>
      <w:pPr>
        <w:spacing w:line="640" w:lineRule="exact"/>
        <w:ind w:firstLine="562" w:firstLineChars="200"/>
        <w:rPr>
          <w:rFonts w:hint="default" w:ascii="Times New Roman" w:hAnsi="Times New Roman" w:eastAsia="仿宋_GB2312" w:cs="Times New Roman"/>
          <w:b/>
          <w:sz w:val="28"/>
          <w:szCs w:val="28"/>
          <w:lang w:val="en-IE"/>
        </w:rPr>
      </w:pPr>
      <w:r>
        <w:rPr>
          <w:rFonts w:hint="default" w:ascii="Times New Roman" w:hAnsi="Times New Roman" w:eastAsia="仿宋_GB2312" w:cs="Times New Roman"/>
          <w:b/>
          <w:sz w:val="28"/>
          <w:szCs w:val="28"/>
          <w:lang w:val="en-IE"/>
        </w:rPr>
        <w:t>1.白茅滩河坝水闸</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（1）管理范围线标绘</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白茅滩河坝水闸为中型水闸，河湖划界界线至水闸两侧均大于40米，则水闸两侧管理范围依河湖划界划定。且上下游两岸均无护岸，为了有利于水闸管理运行，上下游管理范围以水闸坝轴线延伸100米划定。</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（2）保护范围线标绘</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白茅滩河坝水闸为中型水闸，本次划界保护范围将水闸工程区管理范围边界上下游及两侧向外延伸100米，超过分水岭的以分水岭为界。运行区已包含在保护范围内，不再另行划定。</w:t>
      </w:r>
    </w:p>
    <w:p>
      <w:pPr>
        <w:spacing w:line="640" w:lineRule="exact"/>
        <w:ind w:firstLine="562" w:firstLineChars="200"/>
        <w:rPr>
          <w:rFonts w:hint="default" w:ascii="Times New Roman" w:hAnsi="Times New Roman" w:eastAsia="仿宋_GB2312" w:cs="Times New Roman"/>
          <w:b/>
          <w:sz w:val="28"/>
          <w:szCs w:val="28"/>
          <w:lang w:val="en-IE"/>
        </w:rPr>
      </w:pPr>
      <w:r>
        <w:rPr>
          <w:rFonts w:hint="default" w:ascii="Times New Roman" w:hAnsi="Times New Roman" w:eastAsia="仿宋_GB2312" w:cs="Times New Roman"/>
          <w:b/>
          <w:sz w:val="28"/>
          <w:szCs w:val="28"/>
          <w:lang w:val="en-IE"/>
        </w:rPr>
        <w:t>2.豹虎龙水闸</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（1）管理范围线标绘</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豹虎龙水闸为大型水闸，水闸左岸河湖划界界线至水闸左侧大于40米，则水闸左侧管理范围依河湖划界划定，超过分水岭的，划至分水岭上。右侧以水电站厂区围墙及水电站进场公路征地范围为界。且上下游两岸均无护岸，为了有利于水闸管理运行，上下游管理范围以水闸坝轴线延伸300米划定。</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（2）保护范围线标绘</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本次划界保护范围将水闸工程区管理范围边界上下游及两侧向外延伸150米后，右岸保护范围线超过分水岭时，以分水岭为界。运行区已包含在保护范围内，不再另行划定。</w:t>
      </w:r>
    </w:p>
    <w:p>
      <w:pPr>
        <w:spacing w:line="640" w:lineRule="exact"/>
        <w:ind w:firstLine="562" w:firstLineChars="200"/>
        <w:rPr>
          <w:rFonts w:hint="default" w:ascii="Times New Roman" w:hAnsi="Times New Roman" w:eastAsia="仿宋_GB2312" w:cs="Times New Roman"/>
          <w:b/>
          <w:sz w:val="28"/>
          <w:szCs w:val="28"/>
          <w:lang w:val="en-IE"/>
        </w:rPr>
      </w:pPr>
      <w:r>
        <w:rPr>
          <w:rFonts w:hint="default" w:ascii="Times New Roman" w:hAnsi="Times New Roman" w:eastAsia="仿宋_GB2312" w:cs="Times New Roman"/>
          <w:b/>
          <w:sz w:val="28"/>
          <w:szCs w:val="28"/>
          <w:lang w:val="en-IE"/>
        </w:rPr>
        <w:t>3.大忠坝水闸</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（1）管理范围线标绘</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大忠坝水闸为中型水闸，水闸两侧管理范围外延20米划定，上下游两岸以护岸末端内为管理范围，水闸管理用房以其围墙范围划定。</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（2）保护范围线标绘</w:t>
      </w:r>
    </w:p>
    <w:p>
      <w:pPr>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本次划界保护范围将水闸工程区管理范围边界上下游及两侧向外延伸100米。运行区保护范围已包含在保护范围内，不再另行划定。</w:t>
      </w:r>
    </w:p>
    <w:p>
      <w:pPr>
        <w:spacing w:line="640" w:lineRule="exact"/>
        <w:ind w:firstLine="562" w:firstLineChars="200"/>
        <w:rPr>
          <w:rFonts w:hint="default" w:ascii="Times New Roman" w:hAnsi="Times New Roman" w:eastAsia="仿宋_GB2312" w:cs="Times New Roman"/>
          <w:b/>
          <w:sz w:val="28"/>
          <w:szCs w:val="28"/>
          <w:lang w:val="en-IE"/>
        </w:rPr>
      </w:pPr>
      <w:r>
        <w:rPr>
          <w:rFonts w:hint="default" w:ascii="Times New Roman" w:hAnsi="Times New Roman" w:eastAsia="仿宋_GB2312" w:cs="Times New Roman"/>
          <w:b/>
          <w:sz w:val="28"/>
          <w:szCs w:val="28"/>
          <w:lang w:val="en-IE"/>
        </w:rPr>
        <w:t>4.花柳河坝水闸</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（1）管理范围线标绘</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花柳河坝水闸为中型水闸，河湖划界界线至水闸两侧均大于40米，则水闸两侧管理范围依河湖划界划定。且上下游两岸均无护岸，为了有利于水闸管理运行，上下游管理范围以水闸坝轴线延伸100米划定。水闸管理用房以其围墙范围划定。</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（2）保护范围线标绘</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本次划界保护范围将水闸工程区管理范围边界上下游及两侧向外延伸100米。运行区保护范围已包含在保护范围内，不再另行划定。</w:t>
      </w:r>
    </w:p>
    <w:p>
      <w:pPr>
        <w:spacing w:line="640" w:lineRule="exact"/>
        <w:ind w:firstLine="562" w:firstLineChars="200"/>
        <w:rPr>
          <w:rFonts w:hint="default" w:ascii="Times New Roman" w:hAnsi="Times New Roman" w:eastAsia="仿宋_GB2312" w:cs="Times New Roman"/>
          <w:b/>
          <w:sz w:val="28"/>
          <w:szCs w:val="28"/>
          <w:lang w:val="en-IE"/>
        </w:rPr>
      </w:pPr>
      <w:r>
        <w:rPr>
          <w:rFonts w:hint="default" w:ascii="Times New Roman" w:hAnsi="Times New Roman" w:eastAsia="仿宋_GB2312" w:cs="Times New Roman"/>
          <w:b/>
          <w:sz w:val="28"/>
          <w:szCs w:val="28"/>
          <w:lang w:val="en-IE"/>
        </w:rPr>
        <w:t>5.黄袍岭水闸</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（1）管理范围线标绘</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黄袍岭水闸为中型水闸，河湖划界界线至水闸两侧均大于40米，则水闸两侧管理范围依河湖划界划定。且上下游两岸均无护岸，为了有利于水闸管理运行，上下游管理范围以水闸坝轴线延伸100米划定。水闸管理用房以其围墙范围划定。</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（2）保护范围线标绘</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本次划界保护范围将水闸工程区管理范围边界上下游及两侧向外延伸100米划定。左岸保护范围线超过分水岭时，以分水岭为界。水闸管理用房已包含在水闸管理范围内，不再另行划定。</w:t>
      </w:r>
    </w:p>
    <w:p>
      <w:pPr>
        <w:spacing w:line="640" w:lineRule="exact"/>
        <w:ind w:firstLine="562" w:firstLineChars="200"/>
        <w:rPr>
          <w:rFonts w:hint="default" w:ascii="Times New Roman" w:hAnsi="Times New Roman" w:eastAsia="仿宋_GB2312" w:cs="Times New Roman"/>
          <w:b/>
          <w:sz w:val="28"/>
          <w:szCs w:val="28"/>
          <w:lang w:val="en-IE"/>
        </w:rPr>
      </w:pPr>
      <w:r>
        <w:rPr>
          <w:rFonts w:hint="default" w:ascii="Times New Roman" w:hAnsi="Times New Roman" w:eastAsia="仿宋_GB2312" w:cs="Times New Roman"/>
          <w:b/>
          <w:sz w:val="28"/>
          <w:szCs w:val="28"/>
          <w:lang w:val="en-IE"/>
        </w:rPr>
        <w:t>6.老屋冲河坝水闸</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（1）管理范围线标绘</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老屋冲河坝水闸为大型水闸，水闸左右岸两侧外扩50米划定管理范围。由于该水闸上下游两岸均无护岸，为了有利于水闸管理运行，上下游管理范围以水闸坝轴线延伸300米划定。</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老屋冲河坝水闸管理所用房按建筑物轮廓线及围墙划定。</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（2）保护范围线标绘</w:t>
      </w:r>
    </w:p>
    <w:p>
      <w:pPr>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老屋冲河坝水闸为大型水闸，本次划界保护范围将水闸工程区管理范围边界上下游及两侧向外延伸150米。运行区保护范围已包含在保护范围内，不再另行划定。</w:t>
      </w:r>
    </w:p>
    <w:p>
      <w:pPr>
        <w:spacing w:line="640" w:lineRule="exact"/>
        <w:ind w:firstLine="562" w:firstLineChars="200"/>
        <w:rPr>
          <w:rFonts w:hint="default" w:ascii="Times New Roman" w:hAnsi="Times New Roman" w:eastAsia="仿宋_GB2312" w:cs="Times New Roman"/>
          <w:b/>
          <w:sz w:val="28"/>
          <w:szCs w:val="28"/>
          <w:lang w:val="en-IE"/>
        </w:rPr>
      </w:pPr>
      <w:r>
        <w:rPr>
          <w:rFonts w:hint="default" w:ascii="Times New Roman" w:hAnsi="Times New Roman" w:eastAsia="仿宋_GB2312" w:cs="Times New Roman"/>
          <w:b/>
          <w:sz w:val="28"/>
          <w:szCs w:val="28"/>
          <w:lang w:val="en-IE"/>
        </w:rPr>
        <w:t>7.冷水江河坝水闸</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（1）管理范围线标绘</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冷水江河坝水闸为中型水闸，河湖划界界线至水闸两侧均大于40米，则水闸两侧管理范围依河湖划界划定。且上下游两岸均无护岸，为了有利于水闸管理运行，上游管理范围以水闸坝轴线延伸100米划定，下游以水闸坝轴线延伸150米划定。水闸管理用房以其围墙范围划定。</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szCs w:val="32"/>
          <w:highlight w:val="none"/>
        </w:rPr>
        <w:t>（2）</w:t>
      </w:r>
      <w:r>
        <w:rPr>
          <w:rFonts w:hint="default" w:ascii="Times New Roman" w:hAnsi="Times New Roman" w:eastAsia="仿宋_GB2312" w:cs="Times New Roman"/>
          <w:color w:val="auto"/>
          <w:sz w:val="32"/>
          <w:highlight w:val="none"/>
        </w:rPr>
        <w:t>保护范围线标绘</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冷水江河坝水闸为中型水闸，本次划界保护范围将水闸工程区管理范围边界上下游及两侧向外延伸100米。运行区保护范围已包含在保护范围内，不再另行划定。</w:t>
      </w:r>
    </w:p>
    <w:p>
      <w:pPr>
        <w:spacing w:line="640" w:lineRule="exact"/>
        <w:ind w:firstLine="562" w:firstLineChars="200"/>
        <w:rPr>
          <w:rFonts w:hint="default" w:ascii="Times New Roman" w:hAnsi="Times New Roman" w:eastAsia="仿宋_GB2312" w:cs="Times New Roman"/>
          <w:b/>
          <w:sz w:val="28"/>
          <w:szCs w:val="28"/>
          <w:lang w:val="en-IE"/>
        </w:rPr>
      </w:pPr>
      <w:r>
        <w:rPr>
          <w:rFonts w:hint="default" w:ascii="Times New Roman" w:hAnsi="Times New Roman" w:eastAsia="仿宋_GB2312" w:cs="Times New Roman"/>
          <w:b/>
          <w:sz w:val="28"/>
          <w:szCs w:val="28"/>
          <w:lang w:val="en-IE"/>
        </w:rPr>
        <w:t>8.人民灌区分洪闸</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szCs w:val="32"/>
          <w:highlight w:val="none"/>
        </w:rPr>
        <w:t>（1）</w:t>
      </w:r>
      <w:r>
        <w:rPr>
          <w:rFonts w:hint="default" w:ascii="Times New Roman" w:hAnsi="Times New Roman" w:eastAsia="仿宋_GB2312" w:cs="Times New Roman"/>
          <w:color w:val="auto"/>
          <w:sz w:val="32"/>
          <w:highlight w:val="none"/>
        </w:rPr>
        <w:t>管理范围线标绘</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人民灌区分洪闸属于</w:t>
      </w:r>
      <w:r>
        <w:rPr>
          <w:rFonts w:hint="eastAsia" w:ascii="Times New Roman" w:hAnsi="Times New Roman" w:eastAsia="仿宋_GB2312" w:cs="Times New Roman"/>
          <w:color w:val="auto"/>
          <w:sz w:val="32"/>
          <w:highlight w:val="none"/>
          <w:lang w:eastAsia="zh-CN"/>
        </w:rPr>
        <w:t>祁阳市</w:t>
      </w:r>
      <w:r>
        <w:rPr>
          <w:rFonts w:hint="default" w:ascii="Times New Roman" w:hAnsi="Times New Roman" w:eastAsia="仿宋_GB2312" w:cs="Times New Roman"/>
          <w:color w:val="auto"/>
          <w:sz w:val="32"/>
          <w:highlight w:val="none"/>
        </w:rPr>
        <w:t>人民电站管理，其枢纽工程包括水闸、电站发电站、电站进出水渠道、电站管理用房等。本次划界将水闸右岸上下游护坡外延20米划定，右岸连接段以堤脚线外延20米划定。的始端至右岸下游末端以内划定为工程管理范围。进出水渠道、电站厂区、及人民灌区分洪闸管理所用房按征地红线及围墙划定，其中2座人工湖按109.4米蓄水位划定。</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szCs w:val="32"/>
          <w:highlight w:val="none"/>
        </w:rPr>
        <w:t>（2）</w:t>
      </w:r>
      <w:r>
        <w:rPr>
          <w:rFonts w:hint="default" w:ascii="Times New Roman" w:hAnsi="Times New Roman" w:eastAsia="仿宋_GB2312" w:cs="Times New Roman"/>
          <w:color w:val="auto"/>
          <w:sz w:val="32"/>
          <w:highlight w:val="none"/>
        </w:rPr>
        <w:t>保护范围线标绘</w:t>
      </w:r>
    </w:p>
    <w:p>
      <w:pPr>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人民灌区分洪闸为中型水闸，本次划界保护范围将水闸工程区管理范围边界上下游及两侧向外延伸100米。进出水渠道以管理范围边界外延5米划定。人工湖以管理范围边界外延20米划定。</w:t>
      </w:r>
    </w:p>
    <w:p>
      <w:pPr>
        <w:spacing w:line="640" w:lineRule="exact"/>
        <w:ind w:firstLine="562" w:firstLineChars="200"/>
        <w:rPr>
          <w:rFonts w:hint="default" w:ascii="Times New Roman" w:hAnsi="Times New Roman" w:eastAsia="仿宋_GB2312" w:cs="Times New Roman"/>
          <w:b/>
          <w:sz w:val="28"/>
          <w:szCs w:val="28"/>
          <w:lang w:val="en-IE"/>
        </w:rPr>
      </w:pPr>
      <w:r>
        <w:rPr>
          <w:rFonts w:hint="default" w:ascii="Times New Roman" w:hAnsi="Times New Roman" w:eastAsia="仿宋_GB2312" w:cs="Times New Roman"/>
          <w:b/>
          <w:sz w:val="28"/>
          <w:szCs w:val="28"/>
          <w:lang w:val="en-IE"/>
        </w:rPr>
        <w:t>9.双江口河坝水闸</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szCs w:val="32"/>
          <w:highlight w:val="none"/>
        </w:rPr>
        <w:t>（1）</w:t>
      </w:r>
      <w:r>
        <w:rPr>
          <w:rFonts w:hint="default" w:ascii="Times New Roman" w:hAnsi="Times New Roman" w:eastAsia="仿宋_GB2312" w:cs="Times New Roman"/>
          <w:color w:val="auto"/>
          <w:sz w:val="32"/>
          <w:highlight w:val="none"/>
        </w:rPr>
        <w:t>管理范围线标绘</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双江口河坝水闸为中型水闸，河湖划界界线至水闸两侧均大于40米，则水闸两侧管理范围依河湖划界划定。且上下游两岸均无护岸，为了有利于水闸管理运行，上下游管理范围以水闸坝轴线延伸100米划定。水闸管理用房以其围墙范围划定。</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szCs w:val="32"/>
          <w:highlight w:val="none"/>
        </w:rPr>
        <w:t>（2）</w:t>
      </w:r>
      <w:r>
        <w:rPr>
          <w:rFonts w:hint="default" w:ascii="Times New Roman" w:hAnsi="Times New Roman" w:eastAsia="仿宋_GB2312" w:cs="Times New Roman"/>
          <w:color w:val="auto"/>
          <w:sz w:val="32"/>
          <w:highlight w:val="none"/>
        </w:rPr>
        <w:t>保护范围线标绘</w:t>
      </w:r>
    </w:p>
    <w:p>
      <w:pPr>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本次划界保护范围将水闸工程区管理范围边界上下游及两侧向外延伸100米。运行区保护范围已包含在保护范围内，不再另行划定。</w:t>
      </w:r>
    </w:p>
    <w:p>
      <w:pPr>
        <w:ind w:firstLine="640" w:firstLineChars="200"/>
        <w:rPr>
          <w:rFonts w:hint="default" w:ascii="Times New Roman" w:hAnsi="Times New Roman" w:eastAsia="仿宋_GB2312" w:cs="Times New Roman"/>
          <w:color w:val="auto"/>
          <w:sz w:val="32"/>
          <w:highlight w:val="none"/>
        </w:rPr>
      </w:pPr>
    </w:p>
    <w:p>
      <w:pPr>
        <w:ind w:firstLine="640" w:firstLineChars="200"/>
        <w:rPr>
          <w:rFonts w:hint="default" w:ascii="Times New Roman" w:hAnsi="Times New Roman" w:eastAsia="仿宋_GB2312" w:cs="Times New Roman"/>
          <w:color w:val="auto"/>
          <w:sz w:val="32"/>
          <w:highlight w:val="none"/>
        </w:rPr>
      </w:pPr>
    </w:p>
    <w:p>
      <w:pPr>
        <w:ind w:firstLine="640" w:firstLineChars="200"/>
        <w:rPr>
          <w:rFonts w:hint="default" w:ascii="Times New Roman" w:hAnsi="Times New Roman" w:eastAsia="仿宋_GB2312" w:cs="Times New Roman"/>
          <w:color w:val="auto"/>
          <w:sz w:val="32"/>
          <w:highlight w:val="none"/>
        </w:rPr>
      </w:pPr>
    </w:p>
    <w:p>
      <w:pPr>
        <w:spacing w:line="640" w:lineRule="exact"/>
        <w:ind w:firstLine="562" w:firstLineChars="200"/>
        <w:rPr>
          <w:rFonts w:hint="default" w:ascii="Times New Roman" w:hAnsi="Times New Roman" w:eastAsia="仿宋_GB2312" w:cs="Times New Roman"/>
          <w:b/>
          <w:sz w:val="28"/>
          <w:szCs w:val="28"/>
          <w:lang w:val="en-IE"/>
        </w:rPr>
      </w:pPr>
      <w:r>
        <w:rPr>
          <w:rFonts w:hint="default" w:ascii="Times New Roman" w:hAnsi="Times New Roman" w:eastAsia="仿宋_GB2312" w:cs="Times New Roman"/>
          <w:b/>
          <w:sz w:val="28"/>
          <w:szCs w:val="28"/>
          <w:lang w:val="en-IE"/>
        </w:rPr>
        <w:t>10.杨家湾河坝水闸</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szCs w:val="32"/>
          <w:highlight w:val="none"/>
        </w:rPr>
        <w:t>（1）</w:t>
      </w:r>
      <w:r>
        <w:rPr>
          <w:rFonts w:hint="default" w:ascii="Times New Roman" w:hAnsi="Times New Roman" w:eastAsia="仿宋_GB2312" w:cs="Times New Roman"/>
          <w:color w:val="auto"/>
          <w:sz w:val="32"/>
          <w:highlight w:val="none"/>
        </w:rPr>
        <w:t>管理范围线标绘</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杨家湾河坝水闸由水闸、水电站组成，水电站以进出水渠道的渠堤外坡脚线为管理范围，水电站厂房按建筑物轮廓线及围墙划定。水闸左岸按上下游护岸外扩20米划定管理范围。杨家湾河坝水闸管理所用房按建筑物轮廓线及围墙划定。为了有利于水闸管理运行，上下游管理范围以水闸坝轴线延伸100米划定。</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szCs w:val="32"/>
          <w:highlight w:val="none"/>
        </w:rPr>
        <w:t>（2）</w:t>
      </w:r>
      <w:r>
        <w:rPr>
          <w:rFonts w:hint="default" w:ascii="Times New Roman" w:hAnsi="Times New Roman" w:eastAsia="仿宋_GB2312" w:cs="Times New Roman"/>
          <w:color w:val="auto"/>
          <w:sz w:val="32"/>
          <w:highlight w:val="none"/>
        </w:rPr>
        <w:t>保护范围线标绘</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杨家湾河坝水闸为中型水闸，本次划界保护范围将水闸工程区管理范围边界上下游及两侧向外延伸100米。</w:t>
      </w:r>
    </w:p>
    <w:p>
      <w:pPr>
        <w:pStyle w:val="3"/>
        <w:spacing w:line="680" w:lineRule="exact"/>
        <w:ind w:firstLine="643" w:firstLineChars="200"/>
        <w:jc w:val="both"/>
        <w:rPr>
          <w:rFonts w:hint="default" w:eastAsia="楷体_GB2312"/>
          <w:sz w:val="32"/>
        </w:rPr>
      </w:pPr>
      <w:bookmarkStart w:id="24" w:name="_Toc60738512"/>
      <w:bookmarkStart w:id="25" w:name="_Toc28336"/>
      <w:r>
        <w:rPr>
          <w:rFonts w:hint="eastAsia" w:eastAsia="楷体_GB2312"/>
          <w:sz w:val="32"/>
          <w:lang w:val="en-US" w:eastAsia="zh-CN"/>
        </w:rPr>
        <w:t>3</w:t>
      </w:r>
      <w:r>
        <w:rPr>
          <w:rFonts w:hint="default" w:eastAsia="楷体_GB2312"/>
          <w:sz w:val="32"/>
        </w:rPr>
        <w:t>.</w:t>
      </w:r>
      <w:r>
        <w:rPr>
          <w:rFonts w:hint="eastAsia" w:eastAsia="楷体_GB2312"/>
          <w:sz w:val="32"/>
          <w:lang w:val="en-US" w:eastAsia="zh-CN"/>
        </w:rPr>
        <w:t>3</w:t>
      </w:r>
      <w:r>
        <w:rPr>
          <w:rFonts w:hint="default" w:eastAsia="楷体_GB2312"/>
          <w:sz w:val="32"/>
        </w:rPr>
        <w:t xml:space="preserve"> 电子桩和电子告示牌布设</w:t>
      </w:r>
      <w:bookmarkEnd w:id="24"/>
      <w:bookmarkEnd w:id="25"/>
    </w:p>
    <w:p>
      <w:pPr>
        <w:pStyle w:val="4"/>
        <w:keepNext/>
        <w:keepLines/>
        <w:spacing w:line="680" w:lineRule="exact"/>
        <w:ind w:firstLine="640" w:firstLineChars="200"/>
        <w:rPr>
          <w:rFonts w:hint="default" w:ascii="Times New Roman" w:hAnsi="Times New Roman" w:cs="Times New Roman"/>
          <w:b w:val="0"/>
          <w:color w:val="auto"/>
          <w:sz w:val="32"/>
          <w:highlight w:val="none"/>
        </w:rPr>
      </w:pPr>
      <w:bookmarkStart w:id="26" w:name="_Toc60738513"/>
      <w:r>
        <w:rPr>
          <w:rFonts w:hint="eastAsia" w:cs="Times New Roman"/>
          <w:b w:val="0"/>
          <w:color w:val="auto"/>
          <w:sz w:val="32"/>
          <w:highlight w:val="none"/>
          <w:lang w:val="en-US" w:eastAsia="zh-CN"/>
        </w:rPr>
        <w:t>3</w:t>
      </w:r>
      <w:r>
        <w:rPr>
          <w:rFonts w:hint="default" w:ascii="Times New Roman" w:hAnsi="Times New Roman" w:cs="Times New Roman"/>
          <w:b w:val="0"/>
          <w:color w:val="auto"/>
          <w:sz w:val="32"/>
          <w:highlight w:val="none"/>
        </w:rPr>
        <w:t>.</w:t>
      </w:r>
      <w:r>
        <w:rPr>
          <w:rFonts w:hint="eastAsia" w:cs="Times New Roman"/>
          <w:b w:val="0"/>
          <w:color w:val="auto"/>
          <w:sz w:val="32"/>
          <w:highlight w:val="none"/>
          <w:lang w:val="en-US" w:eastAsia="zh-CN"/>
        </w:rPr>
        <w:t>3</w:t>
      </w:r>
      <w:r>
        <w:rPr>
          <w:rFonts w:hint="default" w:ascii="Times New Roman" w:hAnsi="Times New Roman" w:cs="Times New Roman"/>
          <w:b w:val="0"/>
          <w:color w:val="auto"/>
          <w:sz w:val="32"/>
          <w:highlight w:val="none"/>
        </w:rPr>
        <w:t>.1 电子桩和电子告示牌布设总体原则</w:t>
      </w:r>
      <w:bookmarkEnd w:id="26"/>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（1）电子界桩布设总体原则</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1）布设界桩时以能控制水利工程管理与保护范围边界的基本走向为原则。</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2）工程临水侧不布设管理与保护范围界桩。</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（2）电子告示牌布设总体原则</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1）水利工程管理范围线的起点、终点各设一个告示牌，起点、终点之间设置的告示牌间距小于3km。</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2）水利工程保护范围线的起点、终点各设一个告示牌，起点、终点之间设置的告示牌间距小于6km。</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3）堤防工程的临水侧不布设管理与保护范围告示牌。</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4）在下列情况设置电子告示牌：</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fldChar w:fldCharType="begin"/>
      </w:r>
      <w:r>
        <w:rPr>
          <w:rFonts w:hint="default" w:ascii="Times New Roman" w:hAnsi="Times New Roman" w:eastAsia="仿宋_GB2312" w:cs="Times New Roman"/>
          <w:color w:val="auto"/>
          <w:sz w:val="32"/>
          <w:highlight w:val="none"/>
        </w:rPr>
        <w:instrText xml:space="preserve"> = 1 \* GB3 </w:instrText>
      </w:r>
      <w:r>
        <w:rPr>
          <w:rFonts w:hint="default" w:ascii="Times New Roman" w:hAnsi="Times New Roman" w:eastAsia="仿宋_GB2312" w:cs="Times New Roman"/>
          <w:color w:val="auto"/>
          <w:sz w:val="32"/>
          <w:highlight w:val="none"/>
        </w:rPr>
        <w:fldChar w:fldCharType="separate"/>
      </w:r>
      <w:r>
        <w:rPr>
          <w:rFonts w:hint="default" w:ascii="Times New Roman" w:hAnsi="Times New Roman" w:eastAsia="仿宋_GB2312" w:cs="Times New Roman"/>
          <w:color w:val="auto"/>
          <w:sz w:val="32"/>
          <w:highlight w:val="none"/>
        </w:rPr>
        <w:t>①</w:t>
      </w:r>
      <w:r>
        <w:rPr>
          <w:rFonts w:hint="default" w:ascii="Times New Roman" w:hAnsi="Times New Roman" w:eastAsia="仿宋_GB2312" w:cs="Times New Roman"/>
          <w:color w:val="auto"/>
          <w:sz w:val="32"/>
          <w:highlight w:val="none"/>
        </w:rPr>
        <w:fldChar w:fldCharType="end"/>
      </w:r>
      <w:r>
        <w:rPr>
          <w:rFonts w:hint="default" w:ascii="Times New Roman" w:hAnsi="Times New Roman" w:eastAsia="仿宋_GB2312" w:cs="Times New Roman"/>
          <w:color w:val="auto"/>
          <w:sz w:val="32"/>
          <w:highlight w:val="none"/>
        </w:rPr>
        <w:t>穿越城镇规划区上、下游；</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fldChar w:fldCharType="begin"/>
      </w:r>
      <w:r>
        <w:rPr>
          <w:rFonts w:hint="default" w:ascii="Times New Roman" w:hAnsi="Times New Roman" w:eastAsia="仿宋_GB2312" w:cs="Times New Roman"/>
          <w:color w:val="auto"/>
          <w:sz w:val="32"/>
          <w:highlight w:val="none"/>
        </w:rPr>
        <w:instrText xml:space="preserve"> = 2 \* GB3 </w:instrText>
      </w:r>
      <w:r>
        <w:rPr>
          <w:rFonts w:hint="default" w:ascii="Times New Roman" w:hAnsi="Times New Roman" w:eastAsia="仿宋_GB2312" w:cs="Times New Roman"/>
          <w:color w:val="auto"/>
          <w:sz w:val="32"/>
          <w:highlight w:val="none"/>
        </w:rPr>
        <w:fldChar w:fldCharType="separate"/>
      </w:r>
      <w:r>
        <w:rPr>
          <w:rFonts w:hint="default" w:ascii="Times New Roman" w:hAnsi="Times New Roman" w:eastAsia="仿宋_GB2312" w:cs="Times New Roman"/>
          <w:color w:val="auto"/>
          <w:sz w:val="32"/>
          <w:highlight w:val="none"/>
        </w:rPr>
        <w:t>②</w:t>
      </w:r>
      <w:r>
        <w:rPr>
          <w:rFonts w:hint="default" w:ascii="Times New Roman" w:hAnsi="Times New Roman" w:eastAsia="仿宋_GB2312" w:cs="Times New Roman"/>
          <w:color w:val="auto"/>
          <w:sz w:val="32"/>
          <w:highlight w:val="none"/>
        </w:rPr>
        <w:fldChar w:fldCharType="end"/>
      </w:r>
      <w:r>
        <w:rPr>
          <w:rFonts w:hint="default" w:ascii="Times New Roman" w:hAnsi="Times New Roman" w:eastAsia="仿宋_GB2312" w:cs="Times New Roman"/>
          <w:color w:val="auto"/>
          <w:sz w:val="32"/>
          <w:highlight w:val="none"/>
        </w:rPr>
        <w:t>水利工程重要的下水通道、取水口、电站等；</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fldChar w:fldCharType="begin"/>
      </w:r>
      <w:r>
        <w:rPr>
          <w:rFonts w:hint="default" w:ascii="Times New Roman" w:hAnsi="Times New Roman" w:eastAsia="仿宋_GB2312" w:cs="Times New Roman"/>
          <w:color w:val="auto"/>
          <w:sz w:val="32"/>
          <w:highlight w:val="none"/>
        </w:rPr>
        <w:instrText xml:space="preserve"> = 3 \* GB3 </w:instrText>
      </w:r>
      <w:r>
        <w:rPr>
          <w:rFonts w:hint="default" w:ascii="Times New Roman" w:hAnsi="Times New Roman" w:eastAsia="仿宋_GB2312" w:cs="Times New Roman"/>
          <w:color w:val="auto"/>
          <w:sz w:val="32"/>
          <w:highlight w:val="none"/>
        </w:rPr>
        <w:fldChar w:fldCharType="separate"/>
      </w:r>
      <w:r>
        <w:rPr>
          <w:rFonts w:hint="default" w:ascii="Times New Roman" w:hAnsi="Times New Roman" w:eastAsia="仿宋_GB2312" w:cs="Times New Roman"/>
          <w:color w:val="auto"/>
          <w:sz w:val="32"/>
          <w:highlight w:val="none"/>
        </w:rPr>
        <w:t>③</w:t>
      </w:r>
      <w:r>
        <w:rPr>
          <w:rFonts w:hint="default" w:ascii="Times New Roman" w:hAnsi="Times New Roman" w:eastAsia="仿宋_GB2312" w:cs="Times New Roman"/>
          <w:color w:val="auto"/>
          <w:sz w:val="32"/>
          <w:highlight w:val="none"/>
        </w:rPr>
        <w:fldChar w:fldCharType="end"/>
      </w:r>
      <w:r>
        <w:rPr>
          <w:rFonts w:hint="default" w:ascii="Times New Roman" w:hAnsi="Times New Roman" w:eastAsia="仿宋_GB2312" w:cs="Times New Roman"/>
          <w:color w:val="auto"/>
          <w:sz w:val="32"/>
          <w:highlight w:val="none"/>
        </w:rPr>
        <w:t>人口密集或人流聚集地点河湖岸；</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fldChar w:fldCharType="begin"/>
      </w:r>
      <w:r>
        <w:rPr>
          <w:rFonts w:hint="default" w:ascii="Times New Roman" w:hAnsi="Times New Roman" w:eastAsia="仿宋_GB2312" w:cs="Times New Roman"/>
          <w:color w:val="auto"/>
          <w:sz w:val="32"/>
          <w:highlight w:val="none"/>
        </w:rPr>
        <w:instrText xml:space="preserve"> = 4 \* GB3 </w:instrText>
      </w:r>
      <w:r>
        <w:rPr>
          <w:rFonts w:hint="default" w:ascii="Times New Roman" w:hAnsi="Times New Roman" w:eastAsia="仿宋_GB2312" w:cs="Times New Roman"/>
          <w:color w:val="auto"/>
          <w:sz w:val="32"/>
          <w:highlight w:val="none"/>
        </w:rPr>
        <w:fldChar w:fldCharType="separate"/>
      </w:r>
      <w:r>
        <w:rPr>
          <w:rFonts w:hint="default" w:ascii="Times New Roman" w:hAnsi="Times New Roman" w:eastAsia="仿宋_GB2312" w:cs="Times New Roman"/>
          <w:color w:val="auto"/>
          <w:sz w:val="32"/>
          <w:highlight w:val="none"/>
        </w:rPr>
        <w:t>④</w:t>
      </w:r>
      <w:r>
        <w:rPr>
          <w:rFonts w:hint="default" w:ascii="Times New Roman" w:hAnsi="Times New Roman" w:eastAsia="仿宋_GB2312" w:cs="Times New Roman"/>
          <w:color w:val="auto"/>
          <w:sz w:val="32"/>
          <w:highlight w:val="none"/>
        </w:rPr>
        <w:fldChar w:fldCharType="end"/>
      </w:r>
      <w:r>
        <w:rPr>
          <w:rFonts w:hint="default" w:ascii="Times New Roman" w:hAnsi="Times New Roman" w:eastAsia="仿宋_GB2312" w:cs="Times New Roman"/>
          <w:color w:val="auto"/>
          <w:sz w:val="32"/>
          <w:highlight w:val="none"/>
        </w:rPr>
        <w:t>水事纠纷和水事案件易发地段或行政界。</w:t>
      </w:r>
    </w:p>
    <w:p>
      <w:pPr>
        <w:pStyle w:val="4"/>
        <w:keepNext/>
        <w:keepLines/>
        <w:spacing w:line="680" w:lineRule="exact"/>
        <w:ind w:firstLine="640" w:firstLineChars="200"/>
        <w:rPr>
          <w:rFonts w:hint="default" w:ascii="Times New Roman" w:hAnsi="Times New Roman" w:cs="Times New Roman"/>
          <w:b w:val="0"/>
          <w:color w:val="auto"/>
          <w:sz w:val="32"/>
          <w:highlight w:val="none"/>
        </w:rPr>
      </w:pPr>
      <w:bookmarkStart w:id="27" w:name="_Toc60738514"/>
      <w:r>
        <w:rPr>
          <w:rFonts w:hint="eastAsia" w:cs="Times New Roman"/>
          <w:b w:val="0"/>
          <w:color w:val="auto"/>
          <w:sz w:val="32"/>
          <w:highlight w:val="none"/>
          <w:lang w:val="en-US" w:eastAsia="zh-CN"/>
        </w:rPr>
        <w:t>3</w:t>
      </w:r>
      <w:r>
        <w:rPr>
          <w:rFonts w:hint="default" w:ascii="Times New Roman" w:hAnsi="Times New Roman" w:cs="Times New Roman"/>
          <w:b w:val="0"/>
          <w:color w:val="auto"/>
          <w:sz w:val="32"/>
          <w:highlight w:val="none"/>
        </w:rPr>
        <w:t>.</w:t>
      </w:r>
      <w:r>
        <w:rPr>
          <w:rFonts w:hint="eastAsia" w:cs="Times New Roman"/>
          <w:b w:val="0"/>
          <w:color w:val="auto"/>
          <w:sz w:val="32"/>
          <w:highlight w:val="none"/>
          <w:lang w:val="en-US" w:eastAsia="zh-CN"/>
        </w:rPr>
        <w:t>3</w:t>
      </w:r>
      <w:r>
        <w:rPr>
          <w:rFonts w:hint="default" w:ascii="Times New Roman" w:hAnsi="Times New Roman" w:cs="Times New Roman"/>
          <w:b w:val="0"/>
          <w:color w:val="auto"/>
          <w:sz w:val="32"/>
          <w:highlight w:val="none"/>
        </w:rPr>
        <w:t>.2 电子桩和电子告示牌布设密度</w:t>
      </w:r>
      <w:bookmarkEnd w:id="27"/>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根据水利部印发的《河湖及水利工程界桩、告示牌制作安装标准》（建安〔2016〕87号），界桩密度为100~1000m，关键部位适当加密，相邻两界桩之间尽量相互通视。在水利工程无生产、生活等人类活动的陡崖、荒山、森林等地段，根据实际情况加大间距。</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对以下情况增设界桩：</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1）水利工程坝区、取水口、电站等重要设施处；</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2）水利工程拐弯（角度小于120°）处；</w:t>
      </w:r>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3）水事纠纷和水事案件易发地段或县级以上行政区域边界。</w:t>
      </w:r>
    </w:p>
    <w:p>
      <w:pPr>
        <w:pStyle w:val="4"/>
        <w:keepNext/>
        <w:keepLines/>
        <w:spacing w:line="680" w:lineRule="exact"/>
        <w:ind w:firstLine="640" w:firstLineChars="200"/>
        <w:rPr>
          <w:rFonts w:hint="default" w:ascii="Times New Roman" w:hAnsi="Times New Roman" w:cs="Times New Roman"/>
          <w:b w:val="0"/>
          <w:color w:val="auto"/>
          <w:sz w:val="32"/>
          <w:highlight w:val="none"/>
        </w:rPr>
      </w:pPr>
      <w:bookmarkStart w:id="28" w:name="_Toc60738515"/>
      <w:r>
        <w:rPr>
          <w:rFonts w:hint="eastAsia" w:cs="Times New Roman"/>
          <w:b w:val="0"/>
          <w:color w:val="auto"/>
          <w:sz w:val="32"/>
          <w:highlight w:val="none"/>
          <w:lang w:val="en-US" w:eastAsia="zh-CN"/>
        </w:rPr>
        <w:t>3</w:t>
      </w:r>
      <w:r>
        <w:rPr>
          <w:rFonts w:hint="default" w:ascii="Times New Roman" w:hAnsi="Times New Roman" w:cs="Times New Roman"/>
          <w:b w:val="0"/>
          <w:color w:val="auto"/>
          <w:sz w:val="32"/>
          <w:highlight w:val="none"/>
        </w:rPr>
        <w:t>.</w:t>
      </w:r>
      <w:r>
        <w:rPr>
          <w:rFonts w:hint="eastAsia" w:cs="Times New Roman"/>
          <w:b w:val="0"/>
          <w:color w:val="auto"/>
          <w:sz w:val="32"/>
          <w:highlight w:val="none"/>
          <w:lang w:val="en-US" w:eastAsia="zh-CN"/>
        </w:rPr>
        <w:t>3</w:t>
      </w:r>
      <w:r>
        <w:rPr>
          <w:rFonts w:hint="default" w:ascii="Times New Roman" w:hAnsi="Times New Roman" w:cs="Times New Roman"/>
          <w:b w:val="0"/>
          <w:color w:val="auto"/>
          <w:sz w:val="32"/>
          <w:highlight w:val="none"/>
        </w:rPr>
        <w:t>.3 管理与保护范围界桩编号原则</w:t>
      </w:r>
      <w:bookmarkEnd w:id="28"/>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水库库区界桩序号按照先左岸后右岸编排；坝区界桩序号按照管理需要编排；灌区工程界桩编号从源头开始按照从上往下、从左至右方式分渠道续编界桩编号；水电站、水闸、泵站和其他水利工程编号按照管理需要编排。</w:t>
      </w:r>
    </w:p>
    <w:p>
      <w:pPr>
        <w:pStyle w:val="4"/>
        <w:keepNext/>
        <w:keepLines/>
        <w:spacing w:line="680" w:lineRule="exact"/>
        <w:ind w:firstLine="640" w:firstLineChars="200"/>
        <w:rPr>
          <w:rFonts w:hint="default" w:ascii="Times New Roman" w:hAnsi="Times New Roman" w:cs="Times New Roman"/>
          <w:b w:val="0"/>
          <w:color w:val="auto"/>
          <w:sz w:val="32"/>
          <w:highlight w:val="none"/>
        </w:rPr>
      </w:pPr>
      <w:bookmarkStart w:id="29" w:name="_Toc60738516"/>
      <w:r>
        <w:rPr>
          <w:rFonts w:hint="eastAsia" w:cs="Times New Roman"/>
          <w:b w:val="0"/>
          <w:color w:val="auto"/>
          <w:sz w:val="32"/>
          <w:highlight w:val="none"/>
          <w:lang w:val="en-US" w:eastAsia="zh-CN"/>
        </w:rPr>
        <w:t>3</w:t>
      </w:r>
      <w:r>
        <w:rPr>
          <w:rFonts w:hint="default" w:ascii="Times New Roman" w:hAnsi="Times New Roman" w:cs="Times New Roman"/>
          <w:b w:val="0"/>
          <w:color w:val="auto"/>
          <w:sz w:val="32"/>
          <w:highlight w:val="none"/>
        </w:rPr>
        <w:t>.</w:t>
      </w:r>
      <w:r>
        <w:rPr>
          <w:rFonts w:hint="eastAsia" w:cs="Times New Roman"/>
          <w:b w:val="0"/>
          <w:color w:val="auto"/>
          <w:sz w:val="32"/>
          <w:highlight w:val="none"/>
          <w:lang w:val="en-US" w:eastAsia="zh-CN"/>
        </w:rPr>
        <w:t>3</w:t>
      </w:r>
      <w:r>
        <w:rPr>
          <w:rFonts w:hint="default" w:ascii="Times New Roman" w:hAnsi="Times New Roman" w:cs="Times New Roman"/>
          <w:b w:val="0"/>
          <w:color w:val="auto"/>
          <w:sz w:val="32"/>
          <w:highlight w:val="none"/>
        </w:rPr>
        <w:t>.4 管理与保护范围界桩编码规则</w:t>
      </w:r>
      <w:bookmarkEnd w:id="29"/>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水利工程界桩编码，按“水利工程名称首字母”-“水利工程类型首字母”（ 灌区为干渠名称）-“G（表示管理范围界桩）”或“B（保护范围界桩）”-“顺序码”表示。其中“水利工程类型首字母”，有如下表示：水库“SK”、水电站“SDZ”、水闸“SZ”、泵站“BZ”、堤防“DF”。例如内下水库的管理范围001号界桩表示为“NX-SK-G001”，保护范围001号界桩表示为“NX-SK -B001”。</w:t>
      </w:r>
    </w:p>
    <w:p>
      <w:pPr>
        <w:pStyle w:val="4"/>
        <w:keepNext/>
        <w:keepLines/>
        <w:spacing w:line="680" w:lineRule="exact"/>
        <w:ind w:firstLine="640" w:firstLineChars="200"/>
        <w:rPr>
          <w:rFonts w:hint="default" w:ascii="Times New Roman" w:hAnsi="Times New Roman" w:cs="Times New Roman"/>
          <w:b w:val="0"/>
          <w:color w:val="auto"/>
          <w:sz w:val="32"/>
          <w:highlight w:val="none"/>
        </w:rPr>
      </w:pPr>
      <w:bookmarkStart w:id="30" w:name="_Toc60738517"/>
      <w:r>
        <w:rPr>
          <w:rFonts w:hint="eastAsia" w:cs="Times New Roman"/>
          <w:b w:val="0"/>
          <w:color w:val="auto"/>
          <w:sz w:val="32"/>
          <w:highlight w:val="none"/>
          <w:lang w:val="en-US" w:eastAsia="zh-CN"/>
        </w:rPr>
        <w:t>3</w:t>
      </w:r>
      <w:r>
        <w:rPr>
          <w:rFonts w:hint="default" w:ascii="Times New Roman" w:hAnsi="Times New Roman" w:cs="Times New Roman"/>
          <w:b w:val="0"/>
          <w:color w:val="auto"/>
          <w:sz w:val="32"/>
          <w:highlight w:val="none"/>
        </w:rPr>
        <w:t>.</w:t>
      </w:r>
      <w:r>
        <w:rPr>
          <w:rFonts w:hint="eastAsia" w:cs="Times New Roman"/>
          <w:b w:val="0"/>
          <w:color w:val="auto"/>
          <w:sz w:val="32"/>
          <w:highlight w:val="none"/>
          <w:lang w:val="en-US" w:eastAsia="zh-CN"/>
        </w:rPr>
        <w:t>3</w:t>
      </w:r>
      <w:r>
        <w:rPr>
          <w:rFonts w:hint="default" w:ascii="Times New Roman" w:hAnsi="Times New Roman" w:cs="Times New Roman"/>
          <w:b w:val="0"/>
          <w:color w:val="auto"/>
          <w:sz w:val="32"/>
          <w:highlight w:val="none"/>
        </w:rPr>
        <w:t>.5 管理与保护范围告示牌编码规则</w:t>
      </w:r>
      <w:bookmarkEnd w:id="30"/>
    </w:p>
    <w:p>
      <w:pPr>
        <w:spacing w:line="64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水利工程管理与保护范围告示牌，按“水利工程名称首字母”-“GSP”-“G（表示管理范围界桩）”或“B（保护范围界桩）”-“顺序码”表示。例如内下水库的管理范围001号告示牌表示为“NX-GSP-G001”，保护范围001号告示牌表示为“NX-GSP-B001”。</w:t>
      </w:r>
    </w:p>
    <w:p>
      <w:pPr>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br w:type="page"/>
      </w:r>
    </w:p>
    <w:p>
      <w:pPr>
        <w:pStyle w:val="2"/>
        <w:spacing w:beforeLines="-2147483648" w:afterLines="-2147483648" w:line="680" w:lineRule="exact"/>
        <w:ind w:firstLine="0" w:firstLineChars="0"/>
        <w:jc w:val="both"/>
        <w:rPr>
          <w:rFonts w:hint="default"/>
          <w:b/>
          <w:sz w:val="36"/>
        </w:rPr>
      </w:pPr>
      <w:bookmarkStart w:id="31" w:name="_Toc60738518"/>
      <w:bookmarkStart w:id="32" w:name="_Toc31896"/>
      <w:r>
        <w:rPr>
          <w:rFonts w:hint="eastAsia"/>
          <w:b/>
          <w:sz w:val="36"/>
          <w:lang w:val="en-US" w:eastAsia="zh-CN"/>
        </w:rPr>
        <w:t>4</w:t>
      </w:r>
      <w:r>
        <w:rPr>
          <w:rFonts w:hint="default"/>
          <w:b/>
          <w:sz w:val="36"/>
        </w:rPr>
        <w:t xml:space="preserve"> 管理与保护范围线核实勘定</w:t>
      </w:r>
      <w:bookmarkEnd w:id="31"/>
      <w:bookmarkEnd w:id="32"/>
    </w:p>
    <w:p>
      <w:pPr>
        <w:spacing w:line="640" w:lineRule="exact"/>
        <w:ind w:firstLine="640" w:firstLineChars="200"/>
        <w:rPr>
          <w:rFonts w:hint="default" w:ascii="Times New Roman" w:hAnsi="Times New Roman" w:eastAsia="仿宋_GB2312"/>
          <w:sz w:val="32"/>
        </w:rPr>
      </w:pPr>
      <w:r>
        <w:rPr>
          <w:rFonts w:hint="default" w:ascii="Times New Roman" w:hAnsi="Times New Roman" w:eastAsia="仿宋_GB2312"/>
          <w:sz w:val="32"/>
        </w:rPr>
        <w:t>经现场核实勘定后，最终确定的管理与保护范围线、电子界桩和电子告示牌统计</w:t>
      </w:r>
      <w:bookmarkStart w:id="33" w:name="_GoBack"/>
      <w:bookmarkEnd w:id="33"/>
      <w:r>
        <w:rPr>
          <w:rFonts w:hint="default" w:ascii="Times New Roman" w:hAnsi="Times New Roman" w:eastAsia="仿宋_GB2312"/>
          <w:sz w:val="32"/>
        </w:rPr>
        <w:t>情况如表</w:t>
      </w:r>
      <w:r>
        <w:rPr>
          <w:rFonts w:hint="eastAsia" w:ascii="Times New Roman" w:hAnsi="Times New Roman" w:eastAsia="仿宋_GB2312"/>
          <w:sz w:val="32"/>
          <w:lang w:val="en-US" w:eastAsia="zh-CN"/>
        </w:rPr>
        <w:t>4</w:t>
      </w:r>
      <w:r>
        <w:rPr>
          <w:rFonts w:hint="default" w:ascii="Times New Roman" w:hAnsi="Times New Roman" w:eastAsia="仿宋_GB2312"/>
          <w:sz w:val="32"/>
        </w:rPr>
        <w:t>-1所示。</w:t>
      </w:r>
    </w:p>
    <w:p>
      <w:pPr>
        <w:pStyle w:val="76"/>
        <w:ind w:firstLine="0" w:firstLineChars="0"/>
        <w:rPr>
          <w:rFonts w:hint="default"/>
        </w:rPr>
      </w:pPr>
      <w:r>
        <w:rPr>
          <w:rFonts w:hint="default"/>
        </w:rPr>
        <w:t>表</w:t>
      </w:r>
      <w:r>
        <w:rPr>
          <w:rFonts w:hint="eastAsia"/>
          <w:lang w:val="en-US" w:eastAsia="zh-CN"/>
        </w:rPr>
        <w:t>4</w:t>
      </w:r>
      <w:r>
        <w:rPr>
          <w:rFonts w:hint="default"/>
        </w:rPr>
        <w:t>-1 管理与保护范围划定成果统计表</w:t>
      </w:r>
    </w:p>
    <w:tbl>
      <w:tblPr>
        <w:tblStyle w:val="25"/>
        <w:tblW w:w="8720" w:type="dxa"/>
        <w:tblInd w:w="93" w:type="dxa"/>
        <w:tblLayout w:type="fixed"/>
        <w:tblCellMar>
          <w:top w:w="0" w:type="dxa"/>
          <w:left w:w="108" w:type="dxa"/>
          <w:bottom w:w="0" w:type="dxa"/>
          <w:right w:w="108" w:type="dxa"/>
        </w:tblCellMar>
      </w:tblPr>
      <w:tblGrid>
        <w:gridCol w:w="1858"/>
        <w:gridCol w:w="1134"/>
        <w:gridCol w:w="1299"/>
        <w:gridCol w:w="849"/>
        <w:gridCol w:w="960"/>
        <w:gridCol w:w="1320"/>
        <w:gridCol w:w="1300"/>
      </w:tblGrid>
      <w:tr>
        <w:tblPrEx>
          <w:tblCellMar>
            <w:top w:w="0" w:type="dxa"/>
            <w:left w:w="108" w:type="dxa"/>
            <w:bottom w:w="0" w:type="dxa"/>
            <w:right w:w="108" w:type="dxa"/>
          </w:tblCellMar>
        </w:tblPrEx>
        <w:trPr>
          <w:trHeight w:val="510" w:hRule="atLeast"/>
          <w:tblHeader/>
        </w:trPr>
        <w:tc>
          <w:tcPr>
            <w:tcW w:w="18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b/>
                <w:bCs/>
                <w:color w:val="auto"/>
                <w:kern w:val="0"/>
                <w:szCs w:val="21"/>
                <w:highlight w:val="none"/>
              </w:rPr>
            </w:pPr>
            <w:r>
              <w:rPr>
                <w:rFonts w:hint="default" w:ascii="Times New Roman" w:hAnsi="Times New Roman" w:eastAsia="宋体" w:cs="Times New Roman"/>
                <w:b/>
                <w:bCs/>
                <w:color w:val="auto"/>
                <w:kern w:val="0"/>
                <w:szCs w:val="21"/>
                <w:highlight w:val="none"/>
              </w:rPr>
              <w:t>工程名称</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b/>
                <w:bCs/>
                <w:color w:val="auto"/>
                <w:kern w:val="0"/>
                <w:szCs w:val="21"/>
                <w:highlight w:val="none"/>
              </w:rPr>
            </w:pPr>
            <w:r>
              <w:rPr>
                <w:rFonts w:hint="default" w:ascii="Times New Roman" w:hAnsi="Times New Roman" w:eastAsia="宋体" w:cs="Times New Roman"/>
                <w:b/>
                <w:bCs/>
                <w:color w:val="auto"/>
                <w:kern w:val="0"/>
                <w:szCs w:val="21"/>
                <w:highlight w:val="none"/>
              </w:rPr>
              <w:t>管理范围线千米）</w:t>
            </w:r>
          </w:p>
        </w:tc>
        <w:tc>
          <w:tcPr>
            <w:tcW w:w="129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b/>
                <w:bCs/>
                <w:color w:val="auto"/>
                <w:kern w:val="0"/>
                <w:szCs w:val="21"/>
                <w:highlight w:val="none"/>
              </w:rPr>
            </w:pPr>
            <w:r>
              <w:rPr>
                <w:rFonts w:hint="default" w:ascii="Times New Roman" w:hAnsi="Times New Roman" w:eastAsia="宋体" w:cs="Times New Roman"/>
                <w:b/>
                <w:bCs/>
                <w:color w:val="auto"/>
                <w:kern w:val="0"/>
                <w:szCs w:val="21"/>
                <w:highlight w:val="none"/>
              </w:rPr>
              <w:t>保护范围线</w:t>
            </w:r>
            <w:r>
              <w:rPr>
                <w:rFonts w:hint="default" w:ascii="Times New Roman" w:hAnsi="Times New Roman" w:eastAsia="仿宋_GB2312" w:cs="Times New Roman"/>
                <w:b/>
                <w:bCs/>
                <w:color w:val="auto"/>
                <w:kern w:val="0"/>
                <w:szCs w:val="21"/>
                <w:highlight w:val="none"/>
              </w:rPr>
              <w:t>(</w:t>
            </w:r>
            <w:r>
              <w:rPr>
                <w:rFonts w:hint="default" w:ascii="Times New Roman" w:hAnsi="Times New Roman" w:eastAsia="宋体" w:cs="Times New Roman"/>
                <w:b/>
                <w:bCs/>
                <w:color w:val="auto"/>
                <w:kern w:val="0"/>
                <w:szCs w:val="21"/>
                <w:highlight w:val="none"/>
              </w:rPr>
              <w:t>千米</w:t>
            </w:r>
            <w:r>
              <w:rPr>
                <w:rFonts w:hint="default" w:ascii="Times New Roman" w:hAnsi="Times New Roman" w:eastAsia="仿宋_GB2312" w:cs="Times New Roman"/>
                <w:b/>
                <w:bCs/>
                <w:color w:val="auto"/>
                <w:kern w:val="0"/>
                <w:szCs w:val="21"/>
                <w:highlight w:val="none"/>
              </w:rPr>
              <w:t>)</w:t>
            </w:r>
          </w:p>
        </w:tc>
        <w:tc>
          <w:tcPr>
            <w:tcW w:w="84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b/>
                <w:bCs/>
                <w:color w:val="auto"/>
                <w:kern w:val="0"/>
                <w:szCs w:val="21"/>
                <w:highlight w:val="none"/>
              </w:rPr>
            </w:pPr>
            <w:r>
              <w:rPr>
                <w:rFonts w:hint="default" w:ascii="Times New Roman" w:hAnsi="Times New Roman" w:eastAsia="宋体" w:cs="Times New Roman"/>
                <w:b/>
                <w:bCs/>
                <w:color w:val="auto"/>
                <w:kern w:val="0"/>
                <w:szCs w:val="21"/>
                <w:highlight w:val="none"/>
              </w:rPr>
              <w:t>界桩（个）</w:t>
            </w:r>
          </w:p>
        </w:tc>
        <w:tc>
          <w:tcPr>
            <w:tcW w:w="9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b/>
                <w:bCs/>
                <w:color w:val="auto"/>
                <w:kern w:val="0"/>
                <w:szCs w:val="21"/>
                <w:highlight w:val="none"/>
              </w:rPr>
            </w:pPr>
            <w:r>
              <w:rPr>
                <w:rFonts w:hint="default" w:ascii="Times New Roman" w:hAnsi="Times New Roman" w:eastAsia="宋体" w:cs="Times New Roman"/>
                <w:b/>
                <w:bCs/>
                <w:color w:val="auto"/>
                <w:kern w:val="0"/>
                <w:szCs w:val="21"/>
                <w:highlight w:val="none"/>
              </w:rPr>
              <w:t>告示牌（个）</w:t>
            </w:r>
          </w:p>
        </w:tc>
        <w:tc>
          <w:tcPr>
            <w:tcW w:w="13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b/>
                <w:bCs/>
                <w:color w:val="auto"/>
                <w:kern w:val="0"/>
                <w:szCs w:val="21"/>
                <w:highlight w:val="none"/>
              </w:rPr>
            </w:pPr>
            <w:r>
              <w:rPr>
                <w:rFonts w:hint="default" w:ascii="Times New Roman" w:hAnsi="Times New Roman" w:eastAsia="宋体" w:cs="Times New Roman"/>
                <w:b/>
                <w:bCs/>
                <w:color w:val="auto"/>
                <w:kern w:val="0"/>
                <w:szCs w:val="21"/>
                <w:highlight w:val="none"/>
              </w:rPr>
              <w:t>管理范围面（亩）</w:t>
            </w:r>
          </w:p>
        </w:tc>
        <w:tc>
          <w:tcPr>
            <w:tcW w:w="13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b/>
                <w:bCs/>
                <w:color w:val="auto"/>
                <w:kern w:val="0"/>
                <w:szCs w:val="21"/>
                <w:highlight w:val="none"/>
              </w:rPr>
            </w:pPr>
            <w:r>
              <w:rPr>
                <w:rFonts w:hint="default" w:ascii="Times New Roman" w:hAnsi="Times New Roman" w:eastAsia="宋体" w:cs="Times New Roman"/>
                <w:b/>
                <w:bCs/>
                <w:color w:val="auto"/>
                <w:kern w:val="0"/>
                <w:szCs w:val="21"/>
                <w:highlight w:val="none"/>
              </w:rPr>
              <w:t>保护范围面（亩）</w:t>
            </w:r>
          </w:p>
        </w:tc>
      </w:tr>
      <w:tr>
        <w:tblPrEx>
          <w:tblCellMar>
            <w:top w:w="0" w:type="dxa"/>
            <w:left w:w="108" w:type="dxa"/>
            <w:bottom w:w="0" w:type="dxa"/>
            <w:right w:w="108" w:type="dxa"/>
          </w:tblCellMar>
        </w:tblPrEx>
        <w:trPr>
          <w:trHeight w:val="360" w:hRule="atLeast"/>
        </w:trPr>
        <w:tc>
          <w:tcPr>
            <w:tcW w:w="1858"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eastAsia="宋体" w:cs="Times New Roman"/>
                <w:color w:val="auto"/>
                <w:kern w:val="0"/>
                <w:sz w:val="22"/>
                <w:highlight w:val="none"/>
              </w:rPr>
            </w:pPr>
            <w:r>
              <w:rPr>
                <w:rFonts w:hint="default" w:ascii="Times New Roman" w:hAnsi="Times New Roman" w:eastAsia="宋体" w:cs="Times New Roman"/>
                <w:color w:val="auto"/>
                <w:kern w:val="0"/>
                <w:sz w:val="22"/>
                <w:highlight w:val="none"/>
                <w:lang w:bidi="ar"/>
              </w:rPr>
              <w:t>内下水库</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eastAsia="宋体" w:cs="Times New Roman"/>
                <w:bCs/>
                <w:color w:val="auto"/>
                <w:kern w:val="0"/>
                <w:sz w:val="22"/>
                <w:highlight w:val="none"/>
                <w:lang w:val="en-US" w:eastAsia="zh-CN"/>
              </w:rPr>
            </w:pPr>
            <w:r>
              <w:rPr>
                <w:rFonts w:hint="default" w:ascii="Times New Roman" w:hAnsi="Times New Roman" w:eastAsia="宋体" w:cs="Times New Roman"/>
                <w:bCs/>
                <w:color w:val="auto"/>
                <w:kern w:val="0"/>
                <w:sz w:val="22"/>
                <w:highlight w:val="none"/>
                <w:lang w:val="en-US" w:eastAsia="zh-CN" w:bidi="ar"/>
              </w:rPr>
              <w:t>43.50</w:t>
            </w:r>
          </w:p>
        </w:tc>
        <w:tc>
          <w:tcPr>
            <w:tcW w:w="1299" w:type="dxa"/>
            <w:tcBorders>
              <w:top w:val="nil"/>
              <w:left w:val="nil"/>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eastAsia="宋体" w:cs="Times New Roman"/>
                <w:bCs/>
                <w:color w:val="auto"/>
                <w:kern w:val="0"/>
                <w:sz w:val="22"/>
                <w:highlight w:val="none"/>
                <w:lang w:val="en-US" w:eastAsia="zh-CN"/>
              </w:rPr>
            </w:pPr>
            <w:r>
              <w:rPr>
                <w:rFonts w:hint="default" w:ascii="Times New Roman" w:hAnsi="Times New Roman" w:eastAsia="宋体" w:cs="Times New Roman"/>
                <w:bCs/>
                <w:color w:val="auto"/>
                <w:kern w:val="0"/>
                <w:sz w:val="22"/>
                <w:highlight w:val="none"/>
                <w:lang w:bidi="ar"/>
              </w:rPr>
              <w:t>39.</w:t>
            </w:r>
            <w:r>
              <w:rPr>
                <w:rFonts w:hint="default" w:ascii="Times New Roman" w:hAnsi="Times New Roman" w:eastAsia="宋体" w:cs="Times New Roman"/>
                <w:bCs/>
                <w:color w:val="auto"/>
                <w:kern w:val="0"/>
                <w:sz w:val="22"/>
                <w:highlight w:val="none"/>
                <w:lang w:val="en-US" w:eastAsia="zh-CN" w:bidi="ar"/>
              </w:rPr>
              <w:t>13</w:t>
            </w:r>
          </w:p>
        </w:tc>
        <w:tc>
          <w:tcPr>
            <w:tcW w:w="849"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eastAsia="宋体" w:cs="Times New Roman"/>
                <w:bCs/>
                <w:color w:val="auto"/>
                <w:kern w:val="0"/>
                <w:sz w:val="22"/>
                <w:highlight w:val="none"/>
              </w:rPr>
            </w:pPr>
            <w:r>
              <w:rPr>
                <w:rFonts w:hint="default" w:ascii="Times New Roman" w:hAnsi="Times New Roman" w:eastAsia="宋体" w:cs="Times New Roman"/>
                <w:bCs/>
                <w:color w:val="auto"/>
                <w:kern w:val="0"/>
                <w:sz w:val="22"/>
                <w:highlight w:val="none"/>
                <w:lang w:bidi="ar"/>
              </w:rPr>
              <w:t>240</w:t>
            </w:r>
          </w:p>
        </w:tc>
        <w:tc>
          <w:tcPr>
            <w:tcW w:w="960" w:type="dxa"/>
            <w:tcBorders>
              <w:top w:val="nil"/>
              <w:left w:val="nil"/>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eastAsia="宋体" w:cs="Times New Roman"/>
                <w:bCs/>
                <w:color w:val="auto"/>
                <w:kern w:val="0"/>
                <w:sz w:val="22"/>
                <w:highlight w:val="none"/>
              </w:rPr>
            </w:pPr>
            <w:r>
              <w:rPr>
                <w:rFonts w:hint="default" w:ascii="Times New Roman" w:hAnsi="Times New Roman" w:eastAsia="宋体" w:cs="Times New Roman"/>
                <w:bCs/>
                <w:color w:val="auto"/>
                <w:kern w:val="0"/>
                <w:sz w:val="22"/>
                <w:highlight w:val="none"/>
                <w:lang w:bidi="ar"/>
              </w:rPr>
              <w:t>20</w:t>
            </w:r>
          </w:p>
        </w:tc>
        <w:tc>
          <w:tcPr>
            <w:tcW w:w="1320" w:type="dxa"/>
            <w:tcBorders>
              <w:top w:val="nil"/>
              <w:left w:val="nil"/>
              <w:bottom w:val="single" w:color="auto" w:sz="4" w:space="0"/>
              <w:right w:val="single" w:color="auto" w:sz="4" w:space="0"/>
            </w:tcBorders>
            <w:shd w:val="clear" w:color="auto" w:fill="auto"/>
            <w:noWrap/>
            <w:vAlign w:val="bottom"/>
          </w:tcPr>
          <w:p>
            <w:pPr>
              <w:widowControl/>
              <w:jc w:val="center"/>
              <w:textAlignment w:val="bottom"/>
              <w:rPr>
                <w:rFonts w:hint="default" w:ascii="Times New Roman" w:hAnsi="Times New Roman" w:eastAsia="宋体" w:cs="Times New Roman"/>
                <w:bCs/>
                <w:color w:val="auto"/>
                <w:kern w:val="0"/>
                <w:sz w:val="22"/>
                <w:highlight w:val="none"/>
                <w:lang w:val="en-US" w:eastAsia="zh-CN" w:bidi="ar"/>
              </w:rPr>
            </w:pPr>
            <w:r>
              <w:rPr>
                <w:rFonts w:hint="default" w:ascii="Times New Roman" w:hAnsi="Times New Roman" w:eastAsia="宋体" w:cs="Times New Roman"/>
                <w:bCs/>
                <w:color w:val="auto"/>
                <w:kern w:val="0"/>
                <w:sz w:val="22"/>
                <w:highlight w:val="none"/>
                <w:lang w:val="en-US" w:eastAsia="zh-CN" w:bidi="ar"/>
              </w:rPr>
              <w:t xml:space="preserve">4453.80 </w:t>
            </w:r>
          </w:p>
        </w:tc>
        <w:tc>
          <w:tcPr>
            <w:tcW w:w="1300" w:type="dxa"/>
            <w:tcBorders>
              <w:top w:val="nil"/>
              <w:left w:val="nil"/>
              <w:bottom w:val="single" w:color="auto" w:sz="4" w:space="0"/>
              <w:right w:val="single" w:color="auto" w:sz="4" w:space="0"/>
            </w:tcBorders>
            <w:shd w:val="clear" w:color="auto" w:fill="auto"/>
            <w:noWrap/>
            <w:vAlign w:val="bottom"/>
          </w:tcPr>
          <w:p>
            <w:pPr>
              <w:widowControl/>
              <w:jc w:val="center"/>
              <w:textAlignment w:val="bottom"/>
              <w:rPr>
                <w:rFonts w:hint="default" w:ascii="Times New Roman" w:hAnsi="Times New Roman" w:eastAsia="宋体" w:cs="Times New Roman"/>
                <w:bCs/>
                <w:color w:val="auto"/>
                <w:kern w:val="0"/>
                <w:sz w:val="22"/>
                <w:highlight w:val="none"/>
                <w:lang w:bidi="ar"/>
              </w:rPr>
            </w:pPr>
            <w:r>
              <w:rPr>
                <w:rFonts w:hint="default" w:ascii="Times New Roman" w:hAnsi="Times New Roman" w:eastAsia="宋体" w:cs="Times New Roman"/>
                <w:bCs/>
                <w:color w:val="auto"/>
                <w:kern w:val="0"/>
                <w:sz w:val="22"/>
                <w:highlight w:val="none"/>
                <w:lang w:val="en-US" w:eastAsia="zh-CN" w:bidi="ar"/>
              </w:rPr>
              <w:t xml:space="preserve">1418.47 </w:t>
            </w:r>
          </w:p>
        </w:tc>
      </w:tr>
      <w:tr>
        <w:tblPrEx>
          <w:tblCellMar>
            <w:top w:w="0" w:type="dxa"/>
            <w:left w:w="108" w:type="dxa"/>
            <w:bottom w:w="0" w:type="dxa"/>
            <w:right w:w="108" w:type="dxa"/>
          </w:tblCellMar>
        </w:tblPrEx>
        <w:trPr>
          <w:trHeight w:val="360" w:hRule="atLeast"/>
        </w:trPr>
        <w:tc>
          <w:tcPr>
            <w:tcW w:w="1858"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eastAsia="宋体" w:cs="Times New Roman"/>
                <w:color w:val="auto"/>
                <w:kern w:val="0"/>
                <w:sz w:val="22"/>
                <w:highlight w:val="none"/>
              </w:rPr>
            </w:pPr>
            <w:r>
              <w:rPr>
                <w:rFonts w:hint="default" w:ascii="Times New Roman" w:hAnsi="Times New Roman" w:eastAsia="宋体" w:cs="Times New Roman"/>
                <w:color w:val="auto"/>
                <w:kern w:val="0"/>
                <w:sz w:val="22"/>
                <w:highlight w:val="none"/>
                <w:lang w:bidi="ar"/>
              </w:rPr>
              <w:t>大江水库</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eastAsia="宋体" w:cs="Times New Roman"/>
                <w:bCs/>
                <w:color w:val="auto"/>
                <w:kern w:val="0"/>
                <w:sz w:val="22"/>
                <w:highlight w:val="none"/>
                <w:lang w:val="en-US" w:eastAsia="zh-CN"/>
              </w:rPr>
            </w:pPr>
            <w:r>
              <w:rPr>
                <w:rFonts w:hint="default" w:ascii="Times New Roman" w:hAnsi="Times New Roman" w:eastAsia="宋体" w:cs="Times New Roman"/>
                <w:bCs/>
                <w:color w:val="auto"/>
                <w:kern w:val="0"/>
                <w:sz w:val="22"/>
                <w:highlight w:val="none"/>
                <w:lang w:bidi="ar"/>
              </w:rPr>
              <w:t>28.</w:t>
            </w:r>
            <w:r>
              <w:rPr>
                <w:rFonts w:hint="default" w:ascii="Times New Roman" w:hAnsi="Times New Roman" w:eastAsia="宋体" w:cs="Times New Roman"/>
                <w:bCs/>
                <w:color w:val="auto"/>
                <w:kern w:val="0"/>
                <w:sz w:val="22"/>
                <w:highlight w:val="none"/>
                <w:lang w:val="en-US" w:eastAsia="zh-CN" w:bidi="ar"/>
              </w:rPr>
              <w:t>72</w:t>
            </w:r>
          </w:p>
        </w:tc>
        <w:tc>
          <w:tcPr>
            <w:tcW w:w="1299" w:type="dxa"/>
            <w:tcBorders>
              <w:top w:val="nil"/>
              <w:left w:val="nil"/>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eastAsia="宋体" w:cs="Times New Roman"/>
                <w:bCs/>
                <w:color w:val="auto"/>
                <w:kern w:val="0"/>
                <w:sz w:val="22"/>
                <w:highlight w:val="none"/>
                <w:lang w:val="en-US" w:eastAsia="zh-CN"/>
              </w:rPr>
            </w:pPr>
            <w:r>
              <w:rPr>
                <w:rFonts w:hint="default" w:ascii="Times New Roman" w:hAnsi="Times New Roman" w:eastAsia="宋体" w:cs="Times New Roman"/>
                <w:bCs/>
                <w:color w:val="auto"/>
                <w:kern w:val="0"/>
                <w:sz w:val="22"/>
                <w:highlight w:val="none"/>
                <w:lang w:val="en-US" w:eastAsia="zh-CN" w:bidi="ar"/>
              </w:rPr>
              <w:t>24.28</w:t>
            </w:r>
          </w:p>
        </w:tc>
        <w:tc>
          <w:tcPr>
            <w:tcW w:w="849"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eastAsia="宋体" w:cs="Times New Roman"/>
                <w:bCs/>
                <w:color w:val="auto"/>
                <w:kern w:val="0"/>
                <w:sz w:val="22"/>
                <w:highlight w:val="none"/>
              </w:rPr>
            </w:pPr>
            <w:r>
              <w:rPr>
                <w:rFonts w:hint="default" w:ascii="Times New Roman" w:hAnsi="Times New Roman" w:eastAsia="宋体" w:cs="Times New Roman"/>
                <w:bCs/>
                <w:color w:val="auto"/>
                <w:kern w:val="0"/>
                <w:sz w:val="22"/>
                <w:highlight w:val="none"/>
                <w:lang w:bidi="ar"/>
              </w:rPr>
              <w:t>84</w:t>
            </w:r>
          </w:p>
        </w:tc>
        <w:tc>
          <w:tcPr>
            <w:tcW w:w="960" w:type="dxa"/>
            <w:tcBorders>
              <w:top w:val="nil"/>
              <w:left w:val="nil"/>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eastAsia="宋体" w:cs="Times New Roman"/>
                <w:bCs/>
                <w:color w:val="auto"/>
                <w:kern w:val="0"/>
                <w:sz w:val="22"/>
                <w:highlight w:val="none"/>
              </w:rPr>
            </w:pPr>
            <w:r>
              <w:rPr>
                <w:rFonts w:hint="default" w:ascii="Times New Roman" w:hAnsi="Times New Roman" w:eastAsia="宋体" w:cs="Times New Roman"/>
                <w:bCs/>
                <w:color w:val="auto"/>
                <w:kern w:val="0"/>
                <w:sz w:val="22"/>
                <w:highlight w:val="none"/>
                <w:lang w:bidi="ar"/>
              </w:rPr>
              <w:t>11</w:t>
            </w:r>
          </w:p>
        </w:tc>
        <w:tc>
          <w:tcPr>
            <w:tcW w:w="1320" w:type="dxa"/>
            <w:tcBorders>
              <w:top w:val="nil"/>
              <w:left w:val="nil"/>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eastAsia="宋体" w:cs="Times New Roman"/>
                <w:bCs/>
                <w:color w:val="auto"/>
                <w:kern w:val="0"/>
                <w:sz w:val="22"/>
                <w:highlight w:val="none"/>
                <w:lang w:val="en-US" w:eastAsia="zh-CN" w:bidi="ar"/>
              </w:rPr>
            </w:pPr>
            <w:r>
              <w:rPr>
                <w:rFonts w:hint="default" w:ascii="Times New Roman" w:hAnsi="Times New Roman" w:eastAsia="宋体" w:cs="Times New Roman"/>
                <w:bCs/>
                <w:color w:val="auto"/>
                <w:kern w:val="0"/>
                <w:sz w:val="22"/>
                <w:highlight w:val="none"/>
                <w:lang w:bidi="ar"/>
              </w:rPr>
              <w:t>415</w:t>
            </w:r>
            <w:r>
              <w:rPr>
                <w:rFonts w:hint="default" w:ascii="Times New Roman" w:hAnsi="Times New Roman" w:eastAsia="宋体" w:cs="Times New Roman"/>
                <w:bCs/>
                <w:color w:val="auto"/>
                <w:kern w:val="0"/>
                <w:sz w:val="22"/>
                <w:highlight w:val="none"/>
                <w:lang w:val="en-US" w:eastAsia="zh-CN" w:bidi="ar"/>
              </w:rPr>
              <w:t>7.47</w:t>
            </w:r>
          </w:p>
        </w:tc>
        <w:tc>
          <w:tcPr>
            <w:tcW w:w="1300" w:type="dxa"/>
            <w:tcBorders>
              <w:top w:val="nil"/>
              <w:left w:val="nil"/>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eastAsia="宋体" w:cs="Times New Roman"/>
                <w:bCs/>
                <w:color w:val="auto"/>
                <w:kern w:val="0"/>
                <w:sz w:val="22"/>
                <w:highlight w:val="none"/>
                <w:lang w:val="en-US" w:eastAsia="zh-CN" w:bidi="ar"/>
              </w:rPr>
            </w:pPr>
            <w:r>
              <w:rPr>
                <w:rFonts w:hint="default" w:ascii="Times New Roman" w:hAnsi="Times New Roman" w:eastAsia="宋体" w:cs="Times New Roman"/>
                <w:bCs/>
                <w:color w:val="auto"/>
                <w:kern w:val="0"/>
                <w:sz w:val="22"/>
                <w:highlight w:val="none"/>
                <w:lang w:val="en-US" w:eastAsia="zh-CN" w:bidi="ar"/>
              </w:rPr>
              <w:t>1024.42</w:t>
            </w:r>
          </w:p>
        </w:tc>
      </w:tr>
      <w:tr>
        <w:tblPrEx>
          <w:tblCellMar>
            <w:top w:w="0" w:type="dxa"/>
            <w:left w:w="108" w:type="dxa"/>
            <w:bottom w:w="0" w:type="dxa"/>
            <w:right w:w="108" w:type="dxa"/>
          </w:tblCellMar>
        </w:tblPrEx>
        <w:trPr>
          <w:trHeight w:val="360" w:hRule="atLeast"/>
        </w:trPr>
        <w:tc>
          <w:tcPr>
            <w:tcW w:w="1858"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eastAsia="宋体" w:cs="Times New Roman"/>
                <w:color w:val="auto"/>
                <w:kern w:val="0"/>
                <w:sz w:val="22"/>
                <w:highlight w:val="none"/>
              </w:rPr>
            </w:pPr>
            <w:r>
              <w:rPr>
                <w:rFonts w:hint="default" w:ascii="Times New Roman" w:hAnsi="Times New Roman" w:eastAsia="宋体" w:cs="Times New Roman"/>
                <w:color w:val="auto"/>
                <w:kern w:val="0"/>
                <w:sz w:val="22"/>
                <w:highlight w:val="none"/>
                <w:lang w:bidi="ar"/>
              </w:rPr>
              <w:t>龙江桥水库</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eastAsia="宋体" w:cs="Times New Roman"/>
                <w:bCs/>
                <w:color w:val="auto"/>
                <w:kern w:val="0"/>
                <w:sz w:val="22"/>
                <w:highlight w:val="none"/>
                <w:lang w:val="en-US" w:eastAsia="zh-CN"/>
              </w:rPr>
            </w:pPr>
            <w:r>
              <w:rPr>
                <w:rFonts w:hint="default" w:ascii="Times New Roman" w:hAnsi="Times New Roman" w:eastAsia="宋体" w:cs="Times New Roman"/>
                <w:bCs/>
                <w:color w:val="auto"/>
                <w:kern w:val="0"/>
                <w:sz w:val="22"/>
                <w:highlight w:val="none"/>
                <w:lang w:val="en-US" w:eastAsia="zh-CN" w:bidi="ar"/>
              </w:rPr>
              <w:t>11.22</w:t>
            </w:r>
          </w:p>
        </w:tc>
        <w:tc>
          <w:tcPr>
            <w:tcW w:w="1299" w:type="dxa"/>
            <w:tcBorders>
              <w:top w:val="nil"/>
              <w:left w:val="nil"/>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eastAsia="宋体" w:cs="Times New Roman"/>
                <w:bCs/>
                <w:color w:val="auto"/>
                <w:kern w:val="0"/>
                <w:sz w:val="22"/>
                <w:highlight w:val="none"/>
                <w:lang w:eastAsia="zh-CN"/>
              </w:rPr>
            </w:pPr>
            <w:r>
              <w:rPr>
                <w:rFonts w:hint="default" w:ascii="Times New Roman" w:hAnsi="Times New Roman" w:eastAsia="宋体" w:cs="Times New Roman"/>
                <w:bCs/>
                <w:color w:val="auto"/>
                <w:kern w:val="0"/>
                <w:sz w:val="22"/>
                <w:highlight w:val="none"/>
                <w:lang w:bidi="ar"/>
              </w:rPr>
              <w:t>9.8</w:t>
            </w:r>
            <w:r>
              <w:rPr>
                <w:rFonts w:hint="default" w:ascii="Times New Roman" w:hAnsi="Times New Roman" w:eastAsia="宋体" w:cs="Times New Roman"/>
                <w:bCs/>
                <w:color w:val="auto"/>
                <w:kern w:val="0"/>
                <w:sz w:val="22"/>
                <w:highlight w:val="none"/>
                <w:lang w:val="en-US" w:eastAsia="zh-CN" w:bidi="ar"/>
              </w:rPr>
              <w:t>7</w:t>
            </w:r>
          </w:p>
        </w:tc>
        <w:tc>
          <w:tcPr>
            <w:tcW w:w="849"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eastAsia="宋体" w:cs="Times New Roman"/>
                <w:bCs/>
                <w:color w:val="auto"/>
                <w:kern w:val="0"/>
                <w:sz w:val="22"/>
                <w:highlight w:val="none"/>
                <w:lang w:val="en-US" w:eastAsia="zh-CN"/>
              </w:rPr>
            </w:pPr>
            <w:r>
              <w:rPr>
                <w:rFonts w:hint="default" w:ascii="Times New Roman" w:hAnsi="Times New Roman" w:eastAsia="宋体" w:cs="Times New Roman"/>
                <w:bCs/>
                <w:color w:val="auto"/>
                <w:kern w:val="0"/>
                <w:sz w:val="22"/>
                <w:highlight w:val="none"/>
                <w:lang w:val="en-US" w:eastAsia="zh-CN" w:bidi="ar"/>
              </w:rPr>
              <w:t>64</w:t>
            </w:r>
          </w:p>
        </w:tc>
        <w:tc>
          <w:tcPr>
            <w:tcW w:w="960" w:type="dxa"/>
            <w:tcBorders>
              <w:top w:val="nil"/>
              <w:left w:val="nil"/>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eastAsia="宋体" w:cs="Times New Roman"/>
                <w:bCs/>
                <w:color w:val="auto"/>
                <w:kern w:val="0"/>
                <w:sz w:val="22"/>
                <w:highlight w:val="none"/>
              </w:rPr>
            </w:pPr>
            <w:r>
              <w:rPr>
                <w:rFonts w:hint="default" w:ascii="Times New Roman" w:hAnsi="Times New Roman" w:eastAsia="宋体" w:cs="Times New Roman"/>
                <w:bCs/>
                <w:color w:val="auto"/>
                <w:kern w:val="0"/>
                <w:sz w:val="22"/>
                <w:highlight w:val="none"/>
                <w:lang w:bidi="ar"/>
              </w:rPr>
              <w:t>8</w:t>
            </w:r>
          </w:p>
        </w:tc>
        <w:tc>
          <w:tcPr>
            <w:tcW w:w="1320" w:type="dxa"/>
            <w:tcBorders>
              <w:top w:val="nil"/>
              <w:left w:val="nil"/>
              <w:bottom w:val="single" w:color="auto" w:sz="4" w:space="0"/>
              <w:right w:val="single" w:color="auto" w:sz="4" w:space="0"/>
            </w:tcBorders>
            <w:shd w:val="clear" w:color="auto" w:fill="auto"/>
            <w:noWrap/>
            <w:vAlign w:val="bottom"/>
          </w:tcPr>
          <w:p>
            <w:pPr>
              <w:widowControl/>
              <w:jc w:val="center"/>
              <w:textAlignment w:val="bottom"/>
              <w:rPr>
                <w:rFonts w:hint="default" w:ascii="Times New Roman" w:hAnsi="Times New Roman" w:eastAsia="宋体" w:cs="Times New Roman"/>
                <w:bCs/>
                <w:color w:val="auto"/>
                <w:kern w:val="0"/>
                <w:sz w:val="22"/>
                <w:highlight w:val="none"/>
                <w:lang w:val="en-US" w:eastAsia="zh-CN" w:bidi="ar"/>
              </w:rPr>
            </w:pPr>
            <w:r>
              <w:rPr>
                <w:rFonts w:hint="default" w:ascii="Times New Roman" w:hAnsi="Times New Roman" w:eastAsia="宋体" w:cs="Times New Roman"/>
                <w:bCs/>
                <w:color w:val="auto"/>
                <w:kern w:val="0"/>
                <w:sz w:val="22"/>
                <w:highlight w:val="none"/>
                <w:lang w:val="en-US" w:eastAsia="zh-CN" w:bidi="ar"/>
              </w:rPr>
              <w:t xml:space="preserve">1481.58 </w:t>
            </w:r>
          </w:p>
        </w:tc>
        <w:tc>
          <w:tcPr>
            <w:tcW w:w="1300" w:type="dxa"/>
            <w:tcBorders>
              <w:top w:val="nil"/>
              <w:left w:val="nil"/>
              <w:bottom w:val="single" w:color="auto" w:sz="4" w:space="0"/>
              <w:right w:val="single" w:color="auto" w:sz="4" w:space="0"/>
            </w:tcBorders>
            <w:shd w:val="clear" w:color="auto" w:fill="auto"/>
            <w:noWrap/>
            <w:vAlign w:val="bottom"/>
          </w:tcPr>
          <w:p>
            <w:pPr>
              <w:widowControl/>
              <w:jc w:val="center"/>
              <w:textAlignment w:val="bottom"/>
              <w:rPr>
                <w:rFonts w:hint="default" w:ascii="Times New Roman" w:hAnsi="Times New Roman" w:eastAsia="宋体" w:cs="Times New Roman"/>
                <w:bCs/>
                <w:color w:val="auto"/>
                <w:kern w:val="0"/>
                <w:sz w:val="22"/>
                <w:highlight w:val="none"/>
                <w:lang w:bidi="ar"/>
              </w:rPr>
            </w:pPr>
            <w:r>
              <w:rPr>
                <w:rFonts w:hint="default" w:ascii="Times New Roman" w:hAnsi="Times New Roman" w:eastAsia="宋体" w:cs="Times New Roman"/>
                <w:bCs/>
                <w:color w:val="auto"/>
                <w:kern w:val="0"/>
                <w:sz w:val="22"/>
                <w:highlight w:val="none"/>
                <w:lang w:val="en-US" w:eastAsia="zh-CN" w:bidi="ar"/>
              </w:rPr>
              <w:t xml:space="preserve">413.05 </w:t>
            </w:r>
          </w:p>
        </w:tc>
      </w:tr>
      <w:tr>
        <w:tblPrEx>
          <w:tblCellMar>
            <w:top w:w="0" w:type="dxa"/>
            <w:left w:w="108" w:type="dxa"/>
            <w:bottom w:w="0" w:type="dxa"/>
            <w:right w:w="108" w:type="dxa"/>
          </w:tblCellMar>
        </w:tblPrEx>
        <w:trPr>
          <w:trHeight w:val="360" w:hRule="atLeast"/>
        </w:trPr>
        <w:tc>
          <w:tcPr>
            <w:tcW w:w="1858"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eastAsia="宋体" w:cs="Times New Roman"/>
                <w:color w:val="auto"/>
                <w:kern w:val="0"/>
                <w:sz w:val="22"/>
                <w:highlight w:val="none"/>
              </w:rPr>
            </w:pPr>
            <w:r>
              <w:rPr>
                <w:rFonts w:hint="default" w:ascii="Times New Roman" w:hAnsi="Times New Roman" w:eastAsia="宋体" w:cs="Times New Roman"/>
                <w:color w:val="auto"/>
                <w:kern w:val="0"/>
                <w:sz w:val="22"/>
                <w:highlight w:val="none"/>
                <w:lang w:bidi="ar"/>
              </w:rPr>
              <w:t>高彼塘水库</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eastAsia="宋体" w:cs="Times New Roman"/>
                <w:bCs/>
                <w:color w:val="auto"/>
                <w:kern w:val="0"/>
                <w:sz w:val="22"/>
                <w:highlight w:val="none"/>
              </w:rPr>
            </w:pPr>
            <w:r>
              <w:rPr>
                <w:rFonts w:hint="default" w:ascii="Times New Roman" w:hAnsi="Times New Roman" w:eastAsia="宋体" w:cs="Times New Roman"/>
                <w:bCs/>
                <w:color w:val="auto"/>
                <w:kern w:val="0"/>
                <w:sz w:val="22"/>
                <w:highlight w:val="none"/>
                <w:lang w:bidi="ar"/>
              </w:rPr>
              <w:t>5.55</w:t>
            </w:r>
          </w:p>
        </w:tc>
        <w:tc>
          <w:tcPr>
            <w:tcW w:w="1299" w:type="dxa"/>
            <w:tcBorders>
              <w:top w:val="nil"/>
              <w:left w:val="nil"/>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eastAsia="宋体" w:cs="Times New Roman"/>
                <w:bCs/>
                <w:color w:val="auto"/>
                <w:kern w:val="0"/>
                <w:sz w:val="22"/>
                <w:highlight w:val="none"/>
              </w:rPr>
            </w:pPr>
            <w:r>
              <w:rPr>
                <w:rFonts w:hint="default" w:ascii="Times New Roman" w:hAnsi="Times New Roman" w:eastAsia="宋体" w:cs="Times New Roman"/>
                <w:bCs/>
                <w:color w:val="auto"/>
                <w:kern w:val="0"/>
                <w:sz w:val="22"/>
                <w:highlight w:val="none"/>
                <w:lang w:bidi="ar"/>
              </w:rPr>
              <w:t>5.38</w:t>
            </w:r>
          </w:p>
        </w:tc>
        <w:tc>
          <w:tcPr>
            <w:tcW w:w="849"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eastAsia="宋体" w:cs="Times New Roman"/>
                <w:bCs/>
                <w:color w:val="auto"/>
                <w:kern w:val="0"/>
                <w:sz w:val="22"/>
                <w:highlight w:val="none"/>
              </w:rPr>
            </w:pPr>
            <w:r>
              <w:rPr>
                <w:rFonts w:hint="default" w:ascii="Times New Roman" w:hAnsi="Times New Roman" w:eastAsia="宋体" w:cs="Times New Roman"/>
                <w:bCs/>
                <w:color w:val="auto"/>
                <w:kern w:val="0"/>
                <w:sz w:val="22"/>
                <w:highlight w:val="none"/>
                <w:lang w:bidi="ar"/>
              </w:rPr>
              <w:t>41</w:t>
            </w:r>
          </w:p>
        </w:tc>
        <w:tc>
          <w:tcPr>
            <w:tcW w:w="960" w:type="dxa"/>
            <w:tcBorders>
              <w:top w:val="nil"/>
              <w:left w:val="nil"/>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eastAsia="宋体" w:cs="Times New Roman"/>
                <w:bCs/>
                <w:color w:val="auto"/>
                <w:kern w:val="0"/>
                <w:sz w:val="22"/>
                <w:highlight w:val="none"/>
              </w:rPr>
            </w:pPr>
            <w:r>
              <w:rPr>
                <w:rFonts w:hint="default" w:ascii="Times New Roman" w:hAnsi="Times New Roman" w:eastAsia="宋体" w:cs="Times New Roman"/>
                <w:bCs/>
                <w:color w:val="auto"/>
                <w:kern w:val="0"/>
                <w:sz w:val="22"/>
                <w:highlight w:val="none"/>
                <w:lang w:bidi="ar"/>
              </w:rPr>
              <w:t>4</w:t>
            </w:r>
          </w:p>
        </w:tc>
        <w:tc>
          <w:tcPr>
            <w:tcW w:w="1320" w:type="dxa"/>
            <w:tcBorders>
              <w:top w:val="nil"/>
              <w:left w:val="nil"/>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eastAsia="宋体" w:cs="Times New Roman"/>
                <w:bCs/>
                <w:color w:val="auto"/>
                <w:kern w:val="0"/>
                <w:sz w:val="22"/>
                <w:highlight w:val="none"/>
                <w:lang w:bidi="ar"/>
              </w:rPr>
            </w:pPr>
            <w:r>
              <w:rPr>
                <w:rFonts w:hint="default" w:ascii="Times New Roman" w:hAnsi="Times New Roman" w:eastAsia="宋体" w:cs="Times New Roman"/>
                <w:bCs/>
                <w:color w:val="auto"/>
                <w:kern w:val="0"/>
                <w:sz w:val="22"/>
                <w:highlight w:val="none"/>
                <w:lang w:bidi="ar"/>
              </w:rPr>
              <w:t>441.96</w:t>
            </w:r>
          </w:p>
        </w:tc>
        <w:tc>
          <w:tcPr>
            <w:tcW w:w="1300" w:type="dxa"/>
            <w:tcBorders>
              <w:top w:val="nil"/>
              <w:left w:val="nil"/>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eastAsia="宋体" w:cs="Times New Roman"/>
                <w:bCs/>
                <w:color w:val="auto"/>
                <w:kern w:val="0"/>
                <w:sz w:val="22"/>
                <w:highlight w:val="none"/>
                <w:lang w:bidi="ar"/>
              </w:rPr>
            </w:pPr>
            <w:r>
              <w:rPr>
                <w:rFonts w:hint="default" w:ascii="Times New Roman" w:hAnsi="Times New Roman" w:eastAsia="宋体" w:cs="Times New Roman"/>
                <w:bCs/>
                <w:color w:val="auto"/>
                <w:kern w:val="0"/>
                <w:sz w:val="22"/>
                <w:highlight w:val="none"/>
                <w:lang w:bidi="ar"/>
              </w:rPr>
              <w:t>215.39</w:t>
            </w:r>
          </w:p>
        </w:tc>
      </w:tr>
      <w:tr>
        <w:tblPrEx>
          <w:tblCellMar>
            <w:top w:w="0" w:type="dxa"/>
            <w:left w:w="108" w:type="dxa"/>
            <w:bottom w:w="0" w:type="dxa"/>
            <w:right w:w="108" w:type="dxa"/>
          </w:tblCellMar>
        </w:tblPrEx>
        <w:trPr>
          <w:trHeight w:val="360" w:hRule="atLeast"/>
        </w:trPr>
        <w:tc>
          <w:tcPr>
            <w:tcW w:w="1858"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eastAsia="宋体" w:cs="Times New Roman"/>
                <w:color w:val="auto"/>
                <w:kern w:val="0"/>
                <w:sz w:val="22"/>
                <w:highlight w:val="none"/>
              </w:rPr>
            </w:pPr>
            <w:r>
              <w:rPr>
                <w:rFonts w:hint="default" w:ascii="Times New Roman" w:hAnsi="Times New Roman" w:eastAsia="宋体" w:cs="Times New Roman"/>
                <w:color w:val="auto"/>
                <w:kern w:val="0"/>
                <w:sz w:val="22"/>
                <w:highlight w:val="none"/>
                <w:lang w:bidi="ar"/>
              </w:rPr>
              <w:t>四角丘水库</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eastAsia="宋体" w:cs="Times New Roman"/>
                <w:bCs/>
                <w:color w:val="auto"/>
                <w:kern w:val="0"/>
                <w:sz w:val="22"/>
                <w:highlight w:val="none"/>
                <w:lang w:eastAsia="zh-CN"/>
              </w:rPr>
            </w:pPr>
            <w:r>
              <w:rPr>
                <w:rFonts w:hint="default" w:ascii="Times New Roman" w:hAnsi="Times New Roman" w:eastAsia="宋体" w:cs="Times New Roman"/>
                <w:bCs/>
                <w:color w:val="auto"/>
                <w:kern w:val="0"/>
                <w:sz w:val="22"/>
                <w:highlight w:val="none"/>
                <w:lang w:bidi="ar"/>
              </w:rPr>
              <w:t>4.0</w:t>
            </w:r>
            <w:r>
              <w:rPr>
                <w:rFonts w:hint="default" w:ascii="Times New Roman" w:hAnsi="Times New Roman" w:eastAsia="宋体" w:cs="Times New Roman"/>
                <w:bCs/>
                <w:color w:val="auto"/>
                <w:kern w:val="0"/>
                <w:sz w:val="22"/>
                <w:highlight w:val="none"/>
                <w:lang w:val="en-US" w:eastAsia="zh-CN" w:bidi="ar"/>
              </w:rPr>
              <w:t>1</w:t>
            </w:r>
          </w:p>
        </w:tc>
        <w:tc>
          <w:tcPr>
            <w:tcW w:w="1299" w:type="dxa"/>
            <w:tcBorders>
              <w:top w:val="nil"/>
              <w:left w:val="nil"/>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eastAsia="宋体" w:cs="Times New Roman"/>
                <w:bCs/>
                <w:color w:val="auto"/>
                <w:kern w:val="0"/>
                <w:sz w:val="22"/>
                <w:highlight w:val="none"/>
                <w:lang w:eastAsia="zh-CN"/>
              </w:rPr>
            </w:pPr>
            <w:r>
              <w:rPr>
                <w:rFonts w:hint="default" w:ascii="Times New Roman" w:hAnsi="Times New Roman" w:eastAsia="宋体" w:cs="Times New Roman"/>
                <w:bCs/>
                <w:color w:val="auto"/>
                <w:kern w:val="0"/>
                <w:sz w:val="22"/>
                <w:highlight w:val="none"/>
                <w:lang w:bidi="ar"/>
              </w:rPr>
              <w:t>3.9</w:t>
            </w:r>
            <w:r>
              <w:rPr>
                <w:rFonts w:hint="default" w:ascii="Times New Roman" w:hAnsi="Times New Roman" w:eastAsia="宋体" w:cs="Times New Roman"/>
                <w:bCs/>
                <w:color w:val="auto"/>
                <w:kern w:val="0"/>
                <w:sz w:val="22"/>
                <w:highlight w:val="none"/>
                <w:lang w:val="en-US" w:eastAsia="zh-CN" w:bidi="ar"/>
              </w:rPr>
              <w:t>4</w:t>
            </w:r>
          </w:p>
        </w:tc>
        <w:tc>
          <w:tcPr>
            <w:tcW w:w="849"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eastAsia="宋体" w:cs="Times New Roman"/>
                <w:bCs/>
                <w:color w:val="auto"/>
                <w:kern w:val="0"/>
                <w:sz w:val="22"/>
                <w:highlight w:val="none"/>
              </w:rPr>
            </w:pPr>
            <w:r>
              <w:rPr>
                <w:rFonts w:hint="default" w:ascii="Times New Roman" w:hAnsi="Times New Roman" w:eastAsia="宋体" w:cs="Times New Roman"/>
                <w:bCs/>
                <w:color w:val="auto"/>
                <w:kern w:val="0"/>
                <w:sz w:val="22"/>
                <w:highlight w:val="none"/>
                <w:lang w:bidi="ar"/>
              </w:rPr>
              <w:t>35</w:t>
            </w:r>
          </w:p>
        </w:tc>
        <w:tc>
          <w:tcPr>
            <w:tcW w:w="960" w:type="dxa"/>
            <w:tcBorders>
              <w:top w:val="nil"/>
              <w:left w:val="nil"/>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eastAsia="宋体" w:cs="Times New Roman"/>
                <w:bCs/>
                <w:color w:val="auto"/>
                <w:kern w:val="0"/>
                <w:sz w:val="22"/>
                <w:highlight w:val="none"/>
              </w:rPr>
            </w:pPr>
            <w:r>
              <w:rPr>
                <w:rFonts w:hint="default" w:ascii="Times New Roman" w:hAnsi="Times New Roman" w:eastAsia="宋体" w:cs="Times New Roman"/>
                <w:bCs/>
                <w:color w:val="auto"/>
                <w:kern w:val="0"/>
                <w:sz w:val="22"/>
                <w:highlight w:val="none"/>
                <w:lang w:bidi="ar"/>
              </w:rPr>
              <w:t>2</w:t>
            </w:r>
          </w:p>
        </w:tc>
        <w:tc>
          <w:tcPr>
            <w:tcW w:w="1320" w:type="dxa"/>
            <w:tcBorders>
              <w:top w:val="nil"/>
              <w:left w:val="nil"/>
              <w:bottom w:val="single" w:color="auto" w:sz="4" w:space="0"/>
              <w:right w:val="single" w:color="auto" w:sz="4" w:space="0"/>
            </w:tcBorders>
            <w:shd w:val="clear" w:color="auto" w:fill="auto"/>
            <w:noWrap/>
            <w:vAlign w:val="bottom"/>
          </w:tcPr>
          <w:p>
            <w:pPr>
              <w:widowControl/>
              <w:jc w:val="center"/>
              <w:textAlignment w:val="bottom"/>
              <w:rPr>
                <w:rFonts w:hint="default" w:ascii="Times New Roman" w:hAnsi="Times New Roman" w:eastAsia="宋体" w:cs="Times New Roman"/>
                <w:bCs/>
                <w:color w:val="auto"/>
                <w:kern w:val="0"/>
                <w:sz w:val="22"/>
                <w:highlight w:val="none"/>
                <w:lang w:val="en-US" w:eastAsia="zh-CN" w:bidi="ar"/>
              </w:rPr>
            </w:pPr>
            <w:r>
              <w:rPr>
                <w:rFonts w:hint="default" w:ascii="Times New Roman" w:hAnsi="Times New Roman" w:eastAsia="宋体" w:cs="Times New Roman"/>
                <w:bCs/>
                <w:color w:val="auto"/>
                <w:kern w:val="0"/>
                <w:sz w:val="22"/>
                <w:highlight w:val="none"/>
                <w:lang w:val="en-US" w:eastAsia="zh-CN" w:bidi="ar"/>
              </w:rPr>
              <w:t xml:space="preserve">219.87 </w:t>
            </w:r>
          </w:p>
        </w:tc>
        <w:tc>
          <w:tcPr>
            <w:tcW w:w="1300" w:type="dxa"/>
            <w:tcBorders>
              <w:top w:val="nil"/>
              <w:left w:val="nil"/>
              <w:bottom w:val="single" w:color="auto" w:sz="4" w:space="0"/>
              <w:right w:val="single" w:color="auto" w:sz="4" w:space="0"/>
            </w:tcBorders>
            <w:shd w:val="clear" w:color="auto" w:fill="auto"/>
            <w:noWrap/>
            <w:vAlign w:val="bottom"/>
          </w:tcPr>
          <w:p>
            <w:pPr>
              <w:widowControl/>
              <w:jc w:val="center"/>
              <w:textAlignment w:val="bottom"/>
              <w:rPr>
                <w:rFonts w:hint="default" w:ascii="Times New Roman" w:hAnsi="Times New Roman" w:eastAsia="宋体" w:cs="Times New Roman"/>
                <w:bCs/>
                <w:color w:val="auto"/>
                <w:kern w:val="0"/>
                <w:sz w:val="22"/>
                <w:highlight w:val="none"/>
                <w:lang w:bidi="ar"/>
              </w:rPr>
            </w:pPr>
            <w:r>
              <w:rPr>
                <w:rFonts w:hint="default" w:ascii="Times New Roman" w:hAnsi="Times New Roman" w:eastAsia="宋体" w:cs="Times New Roman"/>
                <w:bCs/>
                <w:color w:val="auto"/>
                <w:kern w:val="0"/>
                <w:sz w:val="22"/>
                <w:highlight w:val="none"/>
                <w:lang w:val="en-US" w:eastAsia="zh-CN" w:bidi="ar"/>
              </w:rPr>
              <w:t xml:space="preserve">165.27 </w:t>
            </w:r>
          </w:p>
        </w:tc>
      </w:tr>
      <w:tr>
        <w:tblPrEx>
          <w:tblCellMar>
            <w:top w:w="0" w:type="dxa"/>
            <w:left w:w="108" w:type="dxa"/>
            <w:bottom w:w="0" w:type="dxa"/>
            <w:right w:w="108" w:type="dxa"/>
          </w:tblCellMar>
        </w:tblPrEx>
        <w:trPr>
          <w:trHeight w:val="360" w:hRule="atLeast"/>
        </w:trPr>
        <w:tc>
          <w:tcPr>
            <w:tcW w:w="1858"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eastAsia="宋体" w:cs="Times New Roman"/>
                <w:color w:val="auto"/>
                <w:kern w:val="0"/>
                <w:sz w:val="22"/>
                <w:highlight w:val="none"/>
              </w:rPr>
            </w:pPr>
            <w:r>
              <w:rPr>
                <w:rFonts w:hint="default" w:ascii="Times New Roman" w:hAnsi="Times New Roman" w:eastAsia="宋体" w:cs="Times New Roman"/>
                <w:color w:val="auto"/>
                <w:kern w:val="0"/>
                <w:sz w:val="22"/>
                <w:highlight w:val="none"/>
                <w:lang w:bidi="ar"/>
              </w:rPr>
              <w:t>东江源水库</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eastAsia="宋体" w:cs="Times New Roman"/>
                <w:bCs/>
                <w:color w:val="auto"/>
                <w:kern w:val="0"/>
                <w:sz w:val="22"/>
                <w:highlight w:val="none"/>
              </w:rPr>
            </w:pPr>
            <w:r>
              <w:rPr>
                <w:rFonts w:hint="default" w:ascii="Times New Roman" w:hAnsi="Times New Roman" w:eastAsia="宋体" w:cs="Times New Roman"/>
                <w:bCs/>
                <w:color w:val="auto"/>
                <w:kern w:val="0"/>
                <w:sz w:val="22"/>
                <w:highlight w:val="none"/>
                <w:lang w:bidi="ar"/>
              </w:rPr>
              <w:t>3.99</w:t>
            </w:r>
          </w:p>
        </w:tc>
        <w:tc>
          <w:tcPr>
            <w:tcW w:w="1299" w:type="dxa"/>
            <w:tcBorders>
              <w:top w:val="nil"/>
              <w:left w:val="nil"/>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eastAsia="宋体" w:cs="Times New Roman"/>
                <w:bCs/>
                <w:color w:val="auto"/>
                <w:kern w:val="0"/>
                <w:sz w:val="22"/>
                <w:highlight w:val="none"/>
              </w:rPr>
            </w:pPr>
            <w:r>
              <w:rPr>
                <w:rFonts w:hint="default" w:ascii="Times New Roman" w:hAnsi="Times New Roman" w:eastAsia="宋体" w:cs="Times New Roman"/>
                <w:bCs/>
                <w:color w:val="auto"/>
                <w:kern w:val="0"/>
                <w:sz w:val="22"/>
                <w:highlight w:val="none"/>
                <w:lang w:bidi="ar"/>
              </w:rPr>
              <w:t>4.06</w:t>
            </w:r>
          </w:p>
        </w:tc>
        <w:tc>
          <w:tcPr>
            <w:tcW w:w="849"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eastAsia="宋体" w:cs="Times New Roman"/>
                <w:bCs/>
                <w:color w:val="auto"/>
                <w:kern w:val="0"/>
                <w:sz w:val="22"/>
                <w:highlight w:val="none"/>
              </w:rPr>
            </w:pPr>
            <w:r>
              <w:rPr>
                <w:rFonts w:hint="default" w:ascii="Times New Roman" w:hAnsi="Times New Roman" w:eastAsia="宋体" w:cs="Times New Roman"/>
                <w:bCs/>
                <w:color w:val="auto"/>
                <w:kern w:val="0"/>
                <w:sz w:val="22"/>
                <w:highlight w:val="none"/>
                <w:lang w:bidi="ar"/>
              </w:rPr>
              <w:t>28</w:t>
            </w:r>
          </w:p>
        </w:tc>
        <w:tc>
          <w:tcPr>
            <w:tcW w:w="960" w:type="dxa"/>
            <w:tcBorders>
              <w:top w:val="nil"/>
              <w:left w:val="nil"/>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eastAsia="宋体" w:cs="Times New Roman"/>
                <w:bCs/>
                <w:color w:val="auto"/>
                <w:kern w:val="0"/>
                <w:sz w:val="22"/>
                <w:highlight w:val="none"/>
              </w:rPr>
            </w:pPr>
            <w:r>
              <w:rPr>
                <w:rFonts w:hint="default" w:ascii="Times New Roman" w:hAnsi="Times New Roman" w:eastAsia="宋体" w:cs="Times New Roman"/>
                <w:bCs/>
                <w:color w:val="auto"/>
                <w:kern w:val="0"/>
                <w:sz w:val="22"/>
                <w:highlight w:val="none"/>
                <w:lang w:bidi="ar"/>
              </w:rPr>
              <w:t>2</w:t>
            </w:r>
          </w:p>
        </w:tc>
        <w:tc>
          <w:tcPr>
            <w:tcW w:w="1320" w:type="dxa"/>
            <w:tcBorders>
              <w:top w:val="nil"/>
              <w:left w:val="nil"/>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eastAsia="宋体" w:cs="Times New Roman"/>
                <w:bCs/>
                <w:color w:val="auto"/>
                <w:kern w:val="0"/>
                <w:sz w:val="22"/>
                <w:highlight w:val="none"/>
                <w:lang w:bidi="ar"/>
              </w:rPr>
            </w:pPr>
            <w:r>
              <w:rPr>
                <w:rFonts w:hint="default" w:ascii="Times New Roman" w:hAnsi="Times New Roman" w:eastAsia="宋体" w:cs="Times New Roman"/>
                <w:bCs/>
                <w:color w:val="auto"/>
                <w:kern w:val="0"/>
                <w:sz w:val="22"/>
                <w:highlight w:val="none"/>
                <w:lang w:bidi="ar"/>
              </w:rPr>
              <w:t>227.62</w:t>
            </w:r>
          </w:p>
        </w:tc>
        <w:tc>
          <w:tcPr>
            <w:tcW w:w="1300" w:type="dxa"/>
            <w:tcBorders>
              <w:top w:val="nil"/>
              <w:left w:val="nil"/>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eastAsia="宋体" w:cs="Times New Roman"/>
                <w:bCs/>
                <w:color w:val="auto"/>
                <w:kern w:val="0"/>
                <w:sz w:val="22"/>
                <w:highlight w:val="none"/>
                <w:lang w:bidi="ar"/>
              </w:rPr>
            </w:pPr>
            <w:r>
              <w:rPr>
                <w:rFonts w:hint="default" w:ascii="Times New Roman" w:hAnsi="Times New Roman" w:eastAsia="宋体" w:cs="Times New Roman"/>
                <w:bCs/>
                <w:color w:val="auto"/>
                <w:kern w:val="0"/>
                <w:sz w:val="22"/>
                <w:highlight w:val="none"/>
                <w:lang w:bidi="ar"/>
              </w:rPr>
              <w:t>159.23</w:t>
            </w:r>
          </w:p>
        </w:tc>
      </w:tr>
      <w:tr>
        <w:tblPrEx>
          <w:tblCellMar>
            <w:top w:w="0" w:type="dxa"/>
            <w:left w:w="108" w:type="dxa"/>
            <w:bottom w:w="0" w:type="dxa"/>
            <w:right w:w="108" w:type="dxa"/>
          </w:tblCellMar>
        </w:tblPrEx>
        <w:trPr>
          <w:trHeight w:val="360" w:hRule="atLeast"/>
        </w:trPr>
        <w:tc>
          <w:tcPr>
            <w:tcW w:w="1858"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eastAsia="宋体" w:cs="Times New Roman"/>
                <w:color w:val="auto"/>
                <w:kern w:val="0"/>
                <w:sz w:val="22"/>
                <w:highlight w:val="none"/>
              </w:rPr>
            </w:pPr>
            <w:r>
              <w:rPr>
                <w:rFonts w:hint="default" w:ascii="Times New Roman" w:hAnsi="Times New Roman" w:eastAsia="宋体" w:cs="Times New Roman"/>
                <w:color w:val="auto"/>
                <w:kern w:val="0"/>
                <w:sz w:val="22"/>
                <w:highlight w:val="none"/>
                <w:lang w:bidi="ar"/>
              </w:rPr>
              <w:t>丁源冲水库</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eastAsia="宋体" w:cs="Times New Roman"/>
                <w:bCs/>
                <w:color w:val="auto"/>
                <w:kern w:val="0"/>
                <w:sz w:val="22"/>
                <w:highlight w:val="none"/>
                <w:lang w:val="en-US" w:eastAsia="zh-CN"/>
              </w:rPr>
            </w:pPr>
            <w:r>
              <w:rPr>
                <w:rFonts w:hint="default" w:ascii="Times New Roman" w:hAnsi="Times New Roman" w:eastAsia="宋体" w:cs="Times New Roman"/>
                <w:bCs/>
                <w:color w:val="auto"/>
                <w:kern w:val="0"/>
                <w:sz w:val="22"/>
                <w:highlight w:val="none"/>
                <w:lang w:val="en-US" w:eastAsia="zh-CN" w:bidi="ar"/>
              </w:rPr>
              <w:t>5.74</w:t>
            </w:r>
          </w:p>
        </w:tc>
        <w:tc>
          <w:tcPr>
            <w:tcW w:w="1299" w:type="dxa"/>
            <w:tcBorders>
              <w:top w:val="nil"/>
              <w:left w:val="nil"/>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eastAsia="宋体" w:cs="Times New Roman"/>
                <w:bCs/>
                <w:color w:val="auto"/>
                <w:kern w:val="0"/>
                <w:sz w:val="22"/>
                <w:highlight w:val="none"/>
                <w:lang w:eastAsia="zh-CN"/>
              </w:rPr>
            </w:pPr>
            <w:r>
              <w:rPr>
                <w:rFonts w:hint="default" w:ascii="Times New Roman" w:hAnsi="Times New Roman" w:eastAsia="宋体" w:cs="Times New Roman"/>
                <w:bCs/>
                <w:color w:val="auto"/>
                <w:kern w:val="0"/>
                <w:sz w:val="22"/>
                <w:highlight w:val="none"/>
                <w:lang w:bidi="ar"/>
              </w:rPr>
              <w:t>5.6</w:t>
            </w:r>
            <w:r>
              <w:rPr>
                <w:rFonts w:hint="default" w:ascii="Times New Roman" w:hAnsi="Times New Roman" w:eastAsia="宋体" w:cs="Times New Roman"/>
                <w:bCs/>
                <w:color w:val="auto"/>
                <w:kern w:val="0"/>
                <w:sz w:val="22"/>
                <w:highlight w:val="none"/>
                <w:lang w:val="en-US" w:eastAsia="zh-CN" w:bidi="ar"/>
              </w:rPr>
              <w:t>7</w:t>
            </w:r>
          </w:p>
        </w:tc>
        <w:tc>
          <w:tcPr>
            <w:tcW w:w="849"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eastAsia="宋体" w:cs="Times New Roman"/>
                <w:bCs/>
                <w:color w:val="auto"/>
                <w:kern w:val="0"/>
                <w:sz w:val="22"/>
                <w:highlight w:val="none"/>
              </w:rPr>
            </w:pPr>
            <w:r>
              <w:rPr>
                <w:rFonts w:hint="default" w:ascii="Times New Roman" w:hAnsi="Times New Roman" w:eastAsia="宋体" w:cs="Times New Roman"/>
                <w:bCs/>
                <w:color w:val="auto"/>
                <w:kern w:val="0"/>
                <w:sz w:val="22"/>
                <w:highlight w:val="none"/>
                <w:lang w:bidi="ar"/>
              </w:rPr>
              <w:t>44</w:t>
            </w:r>
          </w:p>
        </w:tc>
        <w:tc>
          <w:tcPr>
            <w:tcW w:w="960" w:type="dxa"/>
            <w:tcBorders>
              <w:top w:val="nil"/>
              <w:left w:val="nil"/>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eastAsia="宋体" w:cs="Times New Roman"/>
                <w:bCs/>
                <w:color w:val="auto"/>
                <w:kern w:val="0"/>
                <w:sz w:val="22"/>
                <w:highlight w:val="none"/>
              </w:rPr>
            </w:pPr>
            <w:r>
              <w:rPr>
                <w:rFonts w:hint="default" w:ascii="Times New Roman" w:hAnsi="Times New Roman" w:eastAsia="宋体" w:cs="Times New Roman"/>
                <w:bCs/>
                <w:color w:val="auto"/>
                <w:kern w:val="0"/>
                <w:sz w:val="22"/>
                <w:highlight w:val="none"/>
                <w:lang w:bidi="ar"/>
              </w:rPr>
              <w:t>2</w:t>
            </w:r>
          </w:p>
        </w:tc>
        <w:tc>
          <w:tcPr>
            <w:tcW w:w="1320" w:type="dxa"/>
            <w:tcBorders>
              <w:top w:val="nil"/>
              <w:left w:val="nil"/>
              <w:bottom w:val="single" w:color="auto" w:sz="4" w:space="0"/>
              <w:right w:val="single" w:color="auto" w:sz="4" w:space="0"/>
            </w:tcBorders>
            <w:shd w:val="clear" w:color="auto" w:fill="auto"/>
            <w:noWrap/>
            <w:vAlign w:val="bottom"/>
          </w:tcPr>
          <w:p>
            <w:pPr>
              <w:widowControl/>
              <w:jc w:val="center"/>
              <w:textAlignment w:val="bottom"/>
              <w:rPr>
                <w:rFonts w:hint="default" w:ascii="Times New Roman" w:hAnsi="Times New Roman" w:eastAsia="宋体" w:cs="Times New Roman"/>
                <w:bCs/>
                <w:color w:val="auto"/>
                <w:kern w:val="0"/>
                <w:sz w:val="22"/>
                <w:highlight w:val="none"/>
                <w:lang w:bidi="ar"/>
              </w:rPr>
            </w:pPr>
            <w:r>
              <w:rPr>
                <w:rFonts w:hint="default" w:ascii="Times New Roman" w:hAnsi="Times New Roman" w:eastAsia="宋体" w:cs="Times New Roman"/>
                <w:bCs/>
                <w:color w:val="auto"/>
                <w:kern w:val="0"/>
                <w:sz w:val="22"/>
                <w:highlight w:val="none"/>
                <w:lang w:val="en-US" w:eastAsia="zh-CN" w:bidi="ar"/>
              </w:rPr>
              <w:t xml:space="preserve">396.16 </w:t>
            </w:r>
          </w:p>
        </w:tc>
        <w:tc>
          <w:tcPr>
            <w:tcW w:w="1300" w:type="dxa"/>
            <w:tcBorders>
              <w:top w:val="nil"/>
              <w:left w:val="nil"/>
              <w:bottom w:val="single" w:color="auto" w:sz="4" w:space="0"/>
              <w:right w:val="single" w:color="auto" w:sz="4" w:space="0"/>
            </w:tcBorders>
            <w:shd w:val="clear" w:color="auto" w:fill="auto"/>
            <w:noWrap/>
            <w:vAlign w:val="bottom"/>
          </w:tcPr>
          <w:p>
            <w:pPr>
              <w:widowControl/>
              <w:jc w:val="center"/>
              <w:textAlignment w:val="bottom"/>
              <w:rPr>
                <w:rFonts w:hint="default" w:ascii="Times New Roman" w:hAnsi="Times New Roman" w:eastAsia="宋体" w:cs="Times New Roman"/>
                <w:bCs/>
                <w:color w:val="auto"/>
                <w:kern w:val="0"/>
                <w:sz w:val="22"/>
                <w:highlight w:val="none"/>
                <w:lang w:bidi="ar"/>
              </w:rPr>
            </w:pPr>
            <w:r>
              <w:rPr>
                <w:rFonts w:hint="default" w:ascii="Times New Roman" w:hAnsi="Times New Roman" w:eastAsia="宋体" w:cs="Times New Roman"/>
                <w:bCs/>
                <w:color w:val="auto"/>
                <w:kern w:val="0"/>
                <w:sz w:val="22"/>
                <w:highlight w:val="none"/>
                <w:lang w:val="en-US" w:eastAsia="zh-CN" w:bidi="ar"/>
              </w:rPr>
              <w:t xml:space="preserve">233.03 </w:t>
            </w:r>
          </w:p>
        </w:tc>
      </w:tr>
      <w:tr>
        <w:tblPrEx>
          <w:tblCellMar>
            <w:top w:w="0" w:type="dxa"/>
            <w:left w:w="108" w:type="dxa"/>
            <w:bottom w:w="0" w:type="dxa"/>
            <w:right w:w="108" w:type="dxa"/>
          </w:tblCellMar>
        </w:tblPrEx>
        <w:trPr>
          <w:trHeight w:val="360" w:hRule="atLeast"/>
        </w:trPr>
        <w:tc>
          <w:tcPr>
            <w:tcW w:w="1858"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eastAsia="宋体" w:cs="Times New Roman"/>
                <w:color w:val="auto"/>
                <w:kern w:val="0"/>
                <w:sz w:val="22"/>
                <w:highlight w:val="none"/>
              </w:rPr>
            </w:pPr>
            <w:r>
              <w:rPr>
                <w:rFonts w:hint="default" w:ascii="Times New Roman" w:hAnsi="Times New Roman" w:eastAsia="宋体" w:cs="Times New Roman"/>
                <w:color w:val="auto"/>
                <w:kern w:val="0"/>
                <w:sz w:val="22"/>
                <w:highlight w:val="none"/>
                <w:lang w:bidi="ar"/>
              </w:rPr>
              <w:t>陶家冲水库</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eastAsia="宋体" w:cs="Times New Roman"/>
                <w:bCs/>
                <w:color w:val="auto"/>
                <w:kern w:val="0"/>
                <w:sz w:val="22"/>
                <w:highlight w:val="none"/>
              </w:rPr>
            </w:pPr>
            <w:r>
              <w:rPr>
                <w:rFonts w:hint="default" w:ascii="Times New Roman" w:hAnsi="Times New Roman" w:eastAsia="宋体" w:cs="Times New Roman"/>
                <w:bCs/>
                <w:color w:val="auto"/>
                <w:kern w:val="0"/>
                <w:sz w:val="22"/>
                <w:highlight w:val="none"/>
                <w:lang w:bidi="ar"/>
              </w:rPr>
              <w:t>3.40</w:t>
            </w:r>
          </w:p>
        </w:tc>
        <w:tc>
          <w:tcPr>
            <w:tcW w:w="1299" w:type="dxa"/>
            <w:tcBorders>
              <w:top w:val="nil"/>
              <w:left w:val="nil"/>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eastAsia="宋体" w:cs="Times New Roman"/>
                <w:bCs/>
                <w:color w:val="auto"/>
                <w:kern w:val="0"/>
                <w:sz w:val="22"/>
                <w:highlight w:val="none"/>
              </w:rPr>
            </w:pPr>
            <w:r>
              <w:rPr>
                <w:rFonts w:hint="default" w:ascii="Times New Roman" w:hAnsi="Times New Roman" w:eastAsia="宋体" w:cs="Times New Roman"/>
                <w:bCs/>
                <w:color w:val="auto"/>
                <w:kern w:val="0"/>
                <w:sz w:val="22"/>
                <w:highlight w:val="none"/>
                <w:lang w:bidi="ar"/>
              </w:rPr>
              <w:t>3.52</w:t>
            </w:r>
          </w:p>
        </w:tc>
        <w:tc>
          <w:tcPr>
            <w:tcW w:w="849"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eastAsia="宋体" w:cs="Times New Roman"/>
                <w:bCs/>
                <w:color w:val="auto"/>
                <w:kern w:val="0"/>
                <w:sz w:val="22"/>
                <w:highlight w:val="none"/>
              </w:rPr>
            </w:pPr>
            <w:r>
              <w:rPr>
                <w:rFonts w:hint="default" w:ascii="Times New Roman" w:hAnsi="Times New Roman" w:eastAsia="宋体" w:cs="Times New Roman"/>
                <w:bCs/>
                <w:color w:val="auto"/>
                <w:kern w:val="0"/>
                <w:sz w:val="22"/>
                <w:highlight w:val="none"/>
                <w:lang w:bidi="ar"/>
              </w:rPr>
              <w:t>31</w:t>
            </w:r>
          </w:p>
        </w:tc>
        <w:tc>
          <w:tcPr>
            <w:tcW w:w="960" w:type="dxa"/>
            <w:tcBorders>
              <w:top w:val="nil"/>
              <w:left w:val="nil"/>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eastAsia="宋体" w:cs="Times New Roman"/>
                <w:bCs/>
                <w:color w:val="auto"/>
                <w:kern w:val="0"/>
                <w:sz w:val="22"/>
                <w:highlight w:val="none"/>
              </w:rPr>
            </w:pPr>
            <w:r>
              <w:rPr>
                <w:rFonts w:hint="default" w:ascii="Times New Roman" w:hAnsi="Times New Roman" w:eastAsia="宋体" w:cs="Times New Roman"/>
                <w:bCs/>
                <w:color w:val="auto"/>
                <w:kern w:val="0"/>
                <w:sz w:val="22"/>
                <w:highlight w:val="none"/>
                <w:lang w:bidi="ar"/>
              </w:rPr>
              <w:t>2</w:t>
            </w:r>
          </w:p>
        </w:tc>
        <w:tc>
          <w:tcPr>
            <w:tcW w:w="1320" w:type="dxa"/>
            <w:tcBorders>
              <w:top w:val="nil"/>
              <w:left w:val="nil"/>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eastAsia="宋体" w:cs="Times New Roman"/>
                <w:bCs/>
                <w:color w:val="auto"/>
                <w:kern w:val="0"/>
                <w:sz w:val="22"/>
                <w:highlight w:val="none"/>
                <w:lang w:bidi="ar"/>
              </w:rPr>
            </w:pPr>
            <w:r>
              <w:rPr>
                <w:rFonts w:hint="default" w:ascii="Times New Roman" w:hAnsi="Times New Roman" w:eastAsia="宋体" w:cs="Times New Roman"/>
                <w:bCs/>
                <w:color w:val="auto"/>
                <w:kern w:val="0"/>
                <w:sz w:val="22"/>
                <w:highlight w:val="none"/>
                <w:lang w:bidi="ar"/>
              </w:rPr>
              <w:t>173.36</w:t>
            </w:r>
          </w:p>
        </w:tc>
        <w:tc>
          <w:tcPr>
            <w:tcW w:w="1300" w:type="dxa"/>
            <w:tcBorders>
              <w:top w:val="nil"/>
              <w:left w:val="nil"/>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eastAsia="宋体" w:cs="Times New Roman"/>
                <w:bCs/>
                <w:color w:val="auto"/>
                <w:kern w:val="0"/>
                <w:sz w:val="22"/>
                <w:highlight w:val="none"/>
                <w:lang w:bidi="ar"/>
              </w:rPr>
            </w:pPr>
            <w:r>
              <w:rPr>
                <w:rFonts w:hint="default" w:ascii="Times New Roman" w:hAnsi="Times New Roman" w:eastAsia="宋体" w:cs="Times New Roman"/>
                <w:bCs/>
                <w:color w:val="auto"/>
                <w:kern w:val="0"/>
                <w:sz w:val="22"/>
                <w:highlight w:val="none"/>
                <w:lang w:bidi="ar"/>
              </w:rPr>
              <w:t>144.27</w:t>
            </w:r>
          </w:p>
        </w:tc>
      </w:tr>
      <w:tr>
        <w:tblPrEx>
          <w:tblCellMar>
            <w:top w:w="0" w:type="dxa"/>
            <w:left w:w="108" w:type="dxa"/>
            <w:bottom w:w="0" w:type="dxa"/>
            <w:right w:w="108" w:type="dxa"/>
          </w:tblCellMar>
        </w:tblPrEx>
        <w:trPr>
          <w:trHeight w:val="360" w:hRule="atLeast"/>
        </w:trPr>
        <w:tc>
          <w:tcPr>
            <w:tcW w:w="1858"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eastAsia="宋体" w:cs="Times New Roman"/>
                <w:color w:val="auto"/>
                <w:kern w:val="0"/>
                <w:sz w:val="22"/>
                <w:highlight w:val="none"/>
              </w:rPr>
            </w:pPr>
            <w:r>
              <w:rPr>
                <w:rFonts w:hint="default" w:ascii="Times New Roman" w:hAnsi="Times New Roman" w:eastAsia="宋体" w:cs="Times New Roman"/>
                <w:color w:val="auto"/>
                <w:kern w:val="0"/>
                <w:sz w:val="22"/>
                <w:highlight w:val="none"/>
                <w:lang w:bidi="ar"/>
              </w:rPr>
              <w:t>长塘冲水库</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eastAsia="宋体" w:cs="Times New Roman"/>
                <w:bCs/>
                <w:color w:val="auto"/>
                <w:kern w:val="0"/>
                <w:sz w:val="22"/>
                <w:highlight w:val="none"/>
              </w:rPr>
            </w:pPr>
            <w:r>
              <w:rPr>
                <w:rFonts w:hint="default" w:ascii="Times New Roman" w:hAnsi="Times New Roman" w:eastAsia="宋体" w:cs="Times New Roman"/>
                <w:bCs/>
                <w:color w:val="auto"/>
                <w:kern w:val="0"/>
                <w:sz w:val="22"/>
                <w:highlight w:val="none"/>
                <w:lang w:bidi="ar"/>
              </w:rPr>
              <w:t>7.89</w:t>
            </w:r>
          </w:p>
        </w:tc>
        <w:tc>
          <w:tcPr>
            <w:tcW w:w="1299" w:type="dxa"/>
            <w:tcBorders>
              <w:top w:val="nil"/>
              <w:left w:val="nil"/>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eastAsia="宋体" w:cs="Times New Roman"/>
                <w:bCs/>
                <w:color w:val="auto"/>
                <w:kern w:val="0"/>
                <w:sz w:val="22"/>
                <w:highlight w:val="none"/>
              </w:rPr>
            </w:pPr>
            <w:r>
              <w:rPr>
                <w:rFonts w:hint="default" w:ascii="Times New Roman" w:hAnsi="Times New Roman" w:eastAsia="宋体" w:cs="Times New Roman"/>
                <w:bCs/>
                <w:color w:val="auto"/>
                <w:kern w:val="0"/>
                <w:sz w:val="22"/>
                <w:highlight w:val="none"/>
                <w:lang w:bidi="ar"/>
              </w:rPr>
              <w:t>7.66</w:t>
            </w:r>
          </w:p>
        </w:tc>
        <w:tc>
          <w:tcPr>
            <w:tcW w:w="849"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eastAsia="宋体" w:cs="Times New Roman"/>
                <w:bCs/>
                <w:color w:val="auto"/>
                <w:kern w:val="0"/>
                <w:sz w:val="22"/>
                <w:highlight w:val="none"/>
              </w:rPr>
            </w:pPr>
            <w:r>
              <w:rPr>
                <w:rFonts w:hint="default" w:ascii="Times New Roman" w:hAnsi="Times New Roman" w:eastAsia="宋体" w:cs="Times New Roman"/>
                <w:bCs/>
                <w:color w:val="auto"/>
                <w:kern w:val="0"/>
                <w:sz w:val="22"/>
                <w:highlight w:val="none"/>
                <w:lang w:bidi="ar"/>
              </w:rPr>
              <w:t>46</w:t>
            </w:r>
          </w:p>
        </w:tc>
        <w:tc>
          <w:tcPr>
            <w:tcW w:w="960" w:type="dxa"/>
            <w:tcBorders>
              <w:top w:val="nil"/>
              <w:left w:val="nil"/>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eastAsia="宋体" w:cs="Times New Roman"/>
                <w:bCs/>
                <w:color w:val="auto"/>
                <w:kern w:val="0"/>
                <w:sz w:val="22"/>
                <w:highlight w:val="none"/>
              </w:rPr>
            </w:pPr>
            <w:r>
              <w:rPr>
                <w:rFonts w:hint="default" w:ascii="Times New Roman" w:hAnsi="Times New Roman" w:eastAsia="宋体" w:cs="Times New Roman"/>
                <w:bCs/>
                <w:color w:val="auto"/>
                <w:kern w:val="0"/>
                <w:sz w:val="22"/>
                <w:highlight w:val="none"/>
                <w:lang w:bidi="ar"/>
              </w:rPr>
              <w:t>2</w:t>
            </w:r>
          </w:p>
        </w:tc>
        <w:tc>
          <w:tcPr>
            <w:tcW w:w="1320" w:type="dxa"/>
            <w:tcBorders>
              <w:top w:val="nil"/>
              <w:left w:val="nil"/>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eastAsia="宋体" w:cs="Times New Roman"/>
                <w:bCs/>
                <w:color w:val="auto"/>
                <w:kern w:val="0"/>
                <w:sz w:val="22"/>
                <w:highlight w:val="none"/>
                <w:lang w:bidi="ar"/>
              </w:rPr>
            </w:pPr>
            <w:r>
              <w:rPr>
                <w:rFonts w:hint="default" w:ascii="Times New Roman" w:hAnsi="Times New Roman" w:eastAsia="宋体" w:cs="Times New Roman"/>
                <w:bCs/>
                <w:color w:val="auto"/>
                <w:kern w:val="0"/>
                <w:sz w:val="22"/>
                <w:highlight w:val="none"/>
                <w:lang w:bidi="ar"/>
              </w:rPr>
              <w:t>1027.54</w:t>
            </w:r>
          </w:p>
        </w:tc>
        <w:tc>
          <w:tcPr>
            <w:tcW w:w="1300" w:type="dxa"/>
            <w:tcBorders>
              <w:top w:val="nil"/>
              <w:left w:val="nil"/>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eastAsia="宋体" w:cs="Times New Roman"/>
                <w:bCs/>
                <w:color w:val="auto"/>
                <w:kern w:val="0"/>
                <w:sz w:val="22"/>
                <w:highlight w:val="none"/>
                <w:lang w:bidi="ar"/>
              </w:rPr>
            </w:pPr>
            <w:r>
              <w:rPr>
                <w:rFonts w:hint="default" w:ascii="Times New Roman" w:hAnsi="Times New Roman" w:eastAsia="宋体" w:cs="Times New Roman"/>
                <w:bCs/>
                <w:color w:val="auto"/>
                <w:kern w:val="0"/>
                <w:sz w:val="22"/>
                <w:highlight w:val="none"/>
                <w:lang w:bidi="ar"/>
              </w:rPr>
              <w:t>286.29</w:t>
            </w:r>
          </w:p>
        </w:tc>
      </w:tr>
      <w:tr>
        <w:tblPrEx>
          <w:tblCellMar>
            <w:top w:w="0" w:type="dxa"/>
            <w:left w:w="108" w:type="dxa"/>
            <w:bottom w:w="0" w:type="dxa"/>
            <w:right w:w="108" w:type="dxa"/>
          </w:tblCellMar>
        </w:tblPrEx>
        <w:trPr>
          <w:trHeight w:val="360" w:hRule="atLeast"/>
        </w:trPr>
        <w:tc>
          <w:tcPr>
            <w:tcW w:w="1858"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eastAsia="宋体" w:cs="Times New Roman"/>
                <w:color w:val="auto"/>
                <w:kern w:val="0"/>
                <w:sz w:val="22"/>
                <w:highlight w:val="none"/>
              </w:rPr>
            </w:pPr>
            <w:r>
              <w:rPr>
                <w:rFonts w:hint="default" w:ascii="Times New Roman" w:hAnsi="Times New Roman" w:eastAsia="宋体" w:cs="Times New Roman"/>
                <w:color w:val="auto"/>
                <w:kern w:val="0"/>
                <w:sz w:val="22"/>
                <w:highlight w:val="none"/>
                <w:lang w:bidi="ar"/>
              </w:rPr>
              <w:t>波罗山水库</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eastAsia="宋体" w:cs="Times New Roman"/>
                <w:bCs/>
                <w:color w:val="auto"/>
                <w:kern w:val="0"/>
                <w:sz w:val="22"/>
                <w:highlight w:val="none"/>
                <w:lang w:eastAsia="zh-CN"/>
              </w:rPr>
            </w:pPr>
            <w:r>
              <w:rPr>
                <w:rFonts w:hint="default" w:ascii="Times New Roman" w:hAnsi="Times New Roman" w:eastAsia="宋体" w:cs="Times New Roman"/>
                <w:bCs/>
                <w:color w:val="auto"/>
                <w:kern w:val="0"/>
                <w:sz w:val="22"/>
                <w:highlight w:val="none"/>
                <w:lang w:bidi="ar"/>
              </w:rPr>
              <w:t>5.9</w:t>
            </w:r>
            <w:r>
              <w:rPr>
                <w:rFonts w:hint="default" w:ascii="Times New Roman" w:hAnsi="Times New Roman" w:eastAsia="宋体" w:cs="Times New Roman"/>
                <w:bCs/>
                <w:color w:val="auto"/>
                <w:kern w:val="0"/>
                <w:sz w:val="22"/>
                <w:highlight w:val="none"/>
                <w:lang w:val="en-US" w:eastAsia="zh-CN" w:bidi="ar"/>
              </w:rPr>
              <w:t>4</w:t>
            </w:r>
          </w:p>
        </w:tc>
        <w:tc>
          <w:tcPr>
            <w:tcW w:w="1299" w:type="dxa"/>
            <w:tcBorders>
              <w:top w:val="nil"/>
              <w:left w:val="nil"/>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eastAsia="宋体" w:cs="Times New Roman"/>
                <w:bCs/>
                <w:color w:val="auto"/>
                <w:kern w:val="0"/>
                <w:sz w:val="22"/>
                <w:highlight w:val="none"/>
                <w:lang w:eastAsia="zh-CN"/>
              </w:rPr>
            </w:pPr>
            <w:r>
              <w:rPr>
                <w:rFonts w:hint="default" w:ascii="Times New Roman" w:hAnsi="Times New Roman" w:eastAsia="宋体" w:cs="Times New Roman"/>
                <w:bCs/>
                <w:color w:val="auto"/>
                <w:kern w:val="0"/>
                <w:sz w:val="22"/>
                <w:highlight w:val="none"/>
                <w:lang w:bidi="ar"/>
              </w:rPr>
              <w:t>5.7</w:t>
            </w:r>
            <w:r>
              <w:rPr>
                <w:rFonts w:hint="default" w:ascii="Times New Roman" w:hAnsi="Times New Roman" w:eastAsia="宋体" w:cs="Times New Roman"/>
                <w:bCs/>
                <w:color w:val="auto"/>
                <w:kern w:val="0"/>
                <w:sz w:val="22"/>
                <w:highlight w:val="none"/>
                <w:lang w:val="en-US" w:eastAsia="zh-CN" w:bidi="ar"/>
              </w:rPr>
              <w:t>3</w:t>
            </w:r>
          </w:p>
        </w:tc>
        <w:tc>
          <w:tcPr>
            <w:tcW w:w="849"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eastAsia="宋体" w:cs="Times New Roman"/>
                <w:bCs/>
                <w:color w:val="auto"/>
                <w:kern w:val="0"/>
                <w:sz w:val="22"/>
                <w:highlight w:val="none"/>
              </w:rPr>
            </w:pPr>
            <w:r>
              <w:rPr>
                <w:rFonts w:hint="default" w:ascii="Times New Roman" w:hAnsi="Times New Roman" w:eastAsia="宋体" w:cs="Times New Roman"/>
                <w:bCs/>
                <w:color w:val="auto"/>
                <w:kern w:val="0"/>
                <w:sz w:val="22"/>
                <w:highlight w:val="none"/>
                <w:lang w:bidi="ar"/>
              </w:rPr>
              <w:t>36</w:t>
            </w:r>
          </w:p>
        </w:tc>
        <w:tc>
          <w:tcPr>
            <w:tcW w:w="960" w:type="dxa"/>
            <w:tcBorders>
              <w:top w:val="nil"/>
              <w:left w:val="nil"/>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eastAsia="宋体" w:cs="Times New Roman"/>
                <w:bCs/>
                <w:color w:val="auto"/>
                <w:kern w:val="0"/>
                <w:sz w:val="22"/>
                <w:highlight w:val="none"/>
              </w:rPr>
            </w:pPr>
            <w:r>
              <w:rPr>
                <w:rFonts w:hint="default" w:ascii="Times New Roman" w:hAnsi="Times New Roman" w:eastAsia="宋体" w:cs="Times New Roman"/>
                <w:bCs/>
                <w:color w:val="auto"/>
                <w:kern w:val="0"/>
                <w:sz w:val="22"/>
                <w:highlight w:val="none"/>
                <w:lang w:bidi="ar"/>
              </w:rPr>
              <w:t>4</w:t>
            </w:r>
          </w:p>
        </w:tc>
        <w:tc>
          <w:tcPr>
            <w:tcW w:w="1320" w:type="dxa"/>
            <w:tcBorders>
              <w:top w:val="nil"/>
              <w:left w:val="nil"/>
              <w:bottom w:val="single" w:color="auto" w:sz="4" w:space="0"/>
              <w:right w:val="single" w:color="auto" w:sz="4" w:space="0"/>
            </w:tcBorders>
            <w:shd w:val="clear" w:color="auto" w:fill="auto"/>
            <w:noWrap/>
            <w:vAlign w:val="bottom"/>
          </w:tcPr>
          <w:p>
            <w:pPr>
              <w:widowControl/>
              <w:jc w:val="center"/>
              <w:textAlignment w:val="bottom"/>
              <w:rPr>
                <w:rFonts w:hint="default" w:ascii="Times New Roman" w:hAnsi="Times New Roman" w:eastAsia="宋体" w:cs="Times New Roman"/>
                <w:bCs/>
                <w:color w:val="auto"/>
                <w:kern w:val="0"/>
                <w:sz w:val="22"/>
                <w:highlight w:val="none"/>
                <w:lang w:bidi="ar"/>
              </w:rPr>
            </w:pPr>
            <w:r>
              <w:rPr>
                <w:rFonts w:hint="default" w:ascii="Times New Roman" w:hAnsi="Times New Roman" w:eastAsia="宋体" w:cs="Times New Roman"/>
                <w:bCs/>
                <w:color w:val="auto"/>
                <w:kern w:val="0"/>
                <w:sz w:val="22"/>
                <w:highlight w:val="none"/>
                <w:lang w:val="en-US" w:eastAsia="zh-CN" w:bidi="ar"/>
              </w:rPr>
              <w:t xml:space="preserve">515.09 </w:t>
            </w:r>
          </w:p>
        </w:tc>
        <w:tc>
          <w:tcPr>
            <w:tcW w:w="1300" w:type="dxa"/>
            <w:tcBorders>
              <w:top w:val="nil"/>
              <w:left w:val="nil"/>
              <w:bottom w:val="single" w:color="auto" w:sz="4" w:space="0"/>
              <w:right w:val="single" w:color="auto" w:sz="4" w:space="0"/>
            </w:tcBorders>
            <w:shd w:val="clear" w:color="auto" w:fill="auto"/>
            <w:noWrap/>
            <w:vAlign w:val="bottom"/>
          </w:tcPr>
          <w:p>
            <w:pPr>
              <w:widowControl/>
              <w:jc w:val="center"/>
              <w:textAlignment w:val="bottom"/>
              <w:rPr>
                <w:rFonts w:hint="default" w:ascii="Times New Roman" w:hAnsi="Times New Roman" w:eastAsia="宋体" w:cs="Times New Roman"/>
                <w:bCs/>
                <w:color w:val="auto"/>
                <w:kern w:val="0"/>
                <w:sz w:val="22"/>
                <w:highlight w:val="none"/>
                <w:lang w:bidi="ar"/>
              </w:rPr>
            </w:pPr>
            <w:r>
              <w:rPr>
                <w:rFonts w:hint="default" w:ascii="Times New Roman" w:hAnsi="Times New Roman" w:eastAsia="宋体" w:cs="Times New Roman"/>
                <w:bCs/>
                <w:color w:val="auto"/>
                <w:kern w:val="0"/>
                <w:sz w:val="22"/>
                <w:highlight w:val="none"/>
                <w:lang w:val="en-US" w:eastAsia="zh-CN" w:bidi="ar"/>
              </w:rPr>
              <w:t xml:space="preserve">211.96 </w:t>
            </w:r>
          </w:p>
        </w:tc>
      </w:tr>
      <w:tr>
        <w:tblPrEx>
          <w:tblCellMar>
            <w:top w:w="0" w:type="dxa"/>
            <w:left w:w="108" w:type="dxa"/>
            <w:bottom w:w="0" w:type="dxa"/>
            <w:right w:w="108" w:type="dxa"/>
          </w:tblCellMar>
        </w:tblPrEx>
        <w:trPr>
          <w:trHeight w:val="360" w:hRule="atLeast"/>
        </w:trPr>
        <w:tc>
          <w:tcPr>
            <w:tcW w:w="1858"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eastAsia="宋体" w:cs="Times New Roman"/>
                <w:color w:val="auto"/>
                <w:kern w:val="0"/>
                <w:sz w:val="22"/>
                <w:highlight w:val="none"/>
              </w:rPr>
            </w:pPr>
            <w:r>
              <w:rPr>
                <w:rFonts w:hint="default" w:ascii="Times New Roman" w:hAnsi="Times New Roman" w:eastAsia="宋体" w:cs="Times New Roman"/>
                <w:color w:val="auto"/>
                <w:kern w:val="0"/>
                <w:sz w:val="22"/>
                <w:highlight w:val="none"/>
                <w:lang w:bidi="ar"/>
              </w:rPr>
              <w:t>大桥水库</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eastAsia="宋体" w:cs="Times New Roman"/>
                <w:bCs/>
                <w:color w:val="auto"/>
                <w:kern w:val="0"/>
                <w:sz w:val="22"/>
                <w:highlight w:val="none"/>
              </w:rPr>
            </w:pPr>
            <w:r>
              <w:rPr>
                <w:rFonts w:hint="default" w:ascii="Times New Roman" w:hAnsi="Times New Roman" w:eastAsia="宋体" w:cs="Times New Roman"/>
                <w:bCs/>
                <w:color w:val="auto"/>
                <w:kern w:val="0"/>
                <w:sz w:val="22"/>
                <w:highlight w:val="none"/>
                <w:lang w:bidi="ar"/>
              </w:rPr>
              <w:t>4.40</w:t>
            </w:r>
          </w:p>
        </w:tc>
        <w:tc>
          <w:tcPr>
            <w:tcW w:w="1299" w:type="dxa"/>
            <w:tcBorders>
              <w:top w:val="nil"/>
              <w:left w:val="nil"/>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eastAsia="宋体" w:cs="Times New Roman"/>
                <w:bCs/>
                <w:color w:val="auto"/>
                <w:kern w:val="0"/>
                <w:sz w:val="22"/>
                <w:highlight w:val="none"/>
              </w:rPr>
            </w:pPr>
            <w:r>
              <w:rPr>
                <w:rFonts w:hint="default" w:ascii="Times New Roman" w:hAnsi="Times New Roman" w:eastAsia="宋体" w:cs="Times New Roman"/>
                <w:bCs/>
                <w:color w:val="auto"/>
                <w:kern w:val="0"/>
                <w:sz w:val="22"/>
                <w:highlight w:val="none"/>
                <w:lang w:bidi="ar"/>
              </w:rPr>
              <w:t>4.4</w:t>
            </w:r>
          </w:p>
        </w:tc>
        <w:tc>
          <w:tcPr>
            <w:tcW w:w="849"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eastAsia="宋体" w:cs="Times New Roman"/>
                <w:bCs/>
                <w:color w:val="auto"/>
                <w:kern w:val="0"/>
                <w:sz w:val="22"/>
                <w:highlight w:val="none"/>
              </w:rPr>
            </w:pPr>
            <w:r>
              <w:rPr>
                <w:rFonts w:hint="default" w:ascii="Times New Roman" w:hAnsi="Times New Roman" w:eastAsia="宋体" w:cs="Times New Roman"/>
                <w:bCs/>
                <w:color w:val="auto"/>
                <w:kern w:val="0"/>
                <w:sz w:val="22"/>
                <w:highlight w:val="none"/>
                <w:lang w:bidi="ar"/>
              </w:rPr>
              <w:t>30</w:t>
            </w:r>
          </w:p>
        </w:tc>
        <w:tc>
          <w:tcPr>
            <w:tcW w:w="960" w:type="dxa"/>
            <w:tcBorders>
              <w:top w:val="nil"/>
              <w:left w:val="nil"/>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eastAsia="宋体" w:cs="Times New Roman"/>
                <w:bCs/>
                <w:color w:val="auto"/>
                <w:kern w:val="0"/>
                <w:sz w:val="22"/>
                <w:highlight w:val="none"/>
              </w:rPr>
            </w:pPr>
            <w:r>
              <w:rPr>
                <w:rFonts w:hint="default" w:ascii="Times New Roman" w:hAnsi="Times New Roman" w:eastAsia="宋体" w:cs="Times New Roman"/>
                <w:bCs/>
                <w:color w:val="auto"/>
                <w:kern w:val="0"/>
                <w:sz w:val="22"/>
                <w:highlight w:val="none"/>
                <w:lang w:bidi="ar"/>
              </w:rPr>
              <w:t>2</w:t>
            </w:r>
          </w:p>
        </w:tc>
        <w:tc>
          <w:tcPr>
            <w:tcW w:w="1320" w:type="dxa"/>
            <w:tcBorders>
              <w:top w:val="nil"/>
              <w:left w:val="nil"/>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eastAsia="宋体" w:cs="Times New Roman"/>
                <w:bCs/>
                <w:color w:val="auto"/>
                <w:kern w:val="0"/>
                <w:sz w:val="22"/>
                <w:highlight w:val="none"/>
                <w:lang w:bidi="ar"/>
              </w:rPr>
            </w:pPr>
            <w:r>
              <w:rPr>
                <w:rFonts w:hint="default" w:ascii="Times New Roman" w:hAnsi="Times New Roman" w:eastAsia="宋体" w:cs="Times New Roman"/>
                <w:bCs/>
                <w:color w:val="auto"/>
                <w:kern w:val="0"/>
                <w:sz w:val="22"/>
                <w:highlight w:val="none"/>
                <w:lang w:bidi="ar"/>
              </w:rPr>
              <w:t>309.58</w:t>
            </w:r>
          </w:p>
        </w:tc>
        <w:tc>
          <w:tcPr>
            <w:tcW w:w="1300" w:type="dxa"/>
            <w:tcBorders>
              <w:top w:val="nil"/>
              <w:left w:val="nil"/>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eastAsia="宋体" w:cs="Times New Roman"/>
                <w:bCs/>
                <w:color w:val="auto"/>
                <w:kern w:val="0"/>
                <w:sz w:val="22"/>
                <w:highlight w:val="none"/>
                <w:lang w:bidi="ar"/>
              </w:rPr>
            </w:pPr>
            <w:r>
              <w:rPr>
                <w:rFonts w:hint="default" w:ascii="Times New Roman" w:hAnsi="Times New Roman" w:eastAsia="宋体" w:cs="Times New Roman"/>
                <w:bCs/>
                <w:color w:val="auto"/>
                <w:kern w:val="0"/>
                <w:sz w:val="22"/>
                <w:highlight w:val="none"/>
                <w:lang w:bidi="ar"/>
              </w:rPr>
              <w:t>172.79</w:t>
            </w:r>
          </w:p>
        </w:tc>
      </w:tr>
      <w:tr>
        <w:tblPrEx>
          <w:tblCellMar>
            <w:top w:w="0" w:type="dxa"/>
            <w:left w:w="108" w:type="dxa"/>
            <w:bottom w:w="0" w:type="dxa"/>
            <w:right w:w="108" w:type="dxa"/>
          </w:tblCellMar>
        </w:tblPrEx>
        <w:trPr>
          <w:trHeight w:val="360" w:hRule="atLeast"/>
        </w:trPr>
        <w:tc>
          <w:tcPr>
            <w:tcW w:w="1858"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eastAsia="宋体" w:cs="Times New Roman"/>
                <w:color w:val="auto"/>
                <w:kern w:val="0"/>
                <w:sz w:val="22"/>
                <w:highlight w:val="none"/>
              </w:rPr>
            </w:pPr>
            <w:r>
              <w:rPr>
                <w:rFonts w:hint="default" w:ascii="Times New Roman" w:hAnsi="Times New Roman" w:eastAsia="宋体" w:cs="Times New Roman"/>
                <w:color w:val="auto"/>
                <w:kern w:val="0"/>
                <w:sz w:val="22"/>
                <w:highlight w:val="none"/>
                <w:lang w:bidi="ar"/>
              </w:rPr>
              <w:t>水口庙水库</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eastAsia="宋体" w:cs="Times New Roman"/>
                <w:bCs/>
                <w:color w:val="auto"/>
                <w:kern w:val="0"/>
                <w:sz w:val="22"/>
                <w:highlight w:val="none"/>
              </w:rPr>
            </w:pPr>
            <w:r>
              <w:rPr>
                <w:rFonts w:hint="default" w:ascii="Times New Roman" w:hAnsi="Times New Roman" w:eastAsia="宋体" w:cs="Times New Roman"/>
                <w:bCs/>
                <w:color w:val="auto"/>
                <w:kern w:val="0"/>
                <w:sz w:val="22"/>
                <w:highlight w:val="none"/>
                <w:lang w:bidi="ar"/>
              </w:rPr>
              <w:t>3.99</w:t>
            </w:r>
          </w:p>
        </w:tc>
        <w:tc>
          <w:tcPr>
            <w:tcW w:w="1299" w:type="dxa"/>
            <w:tcBorders>
              <w:top w:val="nil"/>
              <w:left w:val="nil"/>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eastAsia="宋体" w:cs="Times New Roman"/>
                <w:bCs/>
                <w:color w:val="auto"/>
                <w:kern w:val="0"/>
                <w:sz w:val="22"/>
                <w:highlight w:val="none"/>
              </w:rPr>
            </w:pPr>
            <w:r>
              <w:rPr>
                <w:rFonts w:hint="default" w:ascii="Times New Roman" w:hAnsi="Times New Roman" w:eastAsia="宋体" w:cs="Times New Roman"/>
                <w:bCs/>
                <w:color w:val="auto"/>
                <w:kern w:val="0"/>
                <w:sz w:val="22"/>
                <w:highlight w:val="none"/>
                <w:lang w:bidi="ar"/>
              </w:rPr>
              <w:t>3.97</w:t>
            </w:r>
          </w:p>
        </w:tc>
        <w:tc>
          <w:tcPr>
            <w:tcW w:w="849"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eastAsia="宋体" w:cs="Times New Roman"/>
                <w:bCs/>
                <w:color w:val="auto"/>
                <w:kern w:val="0"/>
                <w:sz w:val="22"/>
                <w:highlight w:val="none"/>
              </w:rPr>
            </w:pPr>
            <w:r>
              <w:rPr>
                <w:rFonts w:hint="default" w:ascii="Times New Roman" w:hAnsi="Times New Roman" w:eastAsia="宋体" w:cs="Times New Roman"/>
                <w:bCs/>
                <w:color w:val="auto"/>
                <w:kern w:val="0"/>
                <w:sz w:val="22"/>
                <w:highlight w:val="none"/>
                <w:lang w:bidi="ar"/>
              </w:rPr>
              <w:t>33</w:t>
            </w:r>
          </w:p>
        </w:tc>
        <w:tc>
          <w:tcPr>
            <w:tcW w:w="960" w:type="dxa"/>
            <w:tcBorders>
              <w:top w:val="nil"/>
              <w:left w:val="nil"/>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eastAsia="宋体" w:cs="Times New Roman"/>
                <w:bCs/>
                <w:color w:val="auto"/>
                <w:kern w:val="0"/>
                <w:sz w:val="22"/>
                <w:highlight w:val="none"/>
              </w:rPr>
            </w:pPr>
            <w:r>
              <w:rPr>
                <w:rFonts w:hint="default" w:ascii="Times New Roman" w:hAnsi="Times New Roman" w:eastAsia="宋体" w:cs="Times New Roman"/>
                <w:bCs/>
                <w:color w:val="auto"/>
                <w:kern w:val="0"/>
                <w:sz w:val="22"/>
                <w:highlight w:val="none"/>
                <w:lang w:bidi="ar"/>
              </w:rPr>
              <w:t>2</w:t>
            </w:r>
          </w:p>
        </w:tc>
        <w:tc>
          <w:tcPr>
            <w:tcW w:w="1320" w:type="dxa"/>
            <w:tcBorders>
              <w:top w:val="nil"/>
              <w:left w:val="nil"/>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eastAsia="宋体" w:cs="Times New Roman"/>
                <w:bCs/>
                <w:color w:val="auto"/>
                <w:kern w:val="0"/>
                <w:sz w:val="22"/>
                <w:highlight w:val="none"/>
                <w:lang w:bidi="ar"/>
              </w:rPr>
            </w:pPr>
            <w:r>
              <w:rPr>
                <w:rFonts w:hint="default" w:ascii="Times New Roman" w:hAnsi="Times New Roman" w:eastAsia="宋体" w:cs="Times New Roman"/>
                <w:bCs/>
                <w:color w:val="auto"/>
                <w:kern w:val="0"/>
                <w:sz w:val="22"/>
                <w:highlight w:val="none"/>
                <w:lang w:bidi="ar"/>
              </w:rPr>
              <w:t>263.03</w:t>
            </w:r>
          </w:p>
        </w:tc>
        <w:tc>
          <w:tcPr>
            <w:tcW w:w="1300" w:type="dxa"/>
            <w:tcBorders>
              <w:top w:val="nil"/>
              <w:left w:val="nil"/>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eastAsia="宋体" w:cs="Times New Roman"/>
                <w:bCs/>
                <w:color w:val="auto"/>
                <w:kern w:val="0"/>
                <w:sz w:val="22"/>
                <w:highlight w:val="none"/>
                <w:lang w:bidi="ar"/>
              </w:rPr>
            </w:pPr>
            <w:r>
              <w:rPr>
                <w:rFonts w:hint="default" w:ascii="Times New Roman" w:hAnsi="Times New Roman" w:eastAsia="宋体" w:cs="Times New Roman"/>
                <w:bCs/>
                <w:color w:val="auto"/>
                <w:kern w:val="0"/>
                <w:sz w:val="22"/>
                <w:highlight w:val="none"/>
                <w:lang w:bidi="ar"/>
              </w:rPr>
              <w:t>147.64</w:t>
            </w:r>
          </w:p>
        </w:tc>
      </w:tr>
      <w:tr>
        <w:tblPrEx>
          <w:tblCellMar>
            <w:top w:w="0" w:type="dxa"/>
            <w:left w:w="108" w:type="dxa"/>
            <w:bottom w:w="0" w:type="dxa"/>
            <w:right w:w="108" w:type="dxa"/>
          </w:tblCellMar>
        </w:tblPrEx>
        <w:trPr>
          <w:trHeight w:val="360" w:hRule="atLeast"/>
        </w:trPr>
        <w:tc>
          <w:tcPr>
            <w:tcW w:w="1858"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eastAsia="宋体" w:cs="Times New Roman"/>
                <w:color w:val="auto"/>
                <w:kern w:val="0"/>
                <w:sz w:val="22"/>
                <w:highlight w:val="none"/>
              </w:rPr>
            </w:pPr>
            <w:r>
              <w:rPr>
                <w:rFonts w:hint="default" w:ascii="Times New Roman" w:hAnsi="Times New Roman" w:eastAsia="宋体" w:cs="Times New Roman"/>
                <w:color w:val="auto"/>
                <w:kern w:val="0"/>
                <w:sz w:val="22"/>
                <w:highlight w:val="none"/>
                <w:lang w:bidi="ar"/>
              </w:rPr>
              <w:t>楠木皂水库</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eastAsia="宋体" w:cs="Times New Roman"/>
                <w:bCs/>
                <w:color w:val="auto"/>
                <w:kern w:val="0"/>
                <w:sz w:val="22"/>
                <w:highlight w:val="none"/>
              </w:rPr>
            </w:pPr>
            <w:r>
              <w:rPr>
                <w:rFonts w:hint="default" w:ascii="Times New Roman" w:hAnsi="Times New Roman" w:eastAsia="宋体" w:cs="Times New Roman"/>
                <w:bCs/>
                <w:color w:val="auto"/>
                <w:kern w:val="0"/>
                <w:sz w:val="22"/>
                <w:highlight w:val="none"/>
                <w:lang w:bidi="ar"/>
              </w:rPr>
              <w:t>2.59</w:t>
            </w:r>
          </w:p>
        </w:tc>
        <w:tc>
          <w:tcPr>
            <w:tcW w:w="1299" w:type="dxa"/>
            <w:tcBorders>
              <w:top w:val="nil"/>
              <w:left w:val="nil"/>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eastAsia="宋体" w:cs="Times New Roman"/>
                <w:bCs/>
                <w:color w:val="auto"/>
                <w:kern w:val="0"/>
                <w:sz w:val="22"/>
                <w:highlight w:val="none"/>
              </w:rPr>
            </w:pPr>
            <w:r>
              <w:rPr>
                <w:rFonts w:hint="default" w:ascii="Times New Roman" w:hAnsi="Times New Roman" w:eastAsia="宋体" w:cs="Times New Roman"/>
                <w:bCs/>
                <w:color w:val="auto"/>
                <w:kern w:val="0"/>
                <w:sz w:val="22"/>
                <w:highlight w:val="none"/>
                <w:lang w:bidi="ar"/>
              </w:rPr>
              <w:t>2.83</w:t>
            </w:r>
          </w:p>
        </w:tc>
        <w:tc>
          <w:tcPr>
            <w:tcW w:w="849"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eastAsia="宋体" w:cs="Times New Roman"/>
                <w:bCs/>
                <w:color w:val="auto"/>
                <w:kern w:val="0"/>
                <w:sz w:val="22"/>
                <w:highlight w:val="none"/>
              </w:rPr>
            </w:pPr>
            <w:r>
              <w:rPr>
                <w:rFonts w:hint="default" w:ascii="Times New Roman" w:hAnsi="Times New Roman" w:eastAsia="宋体" w:cs="Times New Roman"/>
                <w:bCs/>
                <w:color w:val="auto"/>
                <w:kern w:val="0"/>
                <w:sz w:val="22"/>
                <w:highlight w:val="none"/>
                <w:lang w:bidi="ar"/>
              </w:rPr>
              <w:t>20</w:t>
            </w:r>
          </w:p>
        </w:tc>
        <w:tc>
          <w:tcPr>
            <w:tcW w:w="960" w:type="dxa"/>
            <w:tcBorders>
              <w:top w:val="nil"/>
              <w:left w:val="nil"/>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eastAsia="宋体" w:cs="Times New Roman"/>
                <w:bCs/>
                <w:color w:val="auto"/>
                <w:kern w:val="0"/>
                <w:sz w:val="22"/>
                <w:highlight w:val="none"/>
              </w:rPr>
            </w:pPr>
            <w:r>
              <w:rPr>
                <w:rFonts w:hint="default" w:ascii="Times New Roman" w:hAnsi="Times New Roman" w:eastAsia="宋体" w:cs="Times New Roman"/>
                <w:bCs/>
                <w:color w:val="auto"/>
                <w:kern w:val="0"/>
                <w:sz w:val="22"/>
                <w:highlight w:val="none"/>
                <w:lang w:bidi="ar"/>
              </w:rPr>
              <w:t>2</w:t>
            </w:r>
          </w:p>
        </w:tc>
        <w:tc>
          <w:tcPr>
            <w:tcW w:w="1320" w:type="dxa"/>
            <w:tcBorders>
              <w:top w:val="nil"/>
              <w:left w:val="nil"/>
              <w:bottom w:val="single" w:color="auto" w:sz="4" w:space="0"/>
              <w:right w:val="single" w:color="auto" w:sz="4" w:space="0"/>
            </w:tcBorders>
            <w:shd w:val="clear" w:color="auto" w:fill="auto"/>
            <w:noWrap/>
            <w:vAlign w:val="bottom"/>
          </w:tcPr>
          <w:p>
            <w:pPr>
              <w:widowControl/>
              <w:jc w:val="center"/>
              <w:textAlignment w:val="bottom"/>
              <w:rPr>
                <w:rFonts w:hint="default" w:ascii="Times New Roman" w:hAnsi="Times New Roman" w:eastAsia="宋体" w:cs="Times New Roman"/>
                <w:bCs/>
                <w:color w:val="auto"/>
                <w:kern w:val="0"/>
                <w:sz w:val="22"/>
                <w:highlight w:val="none"/>
                <w:lang w:bidi="ar"/>
              </w:rPr>
            </w:pPr>
            <w:r>
              <w:rPr>
                <w:rFonts w:hint="default" w:ascii="Times New Roman" w:hAnsi="Times New Roman" w:eastAsia="宋体" w:cs="Times New Roman"/>
                <w:bCs/>
                <w:color w:val="auto"/>
                <w:kern w:val="0"/>
                <w:sz w:val="22"/>
                <w:highlight w:val="none"/>
                <w:lang w:val="en-US" w:eastAsia="zh-CN" w:bidi="ar"/>
              </w:rPr>
              <w:t xml:space="preserve">136.16 </w:t>
            </w:r>
          </w:p>
        </w:tc>
        <w:tc>
          <w:tcPr>
            <w:tcW w:w="1300" w:type="dxa"/>
            <w:tcBorders>
              <w:top w:val="nil"/>
              <w:left w:val="nil"/>
              <w:bottom w:val="single" w:color="auto" w:sz="4" w:space="0"/>
              <w:right w:val="single" w:color="auto" w:sz="4" w:space="0"/>
            </w:tcBorders>
            <w:shd w:val="clear" w:color="auto" w:fill="auto"/>
            <w:noWrap/>
            <w:vAlign w:val="bottom"/>
          </w:tcPr>
          <w:p>
            <w:pPr>
              <w:widowControl/>
              <w:jc w:val="center"/>
              <w:textAlignment w:val="bottom"/>
              <w:rPr>
                <w:rFonts w:hint="default" w:ascii="Times New Roman" w:hAnsi="Times New Roman" w:eastAsia="宋体" w:cs="Times New Roman"/>
                <w:bCs/>
                <w:color w:val="auto"/>
                <w:kern w:val="0"/>
                <w:sz w:val="22"/>
                <w:highlight w:val="none"/>
                <w:lang w:bidi="ar"/>
              </w:rPr>
            </w:pPr>
            <w:r>
              <w:rPr>
                <w:rFonts w:hint="default" w:ascii="Times New Roman" w:hAnsi="Times New Roman" w:eastAsia="宋体" w:cs="Times New Roman"/>
                <w:bCs/>
                <w:color w:val="auto"/>
                <w:kern w:val="0"/>
                <w:sz w:val="22"/>
                <w:highlight w:val="none"/>
                <w:lang w:val="en-US" w:eastAsia="zh-CN" w:bidi="ar"/>
              </w:rPr>
              <w:t xml:space="preserve">115.45 </w:t>
            </w:r>
          </w:p>
        </w:tc>
      </w:tr>
      <w:tr>
        <w:tblPrEx>
          <w:tblCellMar>
            <w:top w:w="0" w:type="dxa"/>
            <w:left w:w="108" w:type="dxa"/>
            <w:bottom w:w="0" w:type="dxa"/>
            <w:right w:w="108" w:type="dxa"/>
          </w:tblCellMar>
        </w:tblPrEx>
        <w:trPr>
          <w:trHeight w:val="360" w:hRule="atLeast"/>
        </w:trPr>
        <w:tc>
          <w:tcPr>
            <w:tcW w:w="1858"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eastAsia="宋体" w:cs="Times New Roman"/>
                <w:color w:val="auto"/>
                <w:kern w:val="0"/>
                <w:sz w:val="22"/>
                <w:highlight w:val="none"/>
              </w:rPr>
            </w:pPr>
            <w:r>
              <w:rPr>
                <w:rFonts w:hint="default" w:ascii="Times New Roman" w:hAnsi="Times New Roman" w:eastAsia="宋体" w:cs="Times New Roman"/>
                <w:color w:val="auto"/>
                <w:kern w:val="0"/>
                <w:sz w:val="22"/>
                <w:highlight w:val="none"/>
                <w:lang w:bidi="ar"/>
              </w:rPr>
              <w:t>炭木冲水库</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eastAsia="宋体" w:cs="Times New Roman"/>
                <w:bCs/>
                <w:color w:val="auto"/>
                <w:kern w:val="0"/>
                <w:sz w:val="22"/>
                <w:highlight w:val="none"/>
              </w:rPr>
            </w:pPr>
            <w:r>
              <w:rPr>
                <w:rFonts w:hint="default" w:ascii="Times New Roman" w:hAnsi="Times New Roman" w:eastAsia="宋体" w:cs="Times New Roman"/>
                <w:bCs/>
                <w:color w:val="auto"/>
                <w:kern w:val="0"/>
                <w:sz w:val="22"/>
                <w:highlight w:val="none"/>
                <w:lang w:bidi="ar"/>
              </w:rPr>
              <w:t>2.28</w:t>
            </w:r>
          </w:p>
        </w:tc>
        <w:tc>
          <w:tcPr>
            <w:tcW w:w="1299" w:type="dxa"/>
            <w:tcBorders>
              <w:top w:val="nil"/>
              <w:left w:val="nil"/>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eastAsia="宋体" w:cs="Times New Roman"/>
                <w:bCs/>
                <w:color w:val="auto"/>
                <w:kern w:val="0"/>
                <w:sz w:val="22"/>
                <w:highlight w:val="none"/>
              </w:rPr>
            </w:pPr>
            <w:r>
              <w:rPr>
                <w:rFonts w:hint="default" w:ascii="Times New Roman" w:hAnsi="Times New Roman" w:eastAsia="宋体" w:cs="Times New Roman"/>
                <w:bCs/>
                <w:color w:val="auto"/>
                <w:kern w:val="0"/>
                <w:sz w:val="22"/>
                <w:highlight w:val="none"/>
                <w:lang w:bidi="ar"/>
              </w:rPr>
              <w:t>2.43</w:t>
            </w:r>
          </w:p>
        </w:tc>
        <w:tc>
          <w:tcPr>
            <w:tcW w:w="849"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eastAsia="宋体" w:cs="Times New Roman"/>
                <w:bCs/>
                <w:color w:val="auto"/>
                <w:kern w:val="0"/>
                <w:sz w:val="22"/>
                <w:highlight w:val="none"/>
              </w:rPr>
            </w:pPr>
            <w:r>
              <w:rPr>
                <w:rFonts w:hint="default" w:ascii="Times New Roman" w:hAnsi="Times New Roman" w:eastAsia="宋体" w:cs="Times New Roman"/>
                <w:bCs/>
                <w:color w:val="auto"/>
                <w:kern w:val="0"/>
                <w:sz w:val="22"/>
                <w:highlight w:val="none"/>
                <w:lang w:bidi="ar"/>
              </w:rPr>
              <w:t>22</w:t>
            </w:r>
          </w:p>
        </w:tc>
        <w:tc>
          <w:tcPr>
            <w:tcW w:w="960" w:type="dxa"/>
            <w:tcBorders>
              <w:top w:val="nil"/>
              <w:left w:val="nil"/>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eastAsia="宋体" w:cs="Times New Roman"/>
                <w:bCs/>
                <w:color w:val="auto"/>
                <w:kern w:val="0"/>
                <w:sz w:val="22"/>
                <w:highlight w:val="none"/>
              </w:rPr>
            </w:pPr>
            <w:r>
              <w:rPr>
                <w:rFonts w:hint="default" w:ascii="Times New Roman" w:hAnsi="Times New Roman" w:eastAsia="宋体" w:cs="Times New Roman"/>
                <w:bCs/>
                <w:color w:val="auto"/>
                <w:kern w:val="0"/>
                <w:sz w:val="22"/>
                <w:highlight w:val="none"/>
                <w:lang w:bidi="ar"/>
              </w:rPr>
              <w:t>2</w:t>
            </w:r>
          </w:p>
        </w:tc>
        <w:tc>
          <w:tcPr>
            <w:tcW w:w="1320" w:type="dxa"/>
            <w:tcBorders>
              <w:top w:val="nil"/>
              <w:left w:val="nil"/>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eastAsia="宋体" w:cs="Times New Roman"/>
                <w:bCs/>
                <w:color w:val="auto"/>
                <w:kern w:val="0"/>
                <w:sz w:val="22"/>
                <w:highlight w:val="none"/>
                <w:lang w:bidi="ar"/>
              </w:rPr>
            </w:pPr>
            <w:r>
              <w:rPr>
                <w:rFonts w:hint="default" w:ascii="Times New Roman" w:hAnsi="Times New Roman" w:eastAsia="宋体" w:cs="Times New Roman"/>
                <w:bCs/>
                <w:color w:val="auto"/>
                <w:kern w:val="0"/>
                <w:sz w:val="22"/>
                <w:highlight w:val="none"/>
                <w:lang w:bidi="ar"/>
              </w:rPr>
              <w:t>187.75</w:t>
            </w:r>
          </w:p>
        </w:tc>
        <w:tc>
          <w:tcPr>
            <w:tcW w:w="1300" w:type="dxa"/>
            <w:tcBorders>
              <w:top w:val="nil"/>
              <w:left w:val="nil"/>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eastAsia="宋体" w:cs="Times New Roman"/>
                <w:bCs/>
                <w:color w:val="auto"/>
                <w:kern w:val="0"/>
                <w:sz w:val="22"/>
                <w:highlight w:val="none"/>
                <w:lang w:bidi="ar"/>
              </w:rPr>
            </w:pPr>
            <w:r>
              <w:rPr>
                <w:rFonts w:hint="default" w:ascii="Times New Roman" w:hAnsi="Times New Roman" w:eastAsia="宋体" w:cs="Times New Roman"/>
                <w:bCs/>
                <w:color w:val="auto"/>
                <w:kern w:val="0"/>
                <w:sz w:val="22"/>
                <w:highlight w:val="none"/>
                <w:lang w:bidi="ar"/>
              </w:rPr>
              <w:t>110.84</w:t>
            </w:r>
          </w:p>
        </w:tc>
      </w:tr>
      <w:tr>
        <w:tblPrEx>
          <w:tblCellMar>
            <w:top w:w="0" w:type="dxa"/>
            <w:left w:w="108" w:type="dxa"/>
            <w:bottom w:w="0" w:type="dxa"/>
            <w:right w:w="108" w:type="dxa"/>
          </w:tblCellMar>
        </w:tblPrEx>
        <w:trPr>
          <w:trHeight w:val="360" w:hRule="atLeast"/>
        </w:trPr>
        <w:tc>
          <w:tcPr>
            <w:tcW w:w="1858"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eastAsia="宋体" w:cs="Times New Roman"/>
                <w:color w:val="auto"/>
                <w:kern w:val="0"/>
                <w:sz w:val="22"/>
                <w:highlight w:val="none"/>
              </w:rPr>
            </w:pPr>
            <w:r>
              <w:rPr>
                <w:rFonts w:hint="default" w:ascii="Times New Roman" w:hAnsi="Times New Roman" w:eastAsia="宋体" w:cs="Times New Roman"/>
                <w:color w:val="auto"/>
                <w:kern w:val="0"/>
                <w:sz w:val="22"/>
                <w:highlight w:val="none"/>
                <w:lang w:bidi="ar"/>
              </w:rPr>
              <w:t>月口冲水库</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eastAsia="宋体" w:cs="Times New Roman"/>
                <w:bCs/>
                <w:color w:val="auto"/>
                <w:kern w:val="0"/>
                <w:sz w:val="22"/>
                <w:highlight w:val="none"/>
              </w:rPr>
            </w:pPr>
            <w:r>
              <w:rPr>
                <w:rFonts w:hint="default" w:ascii="Times New Roman" w:hAnsi="Times New Roman" w:eastAsia="宋体" w:cs="Times New Roman"/>
                <w:bCs/>
                <w:color w:val="auto"/>
                <w:kern w:val="0"/>
                <w:sz w:val="22"/>
                <w:highlight w:val="none"/>
                <w:lang w:bidi="ar"/>
              </w:rPr>
              <w:t>4.45</w:t>
            </w:r>
          </w:p>
        </w:tc>
        <w:tc>
          <w:tcPr>
            <w:tcW w:w="1299" w:type="dxa"/>
            <w:tcBorders>
              <w:top w:val="nil"/>
              <w:left w:val="nil"/>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eastAsia="宋体" w:cs="Times New Roman"/>
                <w:bCs/>
                <w:color w:val="auto"/>
                <w:kern w:val="0"/>
                <w:sz w:val="22"/>
                <w:highlight w:val="none"/>
              </w:rPr>
            </w:pPr>
            <w:r>
              <w:rPr>
                <w:rFonts w:hint="default" w:ascii="Times New Roman" w:hAnsi="Times New Roman" w:eastAsia="宋体" w:cs="Times New Roman"/>
                <w:bCs/>
                <w:color w:val="auto"/>
                <w:kern w:val="0"/>
                <w:sz w:val="22"/>
                <w:highlight w:val="none"/>
                <w:lang w:bidi="ar"/>
              </w:rPr>
              <w:t>4.63</w:t>
            </w:r>
          </w:p>
        </w:tc>
        <w:tc>
          <w:tcPr>
            <w:tcW w:w="849"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eastAsia="宋体" w:cs="Times New Roman"/>
                <w:bCs/>
                <w:color w:val="auto"/>
                <w:kern w:val="0"/>
                <w:sz w:val="22"/>
                <w:highlight w:val="none"/>
              </w:rPr>
            </w:pPr>
            <w:r>
              <w:rPr>
                <w:rFonts w:hint="default" w:ascii="Times New Roman" w:hAnsi="Times New Roman" w:eastAsia="宋体" w:cs="Times New Roman"/>
                <w:bCs/>
                <w:color w:val="auto"/>
                <w:kern w:val="0"/>
                <w:sz w:val="22"/>
                <w:highlight w:val="none"/>
                <w:lang w:bidi="ar"/>
              </w:rPr>
              <w:t>28</w:t>
            </w:r>
          </w:p>
        </w:tc>
        <w:tc>
          <w:tcPr>
            <w:tcW w:w="960" w:type="dxa"/>
            <w:tcBorders>
              <w:top w:val="nil"/>
              <w:left w:val="nil"/>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eastAsia="宋体" w:cs="Times New Roman"/>
                <w:bCs/>
                <w:color w:val="auto"/>
                <w:kern w:val="0"/>
                <w:sz w:val="22"/>
                <w:highlight w:val="none"/>
              </w:rPr>
            </w:pPr>
            <w:r>
              <w:rPr>
                <w:rFonts w:hint="default" w:ascii="Times New Roman" w:hAnsi="Times New Roman" w:eastAsia="宋体" w:cs="Times New Roman"/>
                <w:bCs/>
                <w:color w:val="auto"/>
                <w:kern w:val="0"/>
                <w:sz w:val="22"/>
                <w:highlight w:val="none"/>
                <w:lang w:bidi="ar"/>
              </w:rPr>
              <w:t>2</w:t>
            </w:r>
          </w:p>
        </w:tc>
        <w:tc>
          <w:tcPr>
            <w:tcW w:w="1320" w:type="dxa"/>
            <w:tcBorders>
              <w:top w:val="nil"/>
              <w:left w:val="nil"/>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eastAsia="宋体" w:cs="Times New Roman"/>
                <w:bCs/>
                <w:color w:val="auto"/>
                <w:kern w:val="0"/>
                <w:sz w:val="22"/>
                <w:highlight w:val="none"/>
                <w:lang w:bidi="ar"/>
              </w:rPr>
            </w:pPr>
            <w:r>
              <w:rPr>
                <w:rFonts w:hint="default" w:ascii="Times New Roman" w:hAnsi="Times New Roman" w:eastAsia="宋体" w:cs="Times New Roman"/>
                <w:bCs/>
                <w:color w:val="auto"/>
                <w:kern w:val="0"/>
                <w:sz w:val="22"/>
                <w:highlight w:val="none"/>
                <w:lang w:bidi="ar"/>
              </w:rPr>
              <w:t>394.63</w:t>
            </w:r>
          </w:p>
        </w:tc>
        <w:tc>
          <w:tcPr>
            <w:tcW w:w="1300" w:type="dxa"/>
            <w:tcBorders>
              <w:top w:val="nil"/>
              <w:left w:val="nil"/>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eastAsia="宋体" w:cs="Times New Roman"/>
                <w:bCs/>
                <w:color w:val="auto"/>
                <w:kern w:val="0"/>
                <w:sz w:val="22"/>
                <w:highlight w:val="none"/>
                <w:lang w:bidi="ar"/>
              </w:rPr>
            </w:pPr>
            <w:r>
              <w:rPr>
                <w:rFonts w:hint="default" w:ascii="Times New Roman" w:hAnsi="Times New Roman" w:eastAsia="宋体" w:cs="Times New Roman"/>
                <w:bCs/>
                <w:color w:val="auto"/>
                <w:kern w:val="0"/>
                <w:sz w:val="22"/>
                <w:highlight w:val="none"/>
                <w:lang w:bidi="ar"/>
              </w:rPr>
              <w:t>176.29</w:t>
            </w:r>
          </w:p>
        </w:tc>
      </w:tr>
      <w:tr>
        <w:tblPrEx>
          <w:tblCellMar>
            <w:top w:w="0" w:type="dxa"/>
            <w:left w:w="108" w:type="dxa"/>
            <w:bottom w:w="0" w:type="dxa"/>
            <w:right w:w="108" w:type="dxa"/>
          </w:tblCellMar>
        </w:tblPrEx>
        <w:trPr>
          <w:trHeight w:val="360" w:hRule="atLeast"/>
        </w:trPr>
        <w:tc>
          <w:tcPr>
            <w:tcW w:w="1858"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eastAsia="宋体" w:cs="Times New Roman"/>
                <w:color w:val="auto"/>
                <w:kern w:val="0"/>
                <w:sz w:val="22"/>
                <w:highlight w:val="none"/>
              </w:rPr>
            </w:pPr>
            <w:r>
              <w:rPr>
                <w:rFonts w:hint="default" w:ascii="Times New Roman" w:hAnsi="Times New Roman" w:eastAsia="宋体" w:cs="Times New Roman"/>
                <w:color w:val="auto"/>
                <w:kern w:val="0"/>
                <w:sz w:val="22"/>
                <w:highlight w:val="none"/>
                <w:lang w:bidi="ar"/>
              </w:rPr>
              <w:t>碧芝塘水库</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eastAsia="宋体" w:cs="Times New Roman"/>
                <w:bCs/>
                <w:color w:val="auto"/>
                <w:kern w:val="0"/>
                <w:sz w:val="22"/>
                <w:highlight w:val="none"/>
                <w:lang w:eastAsia="zh-CN"/>
              </w:rPr>
            </w:pPr>
            <w:r>
              <w:rPr>
                <w:rFonts w:hint="default" w:ascii="Times New Roman" w:hAnsi="Times New Roman" w:eastAsia="宋体" w:cs="Times New Roman"/>
                <w:bCs/>
                <w:color w:val="auto"/>
                <w:kern w:val="0"/>
                <w:sz w:val="22"/>
                <w:highlight w:val="none"/>
                <w:lang w:bidi="ar"/>
              </w:rPr>
              <w:t>3.4</w:t>
            </w:r>
            <w:r>
              <w:rPr>
                <w:rFonts w:hint="default" w:ascii="Times New Roman" w:hAnsi="Times New Roman" w:eastAsia="宋体" w:cs="Times New Roman"/>
                <w:bCs/>
                <w:color w:val="auto"/>
                <w:kern w:val="0"/>
                <w:sz w:val="22"/>
                <w:highlight w:val="none"/>
                <w:lang w:val="en-US" w:eastAsia="zh-CN" w:bidi="ar"/>
              </w:rPr>
              <w:t>2</w:t>
            </w:r>
          </w:p>
        </w:tc>
        <w:tc>
          <w:tcPr>
            <w:tcW w:w="1299" w:type="dxa"/>
            <w:tcBorders>
              <w:top w:val="nil"/>
              <w:left w:val="nil"/>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eastAsia="宋体" w:cs="Times New Roman"/>
                <w:bCs/>
                <w:color w:val="auto"/>
                <w:kern w:val="0"/>
                <w:sz w:val="22"/>
                <w:highlight w:val="none"/>
                <w:lang w:eastAsia="zh-CN"/>
              </w:rPr>
            </w:pPr>
            <w:r>
              <w:rPr>
                <w:rFonts w:hint="default" w:ascii="Times New Roman" w:hAnsi="Times New Roman" w:eastAsia="宋体" w:cs="Times New Roman"/>
                <w:bCs/>
                <w:color w:val="auto"/>
                <w:kern w:val="0"/>
                <w:sz w:val="22"/>
                <w:highlight w:val="none"/>
                <w:lang w:bidi="ar"/>
              </w:rPr>
              <w:t>3.2</w:t>
            </w:r>
            <w:r>
              <w:rPr>
                <w:rFonts w:hint="default" w:ascii="Times New Roman" w:hAnsi="Times New Roman" w:eastAsia="宋体" w:cs="Times New Roman"/>
                <w:bCs/>
                <w:color w:val="auto"/>
                <w:kern w:val="0"/>
                <w:sz w:val="22"/>
                <w:highlight w:val="none"/>
                <w:lang w:val="en-US" w:eastAsia="zh-CN" w:bidi="ar"/>
              </w:rPr>
              <w:t>8</w:t>
            </w:r>
          </w:p>
        </w:tc>
        <w:tc>
          <w:tcPr>
            <w:tcW w:w="849"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eastAsia="宋体" w:cs="Times New Roman"/>
                <w:bCs/>
                <w:color w:val="auto"/>
                <w:kern w:val="0"/>
                <w:sz w:val="22"/>
                <w:highlight w:val="none"/>
              </w:rPr>
            </w:pPr>
            <w:r>
              <w:rPr>
                <w:rFonts w:hint="default" w:ascii="Times New Roman" w:hAnsi="Times New Roman" w:eastAsia="宋体" w:cs="Times New Roman"/>
                <w:bCs/>
                <w:color w:val="auto"/>
                <w:kern w:val="0"/>
                <w:sz w:val="22"/>
                <w:highlight w:val="none"/>
                <w:lang w:bidi="ar"/>
              </w:rPr>
              <w:t>32</w:t>
            </w:r>
          </w:p>
        </w:tc>
        <w:tc>
          <w:tcPr>
            <w:tcW w:w="960" w:type="dxa"/>
            <w:tcBorders>
              <w:top w:val="nil"/>
              <w:left w:val="nil"/>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eastAsia="宋体" w:cs="Times New Roman"/>
                <w:bCs/>
                <w:color w:val="auto"/>
                <w:kern w:val="0"/>
                <w:sz w:val="22"/>
                <w:highlight w:val="none"/>
              </w:rPr>
            </w:pPr>
            <w:r>
              <w:rPr>
                <w:rFonts w:hint="default" w:ascii="Times New Roman" w:hAnsi="Times New Roman" w:eastAsia="宋体" w:cs="Times New Roman"/>
                <w:bCs/>
                <w:color w:val="auto"/>
                <w:kern w:val="0"/>
                <w:sz w:val="22"/>
                <w:highlight w:val="none"/>
                <w:lang w:bidi="ar"/>
              </w:rPr>
              <w:t>2</w:t>
            </w:r>
          </w:p>
        </w:tc>
        <w:tc>
          <w:tcPr>
            <w:tcW w:w="1320" w:type="dxa"/>
            <w:tcBorders>
              <w:top w:val="nil"/>
              <w:left w:val="nil"/>
              <w:bottom w:val="single" w:color="auto" w:sz="4" w:space="0"/>
              <w:right w:val="single" w:color="auto" w:sz="4" w:space="0"/>
            </w:tcBorders>
            <w:shd w:val="clear" w:color="auto" w:fill="auto"/>
            <w:noWrap/>
            <w:vAlign w:val="bottom"/>
          </w:tcPr>
          <w:p>
            <w:pPr>
              <w:widowControl/>
              <w:jc w:val="center"/>
              <w:textAlignment w:val="bottom"/>
              <w:rPr>
                <w:rFonts w:hint="default" w:ascii="Times New Roman" w:hAnsi="Times New Roman" w:eastAsia="宋体" w:cs="Times New Roman"/>
                <w:bCs/>
                <w:color w:val="auto"/>
                <w:kern w:val="0"/>
                <w:sz w:val="22"/>
                <w:highlight w:val="none"/>
                <w:lang w:bidi="ar"/>
              </w:rPr>
            </w:pPr>
            <w:r>
              <w:rPr>
                <w:rFonts w:hint="default" w:ascii="Times New Roman" w:hAnsi="Times New Roman" w:eastAsia="宋体" w:cs="Times New Roman"/>
                <w:bCs/>
                <w:color w:val="auto"/>
                <w:kern w:val="0"/>
                <w:sz w:val="22"/>
                <w:highlight w:val="none"/>
                <w:lang w:val="en-US" w:eastAsia="zh-CN" w:bidi="ar"/>
              </w:rPr>
              <w:t xml:space="preserve">298.79 </w:t>
            </w:r>
          </w:p>
        </w:tc>
        <w:tc>
          <w:tcPr>
            <w:tcW w:w="1300" w:type="dxa"/>
            <w:tcBorders>
              <w:top w:val="nil"/>
              <w:left w:val="nil"/>
              <w:bottom w:val="single" w:color="auto" w:sz="4" w:space="0"/>
              <w:right w:val="single" w:color="auto" w:sz="4" w:space="0"/>
            </w:tcBorders>
            <w:shd w:val="clear" w:color="auto" w:fill="auto"/>
            <w:noWrap/>
            <w:vAlign w:val="bottom"/>
          </w:tcPr>
          <w:p>
            <w:pPr>
              <w:widowControl/>
              <w:jc w:val="center"/>
              <w:textAlignment w:val="bottom"/>
              <w:rPr>
                <w:rFonts w:hint="default" w:ascii="Times New Roman" w:hAnsi="Times New Roman" w:eastAsia="宋体" w:cs="Times New Roman"/>
                <w:bCs/>
                <w:color w:val="auto"/>
                <w:kern w:val="0"/>
                <w:sz w:val="22"/>
                <w:highlight w:val="none"/>
                <w:lang w:bidi="ar"/>
              </w:rPr>
            </w:pPr>
            <w:r>
              <w:rPr>
                <w:rFonts w:hint="default" w:ascii="Times New Roman" w:hAnsi="Times New Roman" w:eastAsia="宋体" w:cs="Times New Roman"/>
                <w:bCs/>
                <w:color w:val="auto"/>
                <w:kern w:val="0"/>
                <w:sz w:val="22"/>
                <w:highlight w:val="none"/>
                <w:lang w:val="en-US" w:eastAsia="zh-CN" w:bidi="ar"/>
              </w:rPr>
              <w:t xml:space="preserve">142.90 </w:t>
            </w:r>
          </w:p>
        </w:tc>
      </w:tr>
      <w:tr>
        <w:tblPrEx>
          <w:tblCellMar>
            <w:top w:w="0" w:type="dxa"/>
            <w:left w:w="108" w:type="dxa"/>
            <w:bottom w:w="0" w:type="dxa"/>
            <w:right w:w="108" w:type="dxa"/>
          </w:tblCellMar>
        </w:tblPrEx>
        <w:trPr>
          <w:trHeight w:val="360" w:hRule="atLeast"/>
        </w:trPr>
        <w:tc>
          <w:tcPr>
            <w:tcW w:w="1858"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eastAsia="宋体" w:cs="Times New Roman"/>
                <w:color w:val="auto"/>
                <w:kern w:val="0"/>
                <w:sz w:val="22"/>
                <w:highlight w:val="none"/>
              </w:rPr>
            </w:pPr>
            <w:r>
              <w:rPr>
                <w:rFonts w:hint="default" w:ascii="Times New Roman" w:hAnsi="Times New Roman" w:eastAsia="宋体" w:cs="Times New Roman"/>
                <w:color w:val="auto"/>
                <w:kern w:val="0"/>
                <w:sz w:val="22"/>
                <w:highlight w:val="none"/>
                <w:lang w:bidi="ar"/>
              </w:rPr>
              <w:t>大堰水库</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eastAsia="宋体" w:cs="Times New Roman"/>
                <w:bCs/>
                <w:color w:val="auto"/>
                <w:kern w:val="0"/>
                <w:sz w:val="22"/>
                <w:highlight w:val="none"/>
              </w:rPr>
            </w:pPr>
            <w:r>
              <w:rPr>
                <w:rFonts w:hint="default" w:ascii="Times New Roman" w:hAnsi="Times New Roman" w:eastAsia="宋体" w:cs="Times New Roman"/>
                <w:bCs/>
                <w:color w:val="auto"/>
                <w:kern w:val="0"/>
                <w:sz w:val="22"/>
                <w:highlight w:val="none"/>
                <w:lang w:bidi="ar"/>
              </w:rPr>
              <w:t>3.38</w:t>
            </w:r>
          </w:p>
        </w:tc>
        <w:tc>
          <w:tcPr>
            <w:tcW w:w="1299" w:type="dxa"/>
            <w:tcBorders>
              <w:top w:val="nil"/>
              <w:left w:val="nil"/>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eastAsia="宋体" w:cs="Times New Roman"/>
                <w:bCs/>
                <w:color w:val="auto"/>
                <w:kern w:val="0"/>
                <w:sz w:val="22"/>
                <w:highlight w:val="none"/>
              </w:rPr>
            </w:pPr>
            <w:r>
              <w:rPr>
                <w:rFonts w:hint="default" w:ascii="Times New Roman" w:hAnsi="Times New Roman" w:eastAsia="宋体" w:cs="Times New Roman"/>
                <w:bCs/>
                <w:color w:val="auto"/>
                <w:kern w:val="0"/>
                <w:sz w:val="22"/>
                <w:highlight w:val="none"/>
                <w:lang w:bidi="ar"/>
              </w:rPr>
              <w:t>3.36</w:t>
            </w:r>
          </w:p>
        </w:tc>
        <w:tc>
          <w:tcPr>
            <w:tcW w:w="849"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eastAsia="宋体" w:cs="Times New Roman"/>
                <w:bCs/>
                <w:color w:val="auto"/>
                <w:kern w:val="0"/>
                <w:sz w:val="22"/>
                <w:highlight w:val="none"/>
              </w:rPr>
            </w:pPr>
            <w:r>
              <w:rPr>
                <w:rFonts w:hint="default" w:ascii="Times New Roman" w:hAnsi="Times New Roman" w:eastAsia="宋体" w:cs="Times New Roman"/>
                <w:bCs/>
                <w:color w:val="auto"/>
                <w:kern w:val="0"/>
                <w:sz w:val="22"/>
                <w:highlight w:val="none"/>
                <w:lang w:bidi="ar"/>
              </w:rPr>
              <w:t>26</w:t>
            </w:r>
          </w:p>
        </w:tc>
        <w:tc>
          <w:tcPr>
            <w:tcW w:w="960" w:type="dxa"/>
            <w:tcBorders>
              <w:top w:val="nil"/>
              <w:left w:val="nil"/>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eastAsia="宋体" w:cs="Times New Roman"/>
                <w:bCs/>
                <w:color w:val="auto"/>
                <w:kern w:val="0"/>
                <w:sz w:val="22"/>
                <w:highlight w:val="none"/>
              </w:rPr>
            </w:pPr>
            <w:r>
              <w:rPr>
                <w:rFonts w:hint="default" w:ascii="Times New Roman" w:hAnsi="Times New Roman" w:eastAsia="宋体" w:cs="Times New Roman"/>
                <w:bCs/>
                <w:color w:val="auto"/>
                <w:kern w:val="0"/>
                <w:sz w:val="22"/>
                <w:highlight w:val="none"/>
                <w:lang w:bidi="ar"/>
              </w:rPr>
              <w:t>4</w:t>
            </w:r>
          </w:p>
        </w:tc>
        <w:tc>
          <w:tcPr>
            <w:tcW w:w="1320" w:type="dxa"/>
            <w:tcBorders>
              <w:top w:val="nil"/>
              <w:left w:val="nil"/>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eastAsia="宋体" w:cs="Times New Roman"/>
                <w:bCs/>
                <w:color w:val="auto"/>
                <w:kern w:val="0"/>
                <w:sz w:val="22"/>
                <w:highlight w:val="none"/>
                <w:lang w:bidi="ar"/>
              </w:rPr>
            </w:pPr>
            <w:r>
              <w:rPr>
                <w:rFonts w:hint="default" w:ascii="Times New Roman" w:hAnsi="Times New Roman" w:eastAsia="宋体" w:cs="Times New Roman"/>
                <w:bCs/>
                <w:color w:val="auto"/>
                <w:kern w:val="0"/>
                <w:sz w:val="22"/>
                <w:highlight w:val="none"/>
                <w:lang w:bidi="ar"/>
              </w:rPr>
              <w:t>318.39</w:t>
            </w:r>
          </w:p>
        </w:tc>
        <w:tc>
          <w:tcPr>
            <w:tcW w:w="1300" w:type="dxa"/>
            <w:tcBorders>
              <w:top w:val="nil"/>
              <w:left w:val="nil"/>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eastAsia="宋体" w:cs="Times New Roman"/>
                <w:bCs/>
                <w:color w:val="auto"/>
                <w:kern w:val="0"/>
                <w:sz w:val="22"/>
                <w:highlight w:val="none"/>
                <w:lang w:bidi="ar"/>
              </w:rPr>
            </w:pPr>
            <w:r>
              <w:rPr>
                <w:rFonts w:hint="default" w:ascii="Times New Roman" w:hAnsi="Times New Roman" w:eastAsia="宋体" w:cs="Times New Roman"/>
                <w:bCs/>
                <w:color w:val="auto"/>
                <w:kern w:val="0"/>
                <w:sz w:val="22"/>
                <w:highlight w:val="none"/>
                <w:lang w:bidi="ar"/>
              </w:rPr>
              <w:t>170.12</w:t>
            </w:r>
          </w:p>
        </w:tc>
      </w:tr>
      <w:tr>
        <w:tblPrEx>
          <w:tblCellMar>
            <w:top w:w="0" w:type="dxa"/>
            <w:left w:w="108" w:type="dxa"/>
            <w:bottom w:w="0" w:type="dxa"/>
            <w:right w:w="108" w:type="dxa"/>
          </w:tblCellMar>
        </w:tblPrEx>
        <w:trPr>
          <w:trHeight w:val="360" w:hRule="atLeast"/>
        </w:trPr>
        <w:tc>
          <w:tcPr>
            <w:tcW w:w="1858"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eastAsia="宋体" w:cs="Times New Roman"/>
                <w:color w:val="auto"/>
                <w:kern w:val="0"/>
                <w:sz w:val="22"/>
                <w:highlight w:val="none"/>
              </w:rPr>
            </w:pPr>
            <w:r>
              <w:rPr>
                <w:rFonts w:hint="default" w:ascii="Times New Roman" w:hAnsi="Times New Roman" w:eastAsia="宋体" w:cs="Times New Roman"/>
                <w:color w:val="auto"/>
                <w:kern w:val="0"/>
                <w:sz w:val="22"/>
                <w:highlight w:val="none"/>
                <w:lang w:bidi="ar"/>
              </w:rPr>
              <w:t>烟塘水库</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eastAsia="宋体" w:cs="Times New Roman"/>
                <w:bCs/>
                <w:color w:val="auto"/>
                <w:kern w:val="0"/>
                <w:sz w:val="22"/>
                <w:highlight w:val="none"/>
              </w:rPr>
            </w:pPr>
            <w:r>
              <w:rPr>
                <w:rFonts w:hint="default" w:ascii="Times New Roman" w:hAnsi="Times New Roman" w:eastAsia="宋体" w:cs="Times New Roman"/>
                <w:bCs/>
                <w:color w:val="auto"/>
                <w:kern w:val="0"/>
                <w:sz w:val="22"/>
                <w:highlight w:val="none"/>
                <w:lang w:bidi="ar"/>
              </w:rPr>
              <w:t>4.37</w:t>
            </w:r>
          </w:p>
        </w:tc>
        <w:tc>
          <w:tcPr>
            <w:tcW w:w="1299" w:type="dxa"/>
            <w:tcBorders>
              <w:top w:val="nil"/>
              <w:left w:val="nil"/>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eastAsia="宋体" w:cs="Times New Roman"/>
                <w:bCs/>
                <w:color w:val="auto"/>
                <w:kern w:val="0"/>
                <w:sz w:val="22"/>
                <w:highlight w:val="none"/>
              </w:rPr>
            </w:pPr>
            <w:r>
              <w:rPr>
                <w:rFonts w:hint="default" w:ascii="Times New Roman" w:hAnsi="Times New Roman" w:eastAsia="宋体" w:cs="Times New Roman"/>
                <w:bCs/>
                <w:color w:val="auto"/>
                <w:kern w:val="0"/>
                <w:sz w:val="22"/>
                <w:highlight w:val="none"/>
                <w:lang w:bidi="ar"/>
              </w:rPr>
              <w:t>4.4</w:t>
            </w:r>
          </w:p>
        </w:tc>
        <w:tc>
          <w:tcPr>
            <w:tcW w:w="849"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eastAsia="宋体" w:cs="Times New Roman"/>
                <w:bCs/>
                <w:color w:val="auto"/>
                <w:kern w:val="0"/>
                <w:sz w:val="22"/>
                <w:highlight w:val="none"/>
              </w:rPr>
            </w:pPr>
            <w:r>
              <w:rPr>
                <w:rFonts w:hint="default" w:ascii="Times New Roman" w:hAnsi="Times New Roman" w:eastAsia="宋体" w:cs="Times New Roman"/>
                <w:bCs/>
                <w:color w:val="auto"/>
                <w:kern w:val="0"/>
                <w:sz w:val="22"/>
                <w:highlight w:val="none"/>
                <w:lang w:bidi="ar"/>
              </w:rPr>
              <w:t>32</w:t>
            </w:r>
          </w:p>
        </w:tc>
        <w:tc>
          <w:tcPr>
            <w:tcW w:w="960" w:type="dxa"/>
            <w:tcBorders>
              <w:top w:val="nil"/>
              <w:left w:val="nil"/>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eastAsia="宋体" w:cs="Times New Roman"/>
                <w:bCs/>
                <w:color w:val="auto"/>
                <w:kern w:val="0"/>
                <w:sz w:val="22"/>
                <w:highlight w:val="none"/>
              </w:rPr>
            </w:pPr>
            <w:r>
              <w:rPr>
                <w:rFonts w:hint="default" w:ascii="Times New Roman" w:hAnsi="Times New Roman" w:eastAsia="宋体" w:cs="Times New Roman"/>
                <w:bCs/>
                <w:color w:val="auto"/>
                <w:kern w:val="0"/>
                <w:sz w:val="22"/>
                <w:highlight w:val="none"/>
                <w:lang w:bidi="ar"/>
              </w:rPr>
              <w:t>2</w:t>
            </w:r>
          </w:p>
        </w:tc>
        <w:tc>
          <w:tcPr>
            <w:tcW w:w="1320" w:type="dxa"/>
            <w:tcBorders>
              <w:top w:val="nil"/>
              <w:left w:val="nil"/>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eastAsia="宋体" w:cs="Times New Roman"/>
                <w:bCs/>
                <w:color w:val="auto"/>
                <w:kern w:val="0"/>
                <w:sz w:val="22"/>
                <w:highlight w:val="none"/>
                <w:lang w:bidi="ar"/>
              </w:rPr>
            </w:pPr>
            <w:r>
              <w:rPr>
                <w:rFonts w:hint="default" w:ascii="Times New Roman" w:hAnsi="Times New Roman" w:eastAsia="宋体" w:cs="Times New Roman"/>
                <w:bCs/>
                <w:color w:val="auto"/>
                <w:kern w:val="0"/>
                <w:sz w:val="22"/>
                <w:highlight w:val="none"/>
                <w:lang w:bidi="ar"/>
              </w:rPr>
              <w:t>413.48</w:t>
            </w:r>
          </w:p>
        </w:tc>
        <w:tc>
          <w:tcPr>
            <w:tcW w:w="1300" w:type="dxa"/>
            <w:tcBorders>
              <w:top w:val="nil"/>
              <w:left w:val="nil"/>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eastAsia="宋体" w:cs="Times New Roman"/>
                <w:bCs/>
                <w:color w:val="auto"/>
                <w:kern w:val="0"/>
                <w:sz w:val="22"/>
                <w:highlight w:val="none"/>
                <w:lang w:bidi="ar"/>
              </w:rPr>
            </w:pPr>
            <w:r>
              <w:rPr>
                <w:rFonts w:hint="default" w:ascii="Times New Roman" w:hAnsi="Times New Roman" w:eastAsia="宋体" w:cs="Times New Roman"/>
                <w:bCs/>
                <w:color w:val="auto"/>
                <w:kern w:val="0"/>
                <w:sz w:val="22"/>
                <w:highlight w:val="none"/>
                <w:lang w:bidi="ar"/>
              </w:rPr>
              <w:t>162.43</w:t>
            </w:r>
          </w:p>
        </w:tc>
      </w:tr>
      <w:tr>
        <w:tblPrEx>
          <w:tblCellMar>
            <w:top w:w="0" w:type="dxa"/>
            <w:left w:w="108" w:type="dxa"/>
            <w:bottom w:w="0" w:type="dxa"/>
            <w:right w:w="108" w:type="dxa"/>
          </w:tblCellMar>
        </w:tblPrEx>
        <w:trPr>
          <w:trHeight w:val="360" w:hRule="atLeast"/>
        </w:trPr>
        <w:tc>
          <w:tcPr>
            <w:tcW w:w="1858"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eastAsia="宋体" w:cs="Times New Roman"/>
                <w:color w:val="auto"/>
                <w:kern w:val="0"/>
                <w:sz w:val="22"/>
                <w:highlight w:val="none"/>
              </w:rPr>
            </w:pPr>
            <w:r>
              <w:rPr>
                <w:rFonts w:hint="default" w:ascii="Times New Roman" w:hAnsi="Times New Roman" w:eastAsia="宋体" w:cs="Times New Roman"/>
                <w:color w:val="auto"/>
                <w:kern w:val="0"/>
                <w:sz w:val="22"/>
                <w:highlight w:val="none"/>
                <w:lang w:bidi="ar"/>
              </w:rPr>
              <w:t>杨司桥水库</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eastAsia="宋体" w:cs="Times New Roman"/>
                <w:bCs/>
                <w:color w:val="auto"/>
                <w:kern w:val="0"/>
                <w:sz w:val="22"/>
                <w:highlight w:val="none"/>
                <w:lang w:val="en-US" w:eastAsia="zh-CN"/>
              </w:rPr>
            </w:pPr>
            <w:r>
              <w:rPr>
                <w:rFonts w:hint="default" w:ascii="Times New Roman" w:hAnsi="Times New Roman" w:eastAsia="宋体" w:cs="Times New Roman"/>
                <w:bCs/>
                <w:color w:val="auto"/>
                <w:kern w:val="0"/>
                <w:sz w:val="22"/>
                <w:highlight w:val="none"/>
                <w:lang w:val="en-US" w:eastAsia="zh-CN" w:bidi="ar"/>
              </w:rPr>
              <w:t>6.27</w:t>
            </w:r>
          </w:p>
        </w:tc>
        <w:tc>
          <w:tcPr>
            <w:tcW w:w="1299" w:type="dxa"/>
            <w:tcBorders>
              <w:top w:val="nil"/>
              <w:left w:val="nil"/>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eastAsia="宋体" w:cs="Times New Roman"/>
                <w:bCs/>
                <w:color w:val="auto"/>
                <w:kern w:val="0"/>
                <w:sz w:val="22"/>
                <w:highlight w:val="none"/>
                <w:lang w:val="en-US" w:eastAsia="zh-CN"/>
              </w:rPr>
            </w:pPr>
            <w:r>
              <w:rPr>
                <w:rFonts w:hint="default" w:ascii="Times New Roman" w:hAnsi="Times New Roman" w:eastAsia="宋体" w:cs="Times New Roman"/>
                <w:bCs/>
                <w:color w:val="auto"/>
                <w:kern w:val="0"/>
                <w:sz w:val="22"/>
                <w:highlight w:val="none"/>
                <w:lang w:val="en-US" w:eastAsia="zh-CN" w:bidi="ar"/>
              </w:rPr>
              <w:t>5.81</w:t>
            </w:r>
          </w:p>
        </w:tc>
        <w:tc>
          <w:tcPr>
            <w:tcW w:w="849"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eastAsia="宋体" w:cs="Times New Roman"/>
                <w:bCs/>
                <w:color w:val="auto"/>
                <w:kern w:val="0"/>
                <w:sz w:val="22"/>
                <w:highlight w:val="none"/>
                <w:lang w:val="en-US" w:eastAsia="zh-CN"/>
              </w:rPr>
            </w:pPr>
            <w:r>
              <w:rPr>
                <w:rFonts w:hint="default" w:ascii="Times New Roman" w:hAnsi="Times New Roman" w:eastAsia="宋体" w:cs="Times New Roman"/>
                <w:bCs/>
                <w:color w:val="auto"/>
                <w:kern w:val="0"/>
                <w:sz w:val="22"/>
                <w:highlight w:val="none"/>
                <w:lang w:val="en-US" w:eastAsia="zh-CN" w:bidi="ar"/>
              </w:rPr>
              <w:t>55</w:t>
            </w:r>
          </w:p>
        </w:tc>
        <w:tc>
          <w:tcPr>
            <w:tcW w:w="960" w:type="dxa"/>
            <w:tcBorders>
              <w:top w:val="nil"/>
              <w:left w:val="nil"/>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eastAsia="宋体" w:cs="Times New Roman"/>
                <w:bCs/>
                <w:color w:val="auto"/>
                <w:kern w:val="0"/>
                <w:sz w:val="22"/>
                <w:highlight w:val="none"/>
              </w:rPr>
            </w:pPr>
            <w:r>
              <w:rPr>
                <w:rFonts w:hint="default" w:ascii="Times New Roman" w:hAnsi="Times New Roman" w:eastAsia="宋体" w:cs="Times New Roman"/>
                <w:bCs/>
                <w:color w:val="auto"/>
                <w:kern w:val="0"/>
                <w:sz w:val="22"/>
                <w:highlight w:val="none"/>
                <w:lang w:bidi="ar"/>
              </w:rPr>
              <w:t>4</w:t>
            </w:r>
          </w:p>
        </w:tc>
        <w:tc>
          <w:tcPr>
            <w:tcW w:w="1320" w:type="dxa"/>
            <w:tcBorders>
              <w:top w:val="nil"/>
              <w:left w:val="nil"/>
              <w:bottom w:val="single" w:color="auto" w:sz="4" w:space="0"/>
              <w:right w:val="single" w:color="auto" w:sz="4" w:space="0"/>
            </w:tcBorders>
            <w:shd w:val="clear" w:color="auto" w:fill="auto"/>
            <w:noWrap/>
            <w:vAlign w:val="bottom"/>
          </w:tcPr>
          <w:p>
            <w:pPr>
              <w:widowControl/>
              <w:jc w:val="center"/>
              <w:textAlignment w:val="bottom"/>
              <w:rPr>
                <w:rFonts w:hint="default" w:ascii="Times New Roman" w:hAnsi="Times New Roman" w:eastAsia="宋体" w:cs="Times New Roman"/>
                <w:bCs/>
                <w:color w:val="auto"/>
                <w:kern w:val="0"/>
                <w:sz w:val="22"/>
                <w:highlight w:val="none"/>
                <w:lang w:bidi="ar"/>
              </w:rPr>
            </w:pPr>
            <w:r>
              <w:rPr>
                <w:rFonts w:hint="default" w:ascii="Times New Roman" w:hAnsi="Times New Roman" w:eastAsia="宋体" w:cs="Times New Roman"/>
                <w:bCs/>
                <w:color w:val="auto"/>
                <w:kern w:val="0"/>
                <w:sz w:val="22"/>
                <w:highlight w:val="none"/>
                <w:lang w:val="en-US" w:eastAsia="zh-CN" w:bidi="ar"/>
              </w:rPr>
              <w:t xml:space="preserve">636.31 </w:t>
            </w:r>
          </w:p>
        </w:tc>
        <w:tc>
          <w:tcPr>
            <w:tcW w:w="1300" w:type="dxa"/>
            <w:tcBorders>
              <w:top w:val="nil"/>
              <w:left w:val="nil"/>
              <w:bottom w:val="single" w:color="auto" w:sz="4" w:space="0"/>
              <w:right w:val="single" w:color="auto" w:sz="4" w:space="0"/>
            </w:tcBorders>
            <w:shd w:val="clear" w:color="auto" w:fill="auto"/>
            <w:noWrap/>
            <w:vAlign w:val="bottom"/>
          </w:tcPr>
          <w:p>
            <w:pPr>
              <w:widowControl/>
              <w:jc w:val="center"/>
              <w:textAlignment w:val="bottom"/>
              <w:rPr>
                <w:rFonts w:hint="default" w:ascii="Times New Roman" w:hAnsi="Times New Roman" w:eastAsia="宋体" w:cs="Times New Roman"/>
                <w:bCs/>
                <w:color w:val="auto"/>
                <w:kern w:val="0"/>
                <w:sz w:val="22"/>
                <w:highlight w:val="none"/>
                <w:lang w:bidi="ar"/>
              </w:rPr>
            </w:pPr>
            <w:r>
              <w:rPr>
                <w:rFonts w:hint="default" w:ascii="Times New Roman" w:hAnsi="Times New Roman" w:eastAsia="宋体" w:cs="Times New Roman"/>
                <w:bCs/>
                <w:color w:val="auto"/>
                <w:kern w:val="0"/>
                <w:sz w:val="22"/>
                <w:highlight w:val="none"/>
                <w:lang w:val="en-US" w:eastAsia="zh-CN" w:bidi="ar"/>
              </w:rPr>
              <w:t xml:space="preserve">243.61 </w:t>
            </w:r>
          </w:p>
        </w:tc>
      </w:tr>
      <w:tr>
        <w:tblPrEx>
          <w:tblCellMar>
            <w:top w:w="0" w:type="dxa"/>
            <w:left w:w="108" w:type="dxa"/>
            <w:bottom w:w="0" w:type="dxa"/>
            <w:right w:w="108" w:type="dxa"/>
          </w:tblCellMar>
        </w:tblPrEx>
        <w:trPr>
          <w:trHeight w:val="360" w:hRule="atLeast"/>
        </w:trPr>
        <w:tc>
          <w:tcPr>
            <w:tcW w:w="1858"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eastAsia="宋体" w:cs="Times New Roman"/>
                <w:color w:val="auto"/>
                <w:kern w:val="0"/>
                <w:sz w:val="22"/>
                <w:highlight w:val="none"/>
              </w:rPr>
            </w:pPr>
            <w:r>
              <w:rPr>
                <w:rFonts w:hint="default" w:ascii="Times New Roman" w:hAnsi="Times New Roman" w:eastAsia="宋体" w:cs="Times New Roman"/>
                <w:color w:val="auto"/>
                <w:kern w:val="0"/>
                <w:sz w:val="22"/>
                <w:highlight w:val="none"/>
                <w:lang w:bidi="ar"/>
              </w:rPr>
              <w:t>舜塘水库</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eastAsia="宋体" w:cs="Times New Roman"/>
                <w:bCs/>
                <w:color w:val="auto"/>
                <w:kern w:val="0"/>
                <w:sz w:val="22"/>
                <w:highlight w:val="none"/>
                <w:lang w:val="en-US" w:eastAsia="zh-CN"/>
              </w:rPr>
            </w:pPr>
            <w:r>
              <w:rPr>
                <w:rFonts w:hint="default" w:ascii="Times New Roman" w:hAnsi="Times New Roman" w:eastAsia="宋体" w:cs="Times New Roman"/>
                <w:bCs/>
                <w:color w:val="auto"/>
                <w:kern w:val="0"/>
                <w:sz w:val="22"/>
                <w:highlight w:val="none"/>
                <w:lang w:val="en-US" w:eastAsia="zh-CN" w:bidi="ar"/>
              </w:rPr>
              <w:t>3.40</w:t>
            </w:r>
          </w:p>
        </w:tc>
        <w:tc>
          <w:tcPr>
            <w:tcW w:w="1299" w:type="dxa"/>
            <w:tcBorders>
              <w:top w:val="nil"/>
              <w:left w:val="nil"/>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eastAsia="宋体" w:cs="Times New Roman"/>
                <w:bCs/>
                <w:color w:val="auto"/>
                <w:kern w:val="0"/>
                <w:sz w:val="22"/>
                <w:highlight w:val="none"/>
                <w:lang w:val="en-US" w:eastAsia="zh-CN"/>
              </w:rPr>
            </w:pPr>
            <w:r>
              <w:rPr>
                <w:rFonts w:hint="default" w:ascii="Times New Roman" w:hAnsi="Times New Roman" w:eastAsia="宋体" w:cs="Times New Roman"/>
                <w:bCs/>
                <w:color w:val="auto"/>
                <w:kern w:val="0"/>
                <w:sz w:val="22"/>
                <w:highlight w:val="none"/>
                <w:lang w:bidi="ar"/>
              </w:rPr>
              <w:t>3.</w:t>
            </w:r>
            <w:r>
              <w:rPr>
                <w:rFonts w:hint="default" w:ascii="Times New Roman" w:hAnsi="Times New Roman" w:eastAsia="宋体" w:cs="Times New Roman"/>
                <w:bCs/>
                <w:color w:val="auto"/>
                <w:kern w:val="0"/>
                <w:sz w:val="22"/>
                <w:highlight w:val="none"/>
                <w:lang w:val="en-US" w:eastAsia="zh-CN" w:bidi="ar"/>
              </w:rPr>
              <w:t>33</w:t>
            </w:r>
          </w:p>
        </w:tc>
        <w:tc>
          <w:tcPr>
            <w:tcW w:w="849"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eastAsia="宋体" w:cs="Times New Roman"/>
                <w:bCs/>
                <w:color w:val="auto"/>
                <w:kern w:val="0"/>
                <w:sz w:val="22"/>
                <w:highlight w:val="none"/>
                <w:lang w:val="en-US" w:eastAsia="zh-CN"/>
              </w:rPr>
            </w:pPr>
            <w:r>
              <w:rPr>
                <w:rFonts w:hint="default" w:ascii="Times New Roman" w:hAnsi="Times New Roman" w:eastAsia="宋体" w:cs="Times New Roman"/>
                <w:bCs/>
                <w:color w:val="auto"/>
                <w:kern w:val="0"/>
                <w:sz w:val="22"/>
                <w:highlight w:val="none"/>
                <w:lang w:val="en-US" w:eastAsia="zh-CN" w:bidi="ar"/>
              </w:rPr>
              <w:t>41</w:t>
            </w:r>
          </w:p>
        </w:tc>
        <w:tc>
          <w:tcPr>
            <w:tcW w:w="960" w:type="dxa"/>
            <w:tcBorders>
              <w:top w:val="nil"/>
              <w:left w:val="nil"/>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eastAsia="宋体" w:cs="Times New Roman"/>
                <w:bCs/>
                <w:color w:val="auto"/>
                <w:kern w:val="0"/>
                <w:sz w:val="22"/>
                <w:highlight w:val="none"/>
              </w:rPr>
            </w:pPr>
            <w:r>
              <w:rPr>
                <w:rFonts w:hint="default" w:ascii="Times New Roman" w:hAnsi="Times New Roman" w:eastAsia="宋体" w:cs="Times New Roman"/>
                <w:bCs/>
                <w:color w:val="auto"/>
                <w:kern w:val="0"/>
                <w:sz w:val="22"/>
                <w:highlight w:val="none"/>
                <w:lang w:bidi="ar"/>
              </w:rPr>
              <w:t>2</w:t>
            </w:r>
          </w:p>
        </w:tc>
        <w:tc>
          <w:tcPr>
            <w:tcW w:w="1320" w:type="dxa"/>
            <w:tcBorders>
              <w:top w:val="nil"/>
              <w:left w:val="nil"/>
              <w:bottom w:val="single" w:color="auto" w:sz="4" w:space="0"/>
              <w:right w:val="single" w:color="auto" w:sz="4" w:space="0"/>
            </w:tcBorders>
            <w:shd w:val="clear" w:color="auto" w:fill="auto"/>
            <w:noWrap/>
            <w:vAlign w:val="bottom"/>
          </w:tcPr>
          <w:p>
            <w:pPr>
              <w:widowControl/>
              <w:jc w:val="center"/>
              <w:textAlignment w:val="bottom"/>
              <w:rPr>
                <w:rFonts w:hint="default" w:ascii="Times New Roman" w:hAnsi="Times New Roman" w:eastAsia="宋体" w:cs="Times New Roman"/>
                <w:bCs/>
                <w:color w:val="auto"/>
                <w:kern w:val="0"/>
                <w:sz w:val="22"/>
                <w:highlight w:val="none"/>
                <w:lang w:bidi="ar"/>
              </w:rPr>
            </w:pPr>
            <w:r>
              <w:rPr>
                <w:rFonts w:hint="default" w:ascii="Times New Roman" w:hAnsi="Times New Roman" w:eastAsia="宋体" w:cs="Times New Roman"/>
                <w:bCs/>
                <w:color w:val="auto"/>
                <w:kern w:val="0"/>
                <w:sz w:val="22"/>
                <w:highlight w:val="none"/>
                <w:lang w:val="en-US" w:eastAsia="zh-CN" w:bidi="ar"/>
              </w:rPr>
              <w:t xml:space="preserve">302.51 </w:t>
            </w:r>
          </w:p>
        </w:tc>
        <w:tc>
          <w:tcPr>
            <w:tcW w:w="1300" w:type="dxa"/>
            <w:tcBorders>
              <w:top w:val="nil"/>
              <w:left w:val="nil"/>
              <w:bottom w:val="single" w:color="auto" w:sz="4" w:space="0"/>
              <w:right w:val="single" w:color="auto" w:sz="4" w:space="0"/>
            </w:tcBorders>
            <w:shd w:val="clear" w:color="auto" w:fill="auto"/>
            <w:noWrap/>
            <w:vAlign w:val="bottom"/>
          </w:tcPr>
          <w:p>
            <w:pPr>
              <w:widowControl/>
              <w:jc w:val="center"/>
              <w:textAlignment w:val="bottom"/>
              <w:rPr>
                <w:rFonts w:hint="default" w:ascii="Times New Roman" w:hAnsi="Times New Roman" w:eastAsia="宋体" w:cs="Times New Roman"/>
                <w:bCs/>
                <w:color w:val="auto"/>
                <w:kern w:val="0"/>
                <w:sz w:val="22"/>
                <w:highlight w:val="none"/>
                <w:lang w:bidi="ar"/>
              </w:rPr>
            </w:pPr>
            <w:r>
              <w:rPr>
                <w:rFonts w:hint="default" w:ascii="Times New Roman" w:hAnsi="Times New Roman" w:eastAsia="宋体" w:cs="Times New Roman"/>
                <w:bCs/>
                <w:color w:val="auto"/>
                <w:kern w:val="0"/>
                <w:sz w:val="22"/>
                <w:highlight w:val="none"/>
                <w:lang w:val="en-US" w:eastAsia="zh-CN" w:bidi="ar"/>
              </w:rPr>
              <w:t xml:space="preserve">147.26 </w:t>
            </w:r>
          </w:p>
        </w:tc>
      </w:tr>
      <w:tr>
        <w:tblPrEx>
          <w:tblCellMar>
            <w:top w:w="0" w:type="dxa"/>
            <w:left w:w="108" w:type="dxa"/>
            <w:bottom w:w="0" w:type="dxa"/>
            <w:right w:w="108" w:type="dxa"/>
          </w:tblCellMar>
        </w:tblPrEx>
        <w:trPr>
          <w:trHeight w:val="360" w:hRule="atLeast"/>
        </w:trPr>
        <w:tc>
          <w:tcPr>
            <w:tcW w:w="1858"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eastAsia="宋体" w:cs="Times New Roman"/>
                <w:color w:val="auto"/>
                <w:kern w:val="0"/>
                <w:sz w:val="22"/>
                <w:highlight w:val="none"/>
              </w:rPr>
            </w:pPr>
            <w:r>
              <w:rPr>
                <w:rFonts w:hint="default" w:ascii="Times New Roman" w:hAnsi="Times New Roman" w:eastAsia="宋体" w:cs="Times New Roman"/>
                <w:color w:val="auto"/>
                <w:kern w:val="0"/>
                <w:sz w:val="22"/>
                <w:highlight w:val="none"/>
                <w:lang w:bidi="ar"/>
              </w:rPr>
              <w:t>保定安水库</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eastAsia="宋体" w:cs="Times New Roman"/>
                <w:bCs/>
                <w:color w:val="auto"/>
                <w:kern w:val="0"/>
                <w:sz w:val="22"/>
                <w:highlight w:val="none"/>
                <w:lang w:eastAsia="zh-CN"/>
              </w:rPr>
            </w:pPr>
            <w:r>
              <w:rPr>
                <w:rFonts w:hint="default" w:ascii="Times New Roman" w:hAnsi="Times New Roman" w:eastAsia="宋体" w:cs="Times New Roman"/>
                <w:bCs/>
                <w:color w:val="auto"/>
                <w:kern w:val="0"/>
                <w:sz w:val="22"/>
                <w:highlight w:val="none"/>
                <w:lang w:bidi="ar"/>
              </w:rPr>
              <w:t>2.2</w:t>
            </w:r>
            <w:r>
              <w:rPr>
                <w:rFonts w:hint="default" w:ascii="Times New Roman" w:hAnsi="Times New Roman" w:eastAsia="宋体" w:cs="Times New Roman"/>
                <w:bCs/>
                <w:color w:val="auto"/>
                <w:kern w:val="0"/>
                <w:sz w:val="22"/>
                <w:highlight w:val="none"/>
                <w:lang w:val="en-US" w:eastAsia="zh-CN" w:bidi="ar"/>
              </w:rPr>
              <w:t>9</w:t>
            </w:r>
          </w:p>
        </w:tc>
        <w:tc>
          <w:tcPr>
            <w:tcW w:w="1299" w:type="dxa"/>
            <w:tcBorders>
              <w:top w:val="nil"/>
              <w:left w:val="nil"/>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eastAsia="宋体" w:cs="Times New Roman"/>
                <w:bCs/>
                <w:color w:val="auto"/>
                <w:kern w:val="0"/>
                <w:sz w:val="22"/>
                <w:highlight w:val="none"/>
                <w:lang w:val="en-US" w:eastAsia="zh-CN"/>
              </w:rPr>
            </w:pPr>
            <w:r>
              <w:rPr>
                <w:rFonts w:hint="default" w:ascii="Times New Roman" w:hAnsi="Times New Roman" w:eastAsia="宋体" w:cs="Times New Roman"/>
                <w:bCs/>
                <w:color w:val="auto"/>
                <w:kern w:val="0"/>
                <w:sz w:val="22"/>
                <w:highlight w:val="none"/>
                <w:lang w:bidi="ar"/>
              </w:rPr>
              <w:t>2.</w:t>
            </w:r>
            <w:r>
              <w:rPr>
                <w:rFonts w:hint="default" w:ascii="Times New Roman" w:hAnsi="Times New Roman" w:eastAsia="宋体" w:cs="Times New Roman"/>
                <w:bCs/>
                <w:color w:val="auto"/>
                <w:kern w:val="0"/>
                <w:sz w:val="22"/>
                <w:highlight w:val="none"/>
                <w:lang w:val="en-US" w:eastAsia="zh-CN" w:bidi="ar"/>
              </w:rPr>
              <w:t>33</w:t>
            </w:r>
          </w:p>
        </w:tc>
        <w:tc>
          <w:tcPr>
            <w:tcW w:w="849"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eastAsia="宋体" w:cs="Times New Roman"/>
                <w:bCs/>
                <w:color w:val="auto"/>
                <w:kern w:val="0"/>
                <w:sz w:val="22"/>
                <w:highlight w:val="none"/>
                <w:lang w:val="en-US" w:eastAsia="zh-CN"/>
              </w:rPr>
            </w:pPr>
            <w:r>
              <w:rPr>
                <w:rFonts w:hint="default" w:ascii="Times New Roman" w:hAnsi="Times New Roman" w:eastAsia="宋体" w:cs="Times New Roman"/>
                <w:bCs/>
                <w:color w:val="auto"/>
                <w:kern w:val="0"/>
                <w:sz w:val="22"/>
                <w:highlight w:val="none"/>
                <w:lang w:val="en-US" w:eastAsia="zh-CN" w:bidi="ar"/>
              </w:rPr>
              <w:t>34</w:t>
            </w:r>
          </w:p>
        </w:tc>
        <w:tc>
          <w:tcPr>
            <w:tcW w:w="960" w:type="dxa"/>
            <w:tcBorders>
              <w:top w:val="nil"/>
              <w:left w:val="nil"/>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eastAsia="宋体" w:cs="Times New Roman"/>
                <w:bCs/>
                <w:color w:val="auto"/>
                <w:kern w:val="0"/>
                <w:sz w:val="22"/>
                <w:highlight w:val="none"/>
              </w:rPr>
            </w:pPr>
            <w:r>
              <w:rPr>
                <w:rFonts w:hint="default" w:ascii="Times New Roman" w:hAnsi="Times New Roman" w:eastAsia="宋体" w:cs="Times New Roman"/>
                <w:bCs/>
                <w:color w:val="auto"/>
                <w:kern w:val="0"/>
                <w:sz w:val="22"/>
                <w:highlight w:val="none"/>
                <w:lang w:bidi="ar"/>
              </w:rPr>
              <w:t>2</w:t>
            </w:r>
          </w:p>
        </w:tc>
        <w:tc>
          <w:tcPr>
            <w:tcW w:w="1320" w:type="dxa"/>
            <w:tcBorders>
              <w:top w:val="nil"/>
              <w:left w:val="nil"/>
              <w:bottom w:val="single" w:color="auto" w:sz="4" w:space="0"/>
              <w:right w:val="single" w:color="auto" w:sz="4" w:space="0"/>
            </w:tcBorders>
            <w:shd w:val="clear" w:color="auto" w:fill="auto"/>
            <w:noWrap/>
            <w:vAlign w:val="bottom"/>
          </w:tcPr>
          <w:p>
            <w:pPr>
              <w:widowControl/>
              <w:jc w:val="center"/>
              <w:textAlignment w:val="bottom"/>
              <w:rPr>
                <w:rFonts w:hint="default" w:ascii="Times New Roman" w:hAnsi="Times New Roman" w:eastAsia="宋体" w:cs="Times New Roman"/>
                <w:bCs/>
                <w:color w:val="auto"/>
                <w:kern w:val="0"/>
                <w:sz w:val="22"/>
                <w:highlight w:val="none"/>
                <w:lang w:bidi="ar"/>
              </w:rPr>
            </w:pPr>
            <w:r>
              <w:rPr>
                <w:rFonts w:hint="default" w:ascii="Times New Roman" w:hAnsi="Times New Roman" w:eastAsia="宋体" w:cs="Times New Roman"/>
                <w:bCs/>
                <w:color w:val="auto"/>
                <w:kern w:val="0"/>
                <w:sz w:val="22"/>
                <w:highlight w:val="none"/>
                <w:lang w:val="en-US" w:eastAsia="zh-CN" w:bidi="ar"/>
              </w:rPr>
              <w:t xml:space="preserve">125.46 </w:t>
            </w:r>
          </w:p>
        </w:tc>
        <w:tc>
          <w:tcPr>
            <w:tcW w:w="1300" w:type="dxa"/>
            <w:tcBorders>
              <w:top w:val="nil"/>
              <w:left w:val="nil"/>
              <w:bottom w:val="single" w:color="auto" w:sz="4" w:space="0"/>
              <w:right w:val="single" w:color="auto" w:sz="4" w:space="0"/>
            </w:tcBorders>
            <w:shd w:val="clear" w:color="auto" w:fill="auto"/>
            <w:noWrap/>
            <w:vAlign w:val="bottom"/>
          </w:tcPr>
          <w:p>
            <w:pPr>
              <w:widowControl/>
              <w:jc w:val="center"/>
              <w:textAlignment w:val="bottom"/>
              <w:rPr>
                <w:rFonts w:hint="default" w:ascii="Times New Roman" w:hAnsi="Times New Roman" w:eastAsia="宋体" w:cs="Times New Roman"/>
                <w:bCs/>
                <w:color w:val="auto"/>
                <w:kern w:val="0"/>
                <w:sz w:val="22"/>
                <w:highlight w:val="none"/>
                <w:lang w:bidi="ar"/>
              </w:rPr>
            </w:pPr>
            <w:r>
              <w:rPr>
                <w:rFonts w:hint="default" w:ascii="Times New Roman" w:hAnsi="Times New Roman" w:eastAsia="宋体" w:cs="Times New Roman"/>
                <w:bCs/>
                <w:color w:val="auto"/>
                <w:kern w:val="0"/>
                <w:sz w:val="22"/>
                <w:highlight w:val="none"/>
                <w:lang w:val="en-US" w:eastAsia="zh-CN" w:bidi="ar"/>
              </w:rPr>
              <w:t xml:space="preserve">91.68 </w:t>
            </w:r>
          </w:p>
        </w:tc>
      </w:tr>
      <w:tr>
        <w:tblPrEx>
          <w:tblCellMar>
            <w:top w:w="0" w:type="dxa"/>
            <w:left w:w="108" w:type="dxa"/>
            <w:bottom w:w="0" w:type="dxa"/>
            <w:right w:w="108" w:type="dxa"/>
          </w:tblCellMar>
        </w:tblPrEx>
        <w:trPr>
          <w:trHeight w:val="360" w:hRule="atLeast"/>
        </w:trPr>
        <w:tc>
          <w:tcPr>
            <w:tcW w:w="1858"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eastAsia="宋体" w:cs="Times New Roman"/>
                <w:color w:val="auto"/>
                <w:kern w:val="0"/>
                <w:sz w:val="22"/>
                <w:highlight w:val="none"/>
              </w:rPr>
            </w:pPr>
            <w:r>
              <w:rPr>
                <w:rFonts w:hint="default" w:ascii="Times New Roman" w:hAnsi="Times New Roman" w:eastAsia="宋体" w:cs="Times New Roman"/>
                <w:color w:val="auto"/>
                <w:kern w:val="0"/>
                <w:sz w:val="22"/>
                <w:highlight w:val="none"/>
                <w:lang w:bidi="ar"/>
              </w:rPr>
              <w:t>长塘水库</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eastAsia="宋体" w:cs="Times New Roman"/>
                <w:bCs/>
                <w:color w:val="auto"/>
                <w:kern w:val="0"/>
                <w:sz w:val="22"/>
                <w:highlight w:val="none"/>
              </w:rPr>
            </w:pPr>
            <w:r>
              <w:rPr>
                <w:rFonts w:hint="default" w:ascii="Times New Roman" w:hAnsi="Times New Roman" w:eastAsia="宋体" w:cs="Times New Roman"/>
                <w:bCs/>
                <w:color w:val="auto"/>
                <w:kern w:val="0"/>
                <w:sz w:val="22"/>
                <w:highlight w:val="none"/>
                <w:lang w:bidi="ar"/>
              </w:rPr>
              <w:t>3.25</w:t>
            </w:r>
          </w:p>
        </w:tc>
        <w:tc>
          <w:tcPr>
            <w:tcW w:w="1299" w:type="dxa"/>
            <w:tcBorders>
              <w:top w:val="nil"/>
              <w:left w:val="nil"/>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eastAsia="宋体" w:cs="Times New Roman"/>
                <w:bCs/>
                <w:color w:val="auto"/>
                <w:kern w:val="0"/>
                <w:sz w:val="22"/>
                <w:highlight w:val="none"/>
              </w:rPr>
            </w:pPr>
            <w:r>
              <w:rPr>
                <w:rFonts w:hint="default" w:ascii="Times New Roman" w:hAnsi="Times New Roman" w:eastAsia="宋体" w:cs="Times New Roman"/>
                <w:bCs/>
                <w:color w:val="auto"/>
                <w:kern w:val="0"/>
                <w:sz w:val="22"/>
                <w:highlight w:val="none"/>
                <w:lang w:bidi="ar"/>
              </w:rPr>
              <w:t>3.44</w:t>
            </w:r>
          </w:p>
        </w:tc>
        <w:tc>
          <w:tcPr>
            <w:tcW w:w="849"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eastAsia="宋体" w:cs="Times New Roman"/>
                <w:bCs/>
                <w:color w:val="auto"/>
                <w:kern w:val="0"/>
                <w:sz w:val="22"/>
                <w:highlight w:val="none"/>
              </w:rPr>
            </w:pPr>
            <w:r>
              <w:rPr>
                <w:rFonts w:hint="default" w:ascii="Times New Roman" w:hAnsi="Times New Roman" w:eastAsia="宋体" w:cs="Times New Roman"/>
                <w:bCs/>
                <w:color w:val="auto"/>
                <w:kern w:val="0"/>
                <w:sz w:val="22"/>
                <w:highlight w:val="none"/>
                <w:lang w:bidi="ar"/>
              </w:rPr>
              <w:t>25</w:t>
            </w:r>
          </w:p>
        </w:tc>
        <w:tc>
          <w:tcPr>
            <w:tcW w:w="960" w:type="dxa"/>
            <w:tcBorders>
              <w:top w:val="nil"/>
              <w:left w:val="nil"/>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eastAsia="宋体" w:cs="Times New Roman"/>
                <w:bCs/>
                <w:color w:val="auto"/>
                <w:kern w:val="0"/>
                <w:sz w:val="22"/>
                <w:highlight w:val="none"/>
              </w:rPr>
            </w:pPr>
            <w:r>
              <w:rPr>
                <w:rFonts w:hint="default" w:ascii="Times New Roman" w:hAnsi="Times New Roman" w:eastAsia="宋体" w:cs="Times New Roman"/>
                <w:bCs/>
                <w:color w:val="auto"/>
                <w:kern w:val="0"/>
                <w:sz w:val="22"/>
                <w:highlight w:val="none"/>
                <w:lang w:bidi="ar"/>
              </w:rPr>
              <w:t>2</w:t>
            </w:r>
          </w:p>
        </w:tc>
        <w:tc>
          <w:tcPr>
            <w:tcW w:w="1320" w:type="dxa"/>
            <w:tcBorders>
              <w:top w:val="nil"/>
              <w:left w:val="nil"/>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eastAsia="宋体" w:cs="Times New Roman"/>
                <w:bCs/>
                <w:color w:val="auto"/>
                <w:kern w:val="0"/>
                <w:sz w:val="22"/>
                <w:highlight w:val="none"/>
                <w:lang w:bidi="ar"/>
              </w:rPr>
            </w:pPr>
            <w:r>
              <w:rPr>
                <w:rFonts w:hint="default" w:ascii="Times New Roman" w:hAnsi="Times New Roman" w:eastAsia="宋体" w:cs="Times New Roman"/>
                <w:bCs/>
                <w:color w:val="auto"/>
                <w:kern w:val="0"/>
                <w:sz w:val="22"/>
                <w:highlight w:val="none"/>
                <w:lang w:bidi="ar"/>
              </w:rPr>
              <w:t>291.23</w:t>
            </w:r>
          </w:p>
        </w:tc>
        <w:tc>
          <w:tcPr>
            <w:tcW w:w="1300" w:type="dxa"/>
            <w:tcBorders>
              <w:top w:val="nil"/>
              <w:left w:val="nil"/>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eastAsia="宋体" w:cs="Times New Roman"/>
                <w:bCs/>
                <w:color w:val="auto"/>
                <w:kern w:val="0"/>
                <w:sz w:val="22"/>
                <w:highlight w:val="none"/>
                <w:lang w:bidi="ar"/>
              </w:rPr>
            </w:pPr>
            <w:r>
              <w:rPr>
                <w:rFonts w:hint="default" w:ascii="Times New Roman" w:hAnsi="Times New Roman" w:eastAsia="宋体" w:cs="Times New Roman"/>
                <w:bCs/>
                <w:color w:val="auto"/>
                <w:kern w:val="0"/>
                <w:sz w:val="22"/>
                <w:highlight w:val="none"/>
                <w:lang w:bidi="ar"/>
              </w:rPr>
              <w:t>113.15</w:t>
            </w:r>
          </w:p>
        </w:tc>
      </w:tr>
      <w:tr>
        <w:tblPrEx>
          <w:tblCellMar>
            <w:top w:w="0" w:type="dxa"/>
            <w:left w:w="108" w:type="dxa"/>
            <w:bottom w:w="0" w:type="dxa"/>
            <w:right w:w="108" w:type="dxa"/>
          </w:tblCellMar>
        </w:tblPrEx>
        <w:trPr>
          <w:trHeight w:val="360" w:hRule="atLeast"/>
        </w:trPr>
        <w:tc>
          <w:tcPr>
            <w:tcW w:w="1858"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eastAsia="宋体" w:cs="Times New Roman"/>
                <w:color w:val="auto"/>
                <w:kern w:val="0"/>
                <w:sz w:val="22"/>
                <w:highlight w:val="none"/>
              </w:rPr>
            </w:pPr>
            <w:r>
              <w:rPr>
                <w:rFonts w:hint="default" w:ascii="Times New Roman" w:hAnsi="Times New Roman" w:eastAsia="宋体" w:cs="Times New Roman"/>
                <w:color w:val="auto"/>
                <w:kern w:val="0"/>
                <w:sz w:val="22"/>
                <w:highlight w:val="none"/>
                <w:lang w:bidi="ar"/>
              </w:rPr>
              <w:t>茶园水库</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eastAsia="宋体" w:cs="Times New Roman"/>
                <w:bCs/>
                <w:color w:val="auto"/>
                <w:kern w:val="0"/>
                <w:sz w:val="22"/>
                <w:highlight w:val="none"/>
              </w:rPr>
            </w:pPr>
            <w:r>
              <w:rPr>
                <w:rFonts w:hint="default" w:ascii="Times New Roman" w:hAnsi="Times New Roman" w:eastAsia="宋体" w:cs="Times New Roman"/>
                <w:bCs/>
                <w:color w:val="auto"/>
                <w:kern w:val="0"/>
                <w:sz w:val="22"/>
                <w:highlight w:val="none"/>
                <w:lang w:bidi="ar"/>
              </w:rPr>
              <w:t>3.33</w:t>
            </w:r>
          </w:p>
        </w:tc>
        <w:tc>
          <w:tcPr>
            <w:tcW w:w="1299" w:type="dxa"/>
            <w:tcBorders>
              <w:top w:val="nil"/>
              <w:left w:val="nil"/>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eastAsia="宋体" w:cs="Times New Roman"/>
                <w:bCs/>
                <w:color w:val="auto"/>
                <w:kern w:val="0"/>
                <w:sz w:val="22"/>
                <w:highlight w:val="none"/>
              </w:rPr>
            </w:pPr>
            <w:r>
              <w:rPr>
                <w:rFonts w:hint="default" w:ascii="Times New Roman" w:hAnsi="Times New Roman" w:eastAsia="宋体" w:cs="Times New Roman"/>
                <w:bCs/>
                <w:color w:val="auto"/>
                <w:kern w:val="0"/>
                <w:sz w:val="22"/>
                <w:highlight w:val="none"/>
                <w:lang w:bidi="ar"/>
              </w:rPr>
              <w:t>3.51</w:t>
            </w:r>
          </w:p>
        </w:tc>
        <w:tc>
          <w:tcPr>
            <w:tcW w:w="849"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eastAsia="宋体" w:cs="Times New Roman"/>
                <w:bCs/>
                <w:color w:val="auto"/>
                <w:kern w:val="0"/>
                <w:sz w:val="22"/>
                <w:highlight w:val="none"/>
              </w:rPr>
            </w:pPr>
            <w:r>
              <w:rPr>
                <w:rFonts w:hint="default" w:ascii="Times New Roman" w:hAnsi="Times New Roman" w:eastAsia="宋体" w:cs="Times New Roman"/>
                <w:bCs/>
                <w:color w:val="auto"/>
                <w:kern w:val="0"/>
                <w:sz w:val="22"/>
                <w:highlight w:val="none"/>
                <w:lang w:bidi="ar"/>
              </w:rPr>
              <w:t>24</w:t>
            </w:r>
          </w:p>
        </w:tc>
        <w:tc>
          <w:tcPr>
            <w:tcW w:w="960" w:type="dxa"/>
            <w:tcBorders>
              <w:top w:val="nil"/>
              <w:left w:val="nil"/>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eastAsia="宋体" w:cs="Times New Roman"/>
                <w:bCs/>
                <w:color w:val="auto"/>
                <w:kern w:val="0"/>
                <w:sz w:val="22"/>
                <w:highlight w:val="none"/>
              </w:rPr>
            </w:pPr>
            <w:r>
              <w:rPr>
                <w:rFonts w:hint="default" w:ascii="Times New Roman" w:hAnsi="Times New Roman" w:eastAsia="宋体" w:cs="Times New Roman"/>
                <w:bCs/>
                <w:color w:val="auto"/>
                <w:kern w:val="0"/>
                <w:sz w:val="22"/>
                <w:highlight w:val="none"/>
                <w:lang w:bidi="ar"/>
              </w:rPr>
              <w:t>2</w:t>
            </w:r>
          </w:p>
        </w:tc>
        <w:tc>
          <w:tcPr>
            <w:tcW w:w="1320" w:type="dxa"/>
            <w:tcBorders>
              <w:top w:val="nil"/>
              <w:left w:val="nil"/>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eastAsia="宋体" w:cs="Times New Roman"/>
                <w:bCs/>
                <w:color w:val="auto"/>
                <w:kern w:val="0"/>
                <w:sz w:val="22"/>
                <w:highlight w:val="none"/>
                <w:lang w:bidi="ar"/>
              </w:rPr>
            </w:pPr>
            <w:r>
              <w:rPr>
                <w:rFonts w:hint="default" w:ascii="Times New Roman" w:hAnsi="Times New Roman" w:eastAsia="宋体" w:cs="Times New Roman"/>
                <w:bCs/>
                <w:color w:val="auto"/>
                <w:kern w:val="0"/>
                <w:sz w:val="22"/>
                <w:highlight w:val="none"/>
                <w:lang w:bidi="ar"/>
              </w:rPr>
              <w:t>241.07</w:t>
            </w:r>
          </w:p>
        </w:tc>
        <w:tc>
          <w:tcPr>
            <w:tcW w:w="1300" w:type="dxa"/>
            <w:tcBorders>
              <w:top w:val="nil"/>
              <w:left w:val="nil"/>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eastAsia="宋体" w:cs="Times New Roman"/>
                <w:bCs/>
                <w:color w:val="auto"/>
                <w:kern w:val="0"/>
                <w:sz w:val="22"/>
                <w:highlight w:val="none"/>
                <w:lang w:bidi="ar"/>
              </w:rPr>
            </w:pPr>
            <w:r>
              <w:rPr>
                <w:rFonts w:hint="default" w:ascii="Times New Roman" w:hAnsi="Times New Roman" w:eastAsia="宋体" w:cs="Times New Roman"/>
                <w:bCs/>
                <w:color w:val="auto"/>
                <w:kern w:val="0"/>
                <w:sz w:val="22"/>
                <w:highlight w:val="none"/>
                <w:lang w:bidi="ar"/>
              </w:rPr>
              <w:t>120.58</w:t>
            </w:r>
          </w:p>
        </w:tc>
      </w:tr>
      <w:tr>
        <w:tblPrEx>
          <w:tblCellMar>
            <w:top w:w="0" w:type="dxa"/>
            <w:left w:w="108" w:type="dxa"/>
            <w:bottom w:w="0" w:type="dxa"/>
            <w:right w:w="108" w:type="dxa"/>
          </w:tblCellMar>
        </w:tblPrEx>
        <w:trPr>
          <w:trHeight w:val="360" w:hRule="atLeast"/>
        </w:trPr>
        <w:tc>
          <w:tcPr>
            <w:tcW w:w="1858"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eastAsia="宋体" w:cs="Times New Roman"/>
                <w:color w:val="auto"/>
                <w:kern w:val="0"/>
                <w:sz w:val="22"/>
                <w:highlight w:val="none"/>
              </w:rPr>
            </w:pPr>
            <w:r>
              <w:rPr>
                <w:rFonts w:hint="default" w:ascii="Times New Roman" w:hAnsi="Times New Roman" w:eastAsia="宋体" w:cs="Times New Roman"/>
                <w:color w:val="auto"/>
                <w:kern w:val="0"/>
                <w:sz w:val="22"/>
                <w:highlight w:val="none"/>
                <w:lang w:bidi="ar"/>
              </w:rPr>
              <w:t>乌山冲水库</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eastAsia="宋体" w:cs="Times New Roman"/>
                <w:bCs/>
                <w:color w:val="auto"/>
                <w:kern w:val="0"/>
                <w:sz w:val="22"/>
                <w:highlight w:val="none"/>
                <w:lang w:eastAsia="zh-CN"/>
              </w:rPr>
            </w:pPr>
            <w:r>
              <w:rPr>
                <w:rFonts w:hint="default" w:ascii="Times New Roman" w:hAnsi="Times New Roman" w:eastAsia="宋体" w:cs="Times New Roman"/>
                <w:bCs/>
                <w:color w:val="auto"/>
                <w:kern w:val="0"/>
                <w:sz w:val="22"/>
                <w:highlight w:val="none"/>
                <w:lang w:bidi="ar"/>
              </w:rPr>
              <w:t>2.9</w:t>
            </w:r>
            <w:r>
              <w:rPr>
                <w:rFonts w:hint="default" w:ascii="Times New Roman" w:hAnsi="Times New Roman" w:eastAsia="宋体" w:cs="Times New Roman"/>
                <w:bCs/>
                <w:color w:val="auto"/>
                <w:kern w:val="0"/>
                <w:sz w:val="22"/>
                <w:highlight w:val="none"/>
                <w:lang w:val="en-US" w:eastAsia="zh-CN" w:bidi="ar"/>
              </w:rPr>
              <w:t>4</w:t>
            </w:r>
          </w:p>
        </w:tc>
        <w:tc>
          <w:tcPr>
            <w:tcW w:w="1299" w:type="dxa"/>
            <w:tcBorders>
              <w:top w:val="nil"/>
              <w:left w:val="nil"/>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eastAsia="宋体" w:cs="Times New Roman"/>
                <w:bCs/>
                <w:color w:val="auto"/>
                <w:kern w:val="0"/>
                <w:sz w:val="22"/>
                <w:highlight w:val="none"/>
                <w:lang w:val="en-US" w:eastAsia="zh-CN"/>
              </w:rPr>
            </w:pPr>
            <w:r>
              <w:rPr>
                <w:rFonts w:hint="default" w:ascii="Times New Roman" w:hAnsi="Times New Roman" w:eastAsia="宋体" w:cs="Times New Roman"/>
                <w:bCs/>
                <w:color w:val="auto"/>
                <w:kern w:val="0"/>
                <w:sz w:val="22"/>
                <w:highlight w:val="none"/>
                <w:lang w:val="en-US" w:eastAsia="zh-CN" w:bidi="ar"/>
              </w:rPr>
              <w:t>2.93</w:t>
            </w:r>
          </w:p>
        </w:tc>
        <w:tc>
          <w:tcPr>
            <w:tcW w:w="849"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eastAsia="宋体" w:cs="Times New Roman"/>
                <w:bCs/>
                <w:color w:val="auto"/>
                <w:kern w:val="0"/>
                <w:sz w:val="22"/>
                <w:highlight w:val="none"/>
                <w:lang w:val="en-US" w:eastAsia="zh-CN"/>
              </w:rPr>
            </w:pPr>
            <w:r>
              <w:rPr>
                <w:rFonts w:hint="default" w:ascii="Times New Roman" w:hAnsi="Times New Roman" w:eastAsia="宋体" w:cs="Times New Roman"/>
                <w:bCs/>
                <w:color w:val="auto"/>
                <w:kern w:val="0"/>
                <w:sz w:val="22"/>
                <w:highlight w:val="none"/>
                <w:lang w:val="en-US" w:eastAsia="zh-CN" w:bidi="ar"/>
              </w:rPr>
              <w:t>32</w:t>
            </w:r>
          </w:p>
        </w:tc>
        <w:tc>
          <w:tcPr>
            <w:tcW w:w="960" w:type="dxa"/>
            <w:tcBorders>
              <w:top w:val="nil"/>
              <w:left w:val="nil"/>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eastAsia="宋体" w:cs="Times New Roman"/>
                <w:bCs/>
                <w:color w:val="auto"/>
                <w:kern w:val="0"/>
                <w:sz w:val="22"/>
                <w:highlight w:val="none"/>
              </w:rPr>
            </w:pPr>
            <w:r>
              <w:rPr>
                <w:rFonts w:hint="default" w:ascii="Times New Roman" w:hAnsi="Times New Roman" w:eastAsia="宋体" w:cs="Times New Roman"/>
                <w:bCs/>
                <w:color w:val="auto"/>
                <w:kern w:val="0"/>
                <w:sz w:val="22"/>
                <w:highlight w:val="none"/>
                <w:lang w:bidi="ar"/>
              </w:rPr>
              <w:t>2</w:t>
            </w:r>
          </w:p>
        </w:tc>
        <w:tc>
          <w:tcPr>
            <w:tcW w:w="1320" w:type="dxa"/>
            <w:tcBorders>
              <w:top w:val="nil"/>
              <w:left w:val="nil"/>
              <w:bottom w:val="single" w:color="auto" w:sz="4" w:space="0"/>
              <w:right w:val="single" w:color="auto" w:sz="4" w:space="0"/>
            </w:tcBorders>
            <w:shd w:val="clear" w:color="auto" w:fill="auto"/>
            <w:noWrap/>
            <w:vAlign w:val="bottom"/>
          </w:tcPr>
          <w:p>
            <w:pPr>
              <w:widowControl/>
              <w:jc w:val="center"/>
              <w:textAlignment w:val="bottom"/>
              <w:rPr>
                <w:rFonts w:hint="default" w:ascii="Times New Roman" w:hAnsi="Times New Roman" w:eastAsia="宋体" w:cs="Times New Roman"/>
                <w:bCs/>
                <w:color w:val="auto"/>
                <w:kern w:val="0"/>
                <w:sz w:val="22"/>
                <w:highlight w:val="none"/>
                <w:lang w:bidi="ar"/>
              </w:rPr>
            </w:pPr>
            <w:r>
              <w:rPr>
                <w:rFonts w:hint="default" w:ascii="Times New Roman" w:hAnsi="Times New Roman" w:eastAsia="宋体" w:cs="Times New Roman"/>
                <w:bCs/>
                <w:color w:val="auto"/>
                <w:kern w:val="0"/>
                <w:sz w:val="22"/>
                <w:highlight w:val="none"/>
                <w:lang w:val="en-US" w:eastAsia="zh-CN" w:bidi="ar"/>
              </w:rPr>
              <w:t xml:space="preserve">114.56 </w:t>
            </w:r>
          </w:p>
        </w:tc>
        <w:tc>
          <w:tcPr>
            <w:tcW w:w="1300" w:type="dxa"/>
            <w:tcBorders>
              <w:top w:val="nil"/>
              <w:left w:val="nil"/>
              <w:bottom w:val="single" w:color="auto" w:sz="4" w:space="0"/>
              <w:right w:val="single" w:color="auto" w:sz="4" w:space="0"/>
            </w:tcBorders>
            <w:shd w:val="clear" w:color="auto" w:fill="auto"/>
            <w:noWrap/>
            <w:vAlign w:val="bottom"/>
          </w:tcPr>
          <w:p>
            <w:pPr>
              <w:widowControl/>
              <w:jc w:val="center"/>
              <w:textAlignment w:val="bottom"/>
              <w:rPr>
                <w:rFonts w:hint="default" w:ascii="Times New Roman" w:hAnsi="Times New Roman" w:eastAsia="宋体" w:cs="Times New Roman"/>
                <w:bCs/>
                <w:color w:val="auto"/>
                <w:kern w:val="0"/>
                <w:sz w:val="22"/>
                <w:highlight w:val="none"/>
                <w:lang w:bidi="ar"/>
              </w:rPr>
            </w:pPr>
            <w:r>
              <w:rPr>
                <w:rFonts w:hint="default" w:ascii="Times New Roman" w:hAnsi="Times New Roman" w:eastAsia="宋体" w:cs="Times New Roman"/>
                <w:bCs/>
                <w:color w:val="auto"/>
                <w:kern w:val="0"/>
                <w:sz w:val="22"/>
                <w:highlight w:val="none"/>
                <w:lang w:val="en-US" w:eastAsia="zh-CN" w:bidi="ar"/>
              </w:rPr>
              <w:t xml:space="preserve">114.06 </w:t>
            </w:r>
          </w:p>
        </w:tc>
      </w:tr>
      <w:tr>
        <w:tblPrEx>
          <w:tblCellMar>
            <w:top w:w="0" w:type="dxa"/>
            <w:left w:w="108" w:type="dxa"/>
            <w:bottom w:w="0" w:type="dxa"/>
            <w:right w:w="108" w:type="dxa"/>
          </w:tblCellMar>
        </w:tblPrEx>
        <w:trPr>
          <w:trHeight w:val="360" w:hRule="atLeast"/>
        </w:trPr>
        <w:tc>
          <w:tcPr>
            <w:tcW w:w="1858"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eastAsia="宋体" w:cs="Times New Roman"/>
                <w:color w:val="auto"/>
                <w:kern w:val="0"/>
                <w:sz w:val="22"/>
                <w:highlight w:val="none"/>
              </w:rPr>
            </w:pPr>
            <w:r>
              <w:rPr>
                <w:rFonts w:hint="default" w:ascii="Times New Roman" w:hAnsi="Times New Roman" w:eastAsia="宋体" w:cs="Times New Roman"/>
                <w:color w:val="auto"/>
                <w:kern w:val="0"/>
                <w:sz w:val="22"/>
                <w:highlight w:val="none"/>
                <w:lang w:bidi="ar"/>
              </w:rPr>
              <w:t>唐家冲水库</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eastAsia="宋体" w:cs="Times New Roman"/>
                <w:bCs/>
                <w:color w:val="auto"/>
                <w:kern w:val="0"/>
                <w:sz w:val="22"/>
                <w:highlight w:val="none"/>
                <w:lang w:eastAsia="zh-CN"/>
              </w:rPr>
            </w:pPr>
            <w:r>
              <w:rPr>
                <w:rFonts w:hint="default" w:ascii="Times New Roman" w:hAnsi="Times New Roman" w:eastAsia="宋体" w:cs="Times New Roman"/>
                <w:bCs/>
                <w:color w:val="auto"/>
                <w:kern w:val="0"/>
                <w:sz w:val="22"/>
                <w:highlight w:val="none"/>
                <w:lang w:bidi="ar"/>
              </w:rPr>
              <w:t>2.2</w:t>
            </w:r>
            <w:r>
              <w:rPr>
                <w:rFonts w:hint="default" w:ascii="Times New Roman" w:hAnsi="Times New Roman" w:eastAsia="宋体" w:cs="Times New Roman"/>
                <w:bCs/>
                <w:color w:val="auto"/>
                <w:kern w:val="0"/>
                <w:sz w:val="22"/>
                <w:highlight w:val="none"/>
                <w:lang w:val="en-US" w:eastAsia="zh-CN" w:bidi="ar"/>
              </w:rPr>
              <w:t>4</w:t>
            </w:r>
          </w:p>
        </w:tc>
        <w:tc>
          <w:tcPr>
            <w:tcW w:w="1299" w:type="dxa"/>
            <w:tcBorders>
              <w:top w:val="nil"/>
              <w:left w:val="nil"/>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eastAsia="宋体" w:cs="Times New Roman"/>
                <w:bCs/>
                <w:color w:val="auto"/>
                <w:kern w:val="0"/>
                <w:sz w:val="22"/>
                <w:highlight w:val="none"/>
                <w:lang w:val="en-US" w:eastAsia="zh-CN"/>
              </w:rPr>
            </w:pPr>
            <w:r>
              <w:rPr>
                <w:rFonts w:hint="default" w:ascii="Times New Roman" w:hAnsi="Times New Roman" w:eastAsia="宋体" w:cs="Times New Roman"/>
                <w:bCs/>
                <w:color w:val="auto"/>
                <w:kern w:val="0"/>
                <w:sz w:val="22"/>
                <w:highlight w:val="none"/>
                <w:lang w:val="en-US" w:eastAsia="zh-CN" w:bidi="ar"/>
              </w:rPr>
              <w:t>2.61</w:t>
            </w:r>
          </w:p>
        </w:tc>
        <w:tc>
          <w:tcPr>
            <w:tcW w:w="849"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eastAsia="宋体" w:cs="Times New Roman"/>
                <w:bCs/>
                <w:color w:val="auto"/>
                <w:kern w:val="0"/>
                <w:sz w:val="22"/>
                <w:highlight w:val="none"/>
              </w:rPr>
            </w:pPr>
            <w:r>
              <w:rPr>
                <w:rFonts w:hint="default" w:ascii="Times New Roman" w:hAnsi="Times New Roman" w:eastAsia="宋体" w:cs="Times New Roman"/>
                <w:bCs/>
                <w:color w:val="auto"/>
                <w:kern w:val="0"/>
                <w:sz w:val="22"/>
                <w:highlight w:val="none"/>
                <w:lang w:bidi="ar"/>
              </w:rPr>
              <w:t>26</w:t>
            </w:r>
          </w:p>
        </w:tc>
        <w:tc>
          <w:tcPr>
            <w:tcW w:w="960" w:type="dxa"/>
            <w:tcBorders>
              <w:top w:val="nil"/>
              <w:left w:val="nil"/>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eastAsia="宋体" w:cs="Times New Roman"/>
                <w:bCs/>
                <w:color w:val="auto"/>
                <w:kern w:val="0"/>
                <w:sz w:val="22"/>
                <w:highlight w:val="none"/>
              </w:rPr>
            </w:pPr>
            <w:r>
              <w:rPr>
                <w:rFonts w:hint="default" w:ascii="Times New Roman" w:hAnsi="Times New Roman" w:eastAsia="宋体" w:cs="Times New Roman"/>
                <w:bCs/>
                <w:color w:val="auto"/>
                <w:kern w:val="0"/>
                <w:sz w:val="22"/>
                <w:highlight w:val="none"/>
                <w:lang w:bidi="ar"/>
              </w:rPr>
              <w:t>2</w:t>
            </w:r>
          </w:p>
        </w:tc>
        <w:tc>
          <w:tcPr>
            <w:tcW w:w="1320" w:type="dxa"/>
            <w:tcBorders>
              <w:top w:val="nil"/>
              <w:left w:val="nil"/>
              <w:bottom w:val="single" w:color="auto" w:sz="4" w:space="0"/>
              <w:right w:val="single" w:color="auto" w:sz="4" w:space="0"/>
            </w:tcBorders>
            <w:shd w:val="clear" w:color="auto" w:fill="auto"/>
            <w:noWrap/>
            <w:vAlign w:val="bottom"/>
          </w:tcPr>
          <w:p>
            <w:pPr>
              <w:widowControl/>
              <w:jc w:val="center"/>
              <w:textAlignment w:val="bottom"/>
              <w:rPr>
                <w:rFonts w:hint="default" w:ascii="Times New Roman" w:hAnsi="Times New Roman" w:eastAsia="宋体" w:cs="Times New Roman"/>
                <w:bCs/>
                <w:color w:val="auto"/>
                <w:kern w:val="0"/>
                <w:sz w:val="22"/>
                <w:highlight w:val="none"/>
                <w:lang w:bidi="ar"/>
              </w:rPr>
            </w:pPr>
            <w:r>
              <w:rPr>
                <w:rFonts w:hint="default" w:ascii="Times New Roman" w:hAnsi="Times New Roman" w:eastAsia="宋体" w:cs="Times New Roman"/>
                <w:bCs/>
                <w:color w:val="auto"/>
                <w:kern w:val="0"/>
                <w:sz w:val="22"/>
                <w:highlight w:val="none"/>
                <w:lang w:val="en-US" w:eastAsia="zh-CN" w:bidi="ar"/>
              </w:rPr>
              <w:t xml:space="preserve">224.55 </w:t>
            </w:r>
          </w:p>
        </w:tc>
        <w:tc>
          <w:tcPr>
            <w:tcW w:w="1300" w:type="dxa"/>
            <w:tcBorders>
              <w:top w:val="nil"/>
              <w:left w:val="nil"/>
              <w:bottom w:val="single" w:color="auto" w:sz="4" w:space="0"/>
              <w:right w:val="single" w:color="auto" w:sz="4" w:space="0"/>
            </w:tcBorders>
            <w:shd w:val="clear" w:color="auto" w:fill="auto"/>
            <w:noWrap/>
            <w:vAlign w:val="bottom"/>
          </w:tcPr>
          <w:p>
            <w:pPr>
              <w:widowControl/>
              <w:jc w:val="center"/>
              <w:textAlignment w:val="bottom"/>
              <w:rPr>
                <w:rFonts w:hint="default" w:ascii="Times New Roman" w:hAnsi="Times New Roman" w:eastAsia="宋体" w:cs="Times New Roman"/>
                <w:bCs/>
                <w:color w:val="auto"/>
                <w:kern w:val="0"/>
                <w:sz w:val="22"/>
                <w:highlight w:val="none"/>
                <w:lang w:bidi="ar"/>
              </w:rPr>
            </w:pPr>
            <w:r>
              <w:rPr>
                <w:rFonts w:hint="default" w:ascii="Times New Roman" w:hAnsi="Times New Roman" w:eastAsia="宋体" w:cs="Times New Roman"/>
                <w:bCs/>
                <w:color w:val="auto"/>
                <w:kern w:val="0"/>
                <w:sz w:val="22"/>
                <w:highlight w:val="none"/>
                <w:lang w:val="en-US" w:eastAsia="zh-CN" w:bidi="ar"/>
              </w:rPr>
              <w:t xml:space="preserve">120.68 </w:t>
            </w:r>
          </w:p>
        </w:tc>
      </w:tr>
      <w:tr>
        <w:tblPrEx>
          <w:tblCellMar>
            <w:top w:w="0" w:type="dxa"/>
            <w:left w:w="108" w:type="dxa"/>
            <w:bottom w:w="0" w:type="dxa"/>
            <w:right w:w="108" w:type="dxa"/>
          </w:tblCellMar>
        </w:tblPrEx>
        <w:trPr>
          <w:trHeight w:val="360" w:hRule="atLeast"/>
        </w:trPr>
        <w:tc>
          <w:tcPr>
            <w:tcW w:w="1858"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eastAsia="宋体" w:cs="Times New Roman"/>
                <w:color w:val="auto"/>
                <w:kern w:val="0"/>
                <w:sz w:val="22"/>
                <w:highlight w:val="none"/>
              </w:rPr>
            </w:pPr>
            <w:r>
              <w:rPr>
                <w:rFonts w:hint="default" w:ascii="Times New Roman" w:hAnsi="Times New Roman" w:eastAsia="宋体" w:cs="Times New Roman"/>
                <w:color w:val="auto"/>
                <w:kern w:val="0"/>
                <w:sz w:val="22"/>
                <w:highlight w:val="none"/>
                <w:lang w:bidi="ar"/>
              </w:rPr>
              <w:t>高拱桥水库</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eastAsia="宋体" w:cs="Times New Roman"/>
                <w:bCs/>
                <w:color w:val="auto"/>
                <w:kern w:val="0"/>
                <w:sz w:val="22"/>
                <w:highlight w:val="none"/>
              </w:rPr>
            </w:pPr>
            <w:r>
              <w:rPr>
                <w:rFonts w:hint="default" w:ascii="Times New Roman" w:hAnsi="Times New Roman" w:eastAsia="宋体" w:cs="Times New Roman"/>
                <w:bCs/>
                <w:color w:val="auto"/>
                <w:kern w:val="0"/>
                <w:sz w:val="22"/>
                <w:highlight w:val="none"/>
                <w:lang w:bidi="ar"/>
              </w:rPr>
              <w:t>3.41</w:t>
            </w:r>
          </w:p>
        </w:tc>
        <w:tc>
          <w:tcPr>
            <w:tcW w:w="1299" w:type="dxa"/>
            <w:tcBorders>
              <w:top w:val="nil"/>
              <w:left w:val="nil"/>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eastAsia="宋体" w:cs="Times New Roman"/>
                <w:bCs/>
                <w:color w:val="auto"/>
                <w:kern w:val="0"/>
                <w:sz w:val="22"/>
                <w:highlight w:val="none"/>
              </w:rPr>
            </w:pPr>
            <w:r>
              <w:rPr>
                <w:rFonts w:hint="default" w:ascii="Times New Roman" w:hAnsi="Times New Roman" w:eastAsia="宋体" w:cs="Times New Roman"/>
                <w:bCs/>
                <w:color w:val="auto"/>
                <w:kern w:val="0"/>
                <w:sz w:val="22"/>
                <w:highlight w:val="none"/>
                <w:lang w:bidi="ar"/>
              </w:rPr>
              <w:t>3.63</w:t>
            </w:r>
          </w:p>
        </w:tc>
        <w:tc>
          <w:tcPr>
            <w:tcW w:w="849"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eastAsia="宋体" w:cs="Times New Roman"/>
                <w:bCs/>
                <w:color w:val="auto"/>
                <w:kern w:val="0"/>
                <w:sz w:val="22"/>
                <w:highlight w:val="none"/>
              </w:rPr>
            </w:pPr>
            <w:r>
              <w:rPr>
                <w:rFonts w:hint="default" w:ascii="Times New Roman" w:hAnsi="Times New Roman" w:eastAsia="宋体" w:cs="Times New Roman"/>
                <w:bCs/>
                <w:color w:val="auto"/>
                <w:kern w:val="0"/>
                <w:sz w:val="22"/>
                <w:highlight w:val="none"/>
                <w:lang w:bidi="ar"/>
              </w:rPr>
              <w:t>25</w:t>
            </w:r>
          </w:p>
        </w:tc>
        <w:tc>
          <w:tcPr>
            <w:tcW w:w="960" w:type="dxa"/>
            <w:tcBorders>
              <w:top w:val="nil"/>
              <w:left w:val="nil"/>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eastAsia="宋体" w:cs="Times New Roman"/>
                <w:bCs/>
                <w:color w:val="auto"/>
                <w:kern w:val="0"/>
                <w:sz w:val="22"/>
                <w:highlight w:val="none"/>
              </w:rPr>
            </w:pPr>
            <w:r>
              <w:rPr>
                <w:rFonts w:hint="default" w:ascii="Times New Roman" w:hAnsi="Times New Roman" w:eastAsia="宋体" w:cs="Times New Roman"/>
                <w:bCs/>
                <w:color w:val="auto"/>
                <w:kern w:val="0"/>
                <w:sz w:val="22"/>
                <w:highlight w:val="none"/>
                <w:lang w:bidi="ar"/>
              </w:rPr>
              <w:t>2</w:t>
            </w:r>
          </w:p>
        </w:tc>
        <w:tc>
          <w:tcPr>
            <w:tcW w:w="1320" w:type="dxa"/>
            <w:tcBorders>
              <w:top w:val="nil"/>
              <w:left w:val="nil"/>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eastAsia="宋体" w:cs="Times New Roman"/>
                <w:bCs/>
                <w:color w:val="auto"/>
                <w:kern w:val="0"/>
                <w:sz w:val="22"/>
                <w:highlight w:val="none"/>
                <w:lang w:bidi="ar"/>
              </w:rPr>
            </w:pPr>
            <w:r>
              <w:rPr>
                <w:rFonts w:hint="default" w:ascii="Times New Roman" w:hAnsi="Times New Roman" w:eastAsia="宋体" w:cs="Times New Roman"/>
                <w:bCs/>
                <w:color w:val="auto"/>
                <w:kern w:val="0"/>
                <w:sz w:val="22"/>
                <w:highlight w:val="none"/>
                <w:lang w:bidi="ar"/>
              </w:rPr>
              <w:t>192.65</w:t>
            </w:r>
          </w:p>
        </w:tc>
        <w:tc>
          <w:tcPr>
            <w:tcW w:w="1300" w:type="dxa"/>
            <w:tcBorders>
              <w:top w:val="nil"/>
              <w:left w:val="nil"/>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eastAsia="宋体" w:cs="Times New Roman"/>
                <w:bCs/>
                <w:color w:val="auto"/>
                <w:kern w:val="0"/>
                <w:sz w:val="22"/>
                <w:highlight w:val="none"/>
                <w:lang w:bidi="ar"/>
              </w:rPr>
            </w:pPr>
            <w:r>
              <w:rPr>
                <w:rFonts w:hint="default" w:ascii="Times New Roman" w:hAnsi="Times New Roman" w:eastAsia="宋体" w:cs="Times New Roman"/>
                <w:bCs/>
                <w:color w:val="auto"/>
                <w:kern w:val="0"/>
                <w:sz w:val="22"/>
                <w:highlight w:val="none"/>
                <w:lang w:bidi="ar"/>
              </w:rPr>
              <w:t>125.48</w:t>
            </w:r>
          </w:p>
        </w:tc>
      </w:tr>
      <w:tr>
        <w:tblPrEx>
          <w:tblCellMar>
            <w:top w:w="0" w:type="dxa"/>
            <w:left w:w="108" w:type="dxa"/>
            <w:bottom w:w="0" w:type="dxa"/>
            <w:right w:w="108" w:type="dxa"/>
          </w:tblCellMar>
        </w:tblPrEx>
        <w:trPr>
          <w:trHeight w:val="360" w:hRule="atLeast"/>
        </w:trPr>
        <w:tc>
          <w:tcPr>
            <w:tcW w:w="1858"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eastAsia="宋体" w:cs="Times New Roman"/>
                <w:color w:val="auto"/>
                <w:kern w:val="0"/>
                <w:sz w:val="22"/>
                <w:highlight w:val="none"/>
              </w:rPr>
            </w:pPr>
            <w:r>
              <w:rPr>
                <w:rFonts w:hint="default" w:ascii="Times New Roman" w:hAnsi="Times New Roman" w:eastAsia="宋体" w:cs="Times New Roman"/>
                <w:color w:val="auto"/>
                <w:kern w:val="0"/>
                <w:sz w:val="22"/>
                <w:highlight w:val="none"/>
                <w:lang w:bidi="ar"/>
              </w:rPr>
              <w:t>畔塘水库</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eastAsia="宋体" w:cs="Times New Roman"/>
                <w:bCs/>
                <w:color w:val="auto"/>
                <w:kern w:val="0"/>
                <w:sz w:val="22"/>
                <w:highlight w:val="none"/>
                <w:lang w:val="en-US" w:eastAsia="zh-CN"/>
              </w:rPr>
            </w:pPr>
            <w:r>
              <w:rPr>
                <w:rFonts w:hint="default" w:ascii="Times New Roman" w:hAnsi="Times New Roman" w:eastAsia="宋体" w:cs="Times New Roman"/>
                <w:bCs/>
                <w:color w:val="auto"/>
                <w:kern w:val="0"/>
                <w:sz w:val="22"/>
                <w:highlight w:val="none"/>
                <w:lang w:bidi="ar"/>
              </w:rPr>
              <w:t>5.</w:t>
            </w:r>
            <w:r>
              <w:rPr>
                <w:rFonts w:hint="default" w:ascii="Times New Roman" w:hAnsi="Times New Roman" w:eastAsia="宋体" w:cs="Times New Roman"/>
                <w:bCs/>
                <w:color w:val="auto"/>
                <w:kern w:val="0"/>
                <w:sz w:val="22"/>
                <w:highlight w:val="none"/>
                <w:lang w:val="en-US" w:eastAsia="zh-CN" w:bidi="ar"/>
              </w:rPr>
              <w:t>11</w:t>
            </w:r>
          </w:p>
        </w:tc>
        <w:tc>
          <w:tcPr>
            <w:tcW w:w="1299" w:type="dxa"/>
            <w:tcBorders>
              <w:top w:val="nil"/>
              <w:left w:val="nil"/>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eastAsia="宋体" w:cs="Times New Roman"/>
                <w:bCs/>
                <w:color w:val="auto"/>
                <w:kern w:val="0"/>
                <w:sz w:val="22"/>
                <w:highlight w:val="none"/>
                <w:lang w:val="en-US" w:eastAsia="zh-CN"/>
              </w:rPr>
            </w:pPr>
            <w:r>
              <w:rPr>
                <w:rFonts w:hint="default" w:ascii="Times New Roman" w:hAnsi="Times New Roman" w:eastAsia="宋体" w:cs="Times New Roman"/>
                <w:bCs/>
                <w:color w:val="auto"/>
                <w:kern w:val="0"/>
                <w:sz w:val="22"/>
                <w:highlight w:val="none"/>
                <w:lang w:val="en-US" w:eastAsia="zh-CN" w:bidi="ar"/>
              </w:rPr>
              <w:t>5.20</w:t>
            </w:r>
          </w:p>
        </w:tc>
        <w:tc>
          <w:tcPr>
            <w:tcW w:w="849"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eastAsia="宋体" w:cs="Times New Roman"/>
                <w:bCs/>
                <w:color w:val="auto"/>
                <w:kern w:val="0"/>
                <w:sz w:val="22"/>
                <w:highlight w:val="none"/>
              </w:rPr>
            </w:pPr>
            <w:r>
              <w:rPr>
                <w:rFonts w:hint="default" w:ascii="Times New Roman" w:hAnsi="Times New Roman" w:eastAsia="宋体" w:cs="Times New Roman"/>
                <w:bCs/>
                <w:color w:val="auto"/>
                <w:kern w:val="0"/>
                <w:sz w:val="22"/>
                <w:highlight w:val="none"/>
                <w:lang w:bidi="ar"/>
              </w:rPr>
              <w:t>43</w:t>
            </w:r>
          </w:p>
        </w:tc>
        <w:tc>
          <w:tcPr>
            <w:tcW w:w="960" w:type="dxa"/>
            <w:tcBorders>
              <w:top w:val="nil"/>
              <w:left w:val="nil"/>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eastAsia="宋体" w:cs="Times New Roman"/>
                <w:bCs/>
                <w:color w:val="auto"/>
                <w:kern w:val="0"/>
                <w:sz w:val="22"/>
                <w:highlight w:val="none"/>
              </w:rPr>
            </w:pPr>
            <w:r>
              <w:rPr>
                <w:rFonts w:hint="default" w:ascii="Times New Roman" w:hAnsi="Times New Roman" w:eastAsia="宋体" w:cs="Times New Roman"/>
                <w:bCs/>
                <w:color w:val="auto"/>
                <w:kern w:val="0"/>
                <w:sz w:val="22"/>
                <w:highlight w:val="none"/>
                <w:lang w:bidi="ar"/>
              </w:rPr>
              <w:t>2</w:t>
            </w:r>
          </w:p>
        </w:tc>
        <w:tc>
          <w:tcPr>
            <w:tcW w:w="1320" w:type="dxa"/>
            <w:tcBorders>
              <w:top w:val="nil"/>
              <w:left w:val="nil"/>
              <w:bottom w:val="single" w:color="auto" w:sz="4" w:space="0"/>
              <w:right w:val="single" w:color="auto" w:sz="4" w:space="0"/>
            </w:tcBorders>
            <w:shd w:val="clear" w:color="auto" w:fill="auto"/>
            <w:noWrap/>
            <w:vAlign w:val="bottom"/>
          </w:tcPr>
          <w:p>
            <w:pPr>
              <w:widowControl/>
              <w:jc w:val="center"/>
              <w:textAlignment w:val="bottom"/>
              <w:rPr>
                <w:rFonts w:hint="default" w:ascii="Times New Roman" w:hAnsi="Times New Roman" w:eastAsia="宋体" w:cs="Times New Roman"/>
                <w:bCs/>
                <w:color w:val="auto"/>
                <w:kern w:val="0"/>
                <w:sz w:val="22"/>
                <w:highlight w:val="none"/>
                <w:lang w:bidi="ar"/>
              </w:rPr>
            </w:pPr>
            <w:r>
              <w:rPr>
                <w:rFonts w:hint="default" w:ascii="Times New Roman" w:hAnsi="Times New Roman" w:eastAsia="宋体" w:cs="Times New Roman"/>
                <w:bCs/>
                <w:color w:val="auto"/>
                <w:kern w:val="0"/>
                <w:sz w:val="22"/>
                <w:highlight w:val="none"/>
                <w:lang w:val="en-US" w:eastAsia="zh-CN" w:bidi="ar"/>
              </w:rPr>
              <w:t xml:space="preserve">368.92 </w:t>
            </w:r>
          </w:p>
        </w:tc>
        <w:tc>
          <w:tcPr>
            <w:tcW w:w="1300" w:type="dxa"/>
            <w:tcBorders>
              <w:top w:val="nil"/>
              <w:left w:val="nil"/>
              <w:bottom w:val="single" w:color="auto" w:sz="4" w:space="0"/>
              <w:right w:val="single" w:color="auto" w:sz="4" w:space="0"/>
            </w:tcBorders>
            <w:shd w:val="clear" w:color="auto" w:fill="auto"/>
            <w:noWrap/>
            <w:vAlign w:val="bottom"/>
          </w:tcPr>
          <w:p>
            <w:pPr>
              <w:widowControl/>
              <w:jc w:val="center"/>
              <w:textAlignment w:val="bottom"/>
              <w:rPr>
                <w:rFonts w:hint="default" w:ascii="Times New Roman" w:hAnsi="Times New Roman" w:eastAsia="宋体" w:cs="Times New Roman"/>
                <w:bCs/>
                <w:color w:val="auto"/>
                <w:kern w:val="0"/>
                <w:sz w:val="22"/>
                <w:highlight w:val="none"/>
                <w:lang w:bidi="ar"/>
              </w:rPr>
            </w:pPr>
            <w:r>
              <w:rPr>
                <w:rFonts w:hint="default" w:ascii="Times New Roman" w:hAnsi="Times New Roman" w:eastAsia="宋体" w:cs="Times New Roman"/>
                <w:bCs/>
                <w:color w:val="auto"/>
                <w:kern w:val="0"/>
                <w:sz w:val="22"/>
                <w:highlight w:val="none"/>
                <w:lang w:val="en-US" w:eastAsia="zh-CN" w:bidi="ar"/>
              </w:rPr>
              <w:t xml:space="preserve">182.98 </w:t>
            </w:r>
          </w:p>
        </w:tc>
      </w:tr>
      <w:tr>
        <w:tblPrEx>
          <w:tblCellMar>
            <w:top w:w="0" w:type="dxa"/>
            <w:left w:w="108" w:type="dxa"/>
            <w:bottom w:w="0" w:type="dxa"/>
            <w:right w:w="108" w:type="dxa"/>
          </w:tblCellMar>
        </w:tblPrEx>
        <w:trPr>
          <w:trHeight w:val="360" w:hRule="atLeast"/>
        </w:trPr>
        <w:tc>
          <w:tcPr>
            <w:tcW w:w="1858"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eastAsia="宋体" w:cs="Times New Roman"/>
                <w:color w:val="auto"/>
                <w:kern w:val="0"/>
                <w:sz w:val="22"/>
                <w:highlight w:val="none"/>
              </w:rPr>
            </w:pPr>
            <w:r>
              <w:rPr>
                <w:rFonts w:hint="default" w:ascii="Times New Roman" w:hAnsi="Times New Roman" w:eastAsia="宋体" w:cs="Times New Roman"/>
                <w:color w:val="auto"/>
                <w:kern w:val="0"/>
                <w:sz w:val="22"/>
                <w:highlight w:val="none"/>
                <w:lang w:bidi="ar"/>
              </w:rPr>
              <w:t>楼塘水库</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eastAsia="宋体" w:cs="Times New Roman"/>
                <w:bCs/>
                <w:color w:val="auto"/>
                <w:kern w:val="0"/>
                <w:sz w:val="22"/>
                <w:highlight w:val="none"/>
              </w:rPr>
            </w:pPr>
            <w:r>
              <w:rPr>
                <w:rFonts w:hint="default" w:ascii="Times New Roman" w:hAnsi="Times New Roman" w:eastAsia="宋体" w:cs="Times New Roman"/>
                <w:bCs/>
                <w:color w:val="auto"/>
                <w:kern w:val="0"/>
                <w:sz w:val="22"/>
                <w:highlight w:val="none"/>
                <w:lang w:bidi="ar"/>
              </w:rPr>
              <w:t>4.84</w:t>
            </w:r>
          </w:p>
        </w:tc>
        <w:tc>
          <w:tcPr>
            <w:tcW w:w="1299" w:type="dxa"/>
            <w:tcBorders>
              <w:top w:val="nil"/>
              <w:left w:val="nil"/>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eastAsia="宋体" w:cs="Times New Roman"/>
                <w:bCs/>
                <w:color w:val="auto"/>
                <w:kern w:val="0"/>
                <w:sz w:val="22"/>
                <w:highlight w:val="none"/>
              </w:rPr>
            </w:pPr>
            <w:r>
              <w:rPr>
                <w:rFonts w:hint="default" w:ascii="Times New Roman" w:hAnsi="Times New Roman" w:eastAsia="宋体" w:cs="Times New Roman"/>
                <w:bCs/>
                <w:color w:val="auto"/>
                <w:kern w:val="0"/>
                <w:sz w:val="22"/>
                <w:highlight w:val="none"/>
                <w:lang w:bidi="ar"/>
              </w:rPr>
              <w:t>4.85</w:t>
            </w:r>
          </w:p>
        </w:tc>
        <w:tc>
          <w:tcPr>
            <w:tcW w:w="849"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eastAsia="宋体" w:cs="Times New Roman"/>
                <w:bCs/>
                <w:color w:val="auto"/>
                <w:kern w:val="0"/>
                <w:sz w:val="22"/>
                <w:highlight w:val="none"/>
              </w:rPr>
            </w:pPr>
            <w:r>
              <w:rPr>
                <w:rFonts w:hint="default" w:ascii="Times New Roman" w:hAnsi="Times New Roman" w:eastAsia="宋体" w:cs="Times New Roman"/>
                <w:bCs/>
                <w:color w:val="auto"/>
                <w:kern w:val="0"/>
                <w:sz w:val="22"/>
                <w:highlight w:val="none"/>
                <w:lang w:bidi="ar"/>
              </w:rPr>
              <w:t>45</w:t>
            </w:r>
          </w:p>
        </w:tc>
        <w:tc>
          <w:tcPr>
            <w:tcW w:w="960" w:type="dxa"/>
            <w:tcBorders>
              <w:top w:val="nil"/>
              <w:left w:val="nil"/>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eastAsia="宋体" w:cs="Times New Roman"/>
                <w:bCs/>
                <w:color w:val="auto"/>
                <w:kern w:val="0"/>
                <w:sz w:val="22"/>
                <w:highlight w:val="none"/>
              </w:rPr>
            </w:pPr>
            <w:r>
              <w:rPr>
                <w:rFonts w:hint="default" w:ascii="Times New Roman" w:hAnsi="Times New Roman" w:eastAsia="宋体" w:cs="Times New Roman"/>
                <w:bCs/>
                <w:color w:val="auto"/>
                <w:kern w:val="0"/>
                <w:sz w:val="22"/>
                <w:highlight w:val="none"/>
                <w:lang w:bidi="ar"/>
              </w:rPr>
              <w:t>2</w:t>
            </w:r>
          </w:p>
        </w:tc>
        <w:tc>
          <w:tcPr>
            <w:tcW w:w="1320" w:type="dxa"/>
            <w:tcBorders>
              <w:top w:val="nil"/>
              <w:left w:val="nil"/>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eastAsia="宋体" w:cs="Times New Roman"/>
                <w:bCs/>
                <w:color w:val="auto"/>
                <w:kern w:val="0"/>
                <w:sz w:val="22"/>
                <w:highlight w:val="none"/>
                <w:lang w:bidi="ar"/>
              </w:rPr>
            </w:pPr>
            <w:r>
              <w:rPr>
                <w:rFonts w:hint="default" w:ascii="Times New Roman" w:hAnsi="Times New Roman" w:eastAsia="宋体" w:cs="Times New Roman"/>
                <w:bCs/>
                <w:color w:val="auto"/>
                <w:kern w:val="0"/>
                <w:sz w:val="22"/>
                <w:highlight w:val="none"/>
                <w:lang w:bidi="ar"/>
              </w:rPr>
              <w:t>433.82</w:t>
            </w:r>
          </w:p>
        </w:tc>
        <w:tc>
          <w:tcPr>
            <w:tcW w:w="1300" w:type="dxa"/>
            <w:tcBorders>
              <w:top w:val="nil"/>
              <w:left w:val="nil"/>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eastAsia="宋体" w:cs="Times New Roman"/>
                <w:bCs/>
                <w:color w:val="auto"/>
                <w:kern w:val="0"/>
                <w:sz w:val="22"/>
                <w:highlight w:val="none"/>
                <w:lang w:bidi="ar"/>
              </w:rPr>
            </w:pPr>
            <w:r>
              <w:rPr>
                <w:rFonts w:hint="default" w:ascii="Times New Roman" w:hAnsi="Times New Roman" w:eastAsia="宋体" w:cs="Times New Roman"/>
                <w:bCs/>
                <w:color w:val="auto"/>
                <w:kern w:val="0"/>
                <w:sz w:val="22"/>
                <w:highlight w:val="none"/>
                <w:lang w:bidi="ar"/>
              </w:rPr>
              <w:t>198.67</w:t>
            </w:r>
          </w:p>
        </w:tc>
      </w:tr>
      <w:tr>
        <w:tblPrEx>
          <w:tblCellMar>
            <w:top w:w="0" w:type="dxa"/>
            <w:left w:w="108" w:type="dxa"/>
            <w:bottom w:w="0" w:type="dxa"/>
            <w:right w:w="108" w:type="dxa"/>
          </w:tblCellMar>
        </w:tblPrEx>
        <w:trPr>
          <w:trHeight w:val="360" w:hRule="atLeast"/>
        </w:trPr>
        <w:tc>
          <w:tcPr>
            <w:tcW w:w="1858"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eastAsia="宋体" w:cs="Times New Roman"/>
                <w:color w:val="auto"/>
                <w:kern w:val="0"/>
                <w:sz w:val="22"/>
                <w:highlight w:val="none"/>
              </w:rPr>
            </w:pPr>
            <w:r>
              <w:rPr>
                <w:rFonts w:hint="default" w:ascii="Times New Roman" w:hAnsi="Times New Roman" w:eastAsia="宋体" w:cs="Times New Roman"/>
                <w:color w:val="auto"/>
                <w:kern w:val="0"/>
                <w:sz w:val="22"/>
                <w:highlight w:val="none"/>
                <w:lang w:bidi="ar"/>
              </w:rPr>
              <w:t>里塘水库</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eastAsia="宋体" w:cs="Times New Roman"/>
                <w:bCs/>
                <w:color w:val="auto"/>
                <w:kern w:val="0"/>
                <w:sz w:val="22"/>
                <w:highlight w:val="none"/>
                <w:lang w:val="en-US" w:eastAsia="zh-CN"/>
              </w:rPr>
            </w:pPr>
            <w:r>
              <w:rPr>
                <w:rFonts w:hint="default" w:ascii="Times New Roman" w:hAnsi="Times New Roman" w:eastAsia="宋体" w:cs="Times New Roman"/>
                <w:bCs/>
                <w:color w:val="auto"/>
                <w:kern w:val="0"/>
                <w:sz w:val="22"/>
                <w:highlight w:val="none"/>
                <w:lang w:val="en-US" w:eastAsia="zh-CN" w:bidi="ar"/>
              </w:rPr>
              <w:t>6.95</w:t>
            </w:r>
          </w:p>
        </w:tc>
        <w:tc>
          <w:tcPr>
            <w:tcW w:w="1299" w:type="dxa"/>
            <w:tcBorders>
              <w:top w:val="nil"/>
              <w:left w:val="nil"/>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eastAsia="宋体" w:cs="Times New Roman"/>
                <w:bCs/>
                <w:color w:val="auto"/>
                <w:kern w:val="0"/>
                <w:sz w:val="22"/>
                <w:highlight w:val="none"/>
                <w:lang w:val="en-US" w:eastAsia="zh-CN"/>
              </w:rPr>
            </w:pPr>
            <w:r>
              <w:rPr>
                <w:rFonts w:hint="default" w:ascii="Times New Roman" w:hAnsi="Times New Roman" w:eastAsia="宋体" w:cs="Times New Roman"/>
                <w:bCs/>
                <w:color w:val="auto"/>
                <w:kern w:val="0"/>
                <w:sz w:val="22"/>
                <w:highlight w:val="none"/>
                <w:lang w:val="en-US" w:eastAsia="zh-CN" w:bidi="ar"/>
              </w:rPr>
              <w:t>7.01</w:t>
            </w:r>
          </w:p>
        </w:tc>
        <w:tc>
          <w:tcPr>
            <w:tcW w:w="849"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eastAsia="宋体" w:cs="Times New Roman"/>
                <w:bCs/>
                <w:color w:val="auto"/>
                <w:kern w:val="0"/>
                <w:sz w:val="22"/>
                <w:highlight w:val="none"/>
              </w:rPr>
            </w:pPr>
            <w:r>
              <w:rPr>
                <w:rFonts w:hint="default" w:ascii="Times New Roman" w:hAnsi="Times New Roman" w:eastAsia="宋体" w:cs="Times New Roman"/>
                <w:bCs/>
                <w:color w:val="auto"/>
                <w:kern w:val="0"/>
                <w:sz w:val="22"/>
                <w:highlight w:val="none"/>
                <w:lang w:bidi="ar"/>
              </w:rPr>
              <w:t>59</w:t>
            </w:r>
          </w:p>
        </w:tc>
        <w:tc>
          <w:tcPr>
            <w:tcW w:w="960" w:type="dxa"/>
            <w:tcBorders>
              <w:top w:val="nil"/>
              <w:left w:val="nil"/>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eastAsia="宋体" w:cs="Times New Roman"/>
                <w:bCs/>
                <w:color w:val="auto"/>
                <w:kern w:val="0"/>
                <w:sz w:val="22"/>
                <w:highlight w:val="none"/>
              </w:rPr>
            </w:pPr>
            <w:r>
              <w:rPr>
                <w:rFonts w:hint="default" w:ascii="Times New Roman" w:hAnsi="Times New Roman" w:eastAsia="宋体" w:cs="Times New Roman"/>
                <w:bCs/>
                <w:color w:val="auto"/>
                <w:kern w:val="0"/>
                <w:sz w:val="22"/>
                <w:highlight w:val="none"/>
                <w:lang w:bidi="ar"/>
              </w:rPr>
              <w:t>2</w:t>
            </w:r>
          </w:p>
        </w:tc>
        <w:tc>
          <w:tcPr>
            <w:tcW w:w="1320" w:type="dxa"/>
            <w:tcBorders>
              <w:top w:val="nil"/>
              <w:left w:val="nil"/>
              <w:bottom w:val="single" w:color="auto" w:sz="4" w:space="0"/>
              <w:right w:val="single" w:color="auto" w:sz="4" w:space="0"/>
            </w:tcBorders>
            <w:shd w:val="clear" w:color="auto" w:fill="auto"/>
            <w:noWrap/>
            <w:vAlign w:val="bottom"/>
          </w:tcPr>
          <w:p>
            <w:pPr>
              <w:widowControl/>
              <w:jc w:val="center"/>
              <w:textAlignment w:val="bottom"/>
              <w:rPr>
                <w:rFonts w:hint="default" w:ascii="Times New Roman" w:hAnsi="Times New Roman" w:eastAsia="宋体" w:cs="Times New Roman"/>
                <w:bCs/>
                <w:color w:val="auto"/>
                <w:kern w:val="0"/>
                <w:sz w:val="22"/>
                <w:highlight w:val="none"/>
                <w:lang w:bidi="ar"/>
              </w:rPr>
            </w:pPr>
            <w:r>
              <w:rPr>
                <w:rFonts w:hint="default" w:ascii="Times New Roman" w:hAnsi="Times New Roman" w:eastAsia="宋体" w:cs="Times New Roman"/>
                <w:bCs/>
                <w:color w:val="auto"/>
                <w:kern w:val="0"/>
                <w:sz w:val="22"/>
                <w:highlight w:val="none"/>
                <w:lang w:val="en-US" w:eastAsia="zh-CN" w:bidi="ar"/>
              </w:rPr>
              <w:t xml:space="preserve">368.82 </w:t>
            </w:r>
          </w:p>
        </w:tc>
        <w:tc>
          <w:tcPr>
            <w:tcW w:w="1300" w:type="dxa"/>
            <w:tcBorders>
              <w:top w:val="nil"/>
              <w:left w:val="nil"/>
              <w:bottom w:val="single" w:color="auto" w:sz="4" w:space="0"/>
              <w:right w:val="single" w:color="auto" w:sz="4" w:space="0"/>
            </w:tcBorders>
            <w:shd w:val="clear" w:color="auto" w:fill="auto"/>
            <w:noWrap/>
            <w:vAlign w:val="bottom"/>
          </w:tcPr>
          <w:p>
            <w:pPr>
              <w:widowControl/>
              <w:jc w:val="center"/>
              <w:textAlignment w:val="bottom"/>
              <w:rPr>
                <w:rFonts w:hint="default" w:ascii="Times New Roman" w:hAnsi="Times New Roman" w:eastAsia="宋体" w:cs="Times New Roman"/>
                <w:bCs/>
                <w:color w:val="auto"/>
                <w:kern w:val="0"/>
                <w:sz w:val="22"/>
                <w:highlight w:val="none"/>
                <w:lang w:bidi="ar"/>
              </w:rPr>
            </w:pPr>
            <w:r>
              <w:rPr>
                <w:rFonts w:hint="default" w:ascii="Times New Roman" w:hAnsi="Times New Roman" w:eastAsia="宋体" w:cs="Times New Roman"/>
                <w:bCs/>
                <w:color w:val="auto"/>
                <w:kern w:val="0"/>
                <w:sz w:val="22"/>
                <w:highlight w:val="none"/>
                <w:lang w:val="en-US" w:eastAsia="zh-CN" w:bidi="ar"/>
              </w:rPr>
              <w:t xml:space="preserve">226.20 </w:t>
            </w:r>
          </w:p>
        </w:tc>
      </w:tr>
      <w:tr>
        <w:tblPrEx>
          <w:tblCellMar>
            <w:top w:w="0" w:type="dxa"/>
            <w:left w:w="108" w:type="dxa"/>
            <w:bottom w:w="0" w:type="dxa"/>
            <w:right w:w="108" w:type="dxa"/>
          </w:tblCellMar>
        </w:tblPrEx>
        <w:trPr>
          <w:trHeight w:val="360" w:hRule="atLeast"/>
        </w:trPr>
        <w:tc>
          <w:tcPr>
            <w:tcW w:w="1858"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eastAsia="宋体" w:cs="Times New Roman"/>
                <w:color w:val="auto"/>
                <w:kern w:val="0"/>
                <w:sz w:val="22"/>
                <w:highlight w:val="none"/>
              </w:rPr>
            </w:pPr>
            <w:r>
              <w:rPr>
                <w:rFonts w:hint="default" w:ascii="Times New Roman" w:hAnsi="Times New Roman" w:eastAsia="宋体" w:cs="Times New Roman"/>
                <w:color w:val="auto"/>
                <w:kern w:val="0"/>
                <w:sz w:val="22"/>
                <w:highlight w:val="none"/>
                <w:lang w:bidi="ar"/>
              </w:rPr>
              <w:t>石堰脑水库</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eastAsia="宋体" w:cs="Times New Roman"/>
                <w:bCs/>
                <w:color w:val="auto"/>
                <w:kern w:val="0"/>
                <w:sz w:val="22"/>
                <w:highlight w:val="none"/>
                <w:lang w:val="en-US" w:eastAsia="zh-CN"/>
              </w:rPr>
            </w:pPr>
            <w:r>
              <w:rPr>
                <w:rFonts w:hint="default" w:ascii="Times New Roman" w:hAnsi="Times New Roman" w:eastAsia="宋体" w:cs="Times New Roman"/>
                <w:bCs/>
                <w:color w:val="auto"/>
                <w:kern w:val="0"/>
                <w:sz w:val="22"/>
                <w:highlight w:val="none"/>
                <w:lang w:bidi="ar"/>
              </w:rPr>
              <w:t>3.</w:t>
            </w:r>
            <w:r>
              <w:rPr>
                <w:rFonts w:hint="default" w:ascii="Times New Roman" w:hAnsi="Times New Roman" w:eastAsia="宋体" w:cs="Times New Roman"/>
                <w:bCs/>
                <w:color w:val="auto"/>
                <w:kern w:val="0"/>
                <w:sz w:val="22"/>
                <w:highlight w:val="none"/>
                <w:lang w:val="en-US" w:eastAsia="zh-CN" w:bidi="ar"/>
              </w:rPr>
              <w:t>17</w:t>
            </w:r>
          </w:p>
        </w:tc>
        <w:tc>
          <w:tcPr>
            <w:tcW w:w="1299" w:type="dxa"/>
            <w:tcBorders>
              <w:top w:val="nil"/>
              <w:left w:val="nil"/>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eastAsia="宋体" w:cs="Times New Roman"/>
                <w:bCs/>
                <w:color w:val="auto"/>
                <w:kern w:val="0"/>
                <w:sz w:val="22"/>
                <w:highlight w:val="none"/>
              </w:rPr>
            </w:pPr>
            <w:r>
              <w:rPr>
                <w:rFonts w:hint="default" w:ascii="Times New Roman" w:hAnsi="Times New Roman" w:eastAsia="宋体" w:cs="Times New Roman"/>
                <w:bCs/>
                <w:color w:val="auto"/>
                <w:kern w:val="0"/>
                <w:sz w:val="22"/>
                <w:highlight w:val="none"/>
                <w:lang w:bidi="ar"/>
              </w:rPr>
              <w:t>2.97</w:t>
            </w:r>
          </w:p>
        </w:tc>
        <w:tc>
          <w:tcPr>
            <w:tcW w:w="849"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eastAsia="宋体" w:cs="Times New Roman"/>
                <w:bCs/>
                <w:color w:val="auto"/>
                <w:kern w:val="0"/>
                <w:sz w:val="22"/>
                <w:highlight w:val="none"/>
              </w:rPr>
            </w:pPr>
            <w:r>
              <w:rPr>
                <w:rFonts w:hint="default" w:ascii="Times New Roman" w:hAnsi="Times New Roman" w:eastAsia="宋体" w:cs="Times New Roman"/>
                <w:bCs/>
                <w:color w:val="auto"/>
                <w:kern w:val="0"/>
                <w:sz w:val="22"/>
                <w:highlight w:val="none"/>
                <w:lang w:bidi="ar"/>
              </w:rPr>
              <w:t>31</w:t>
            </w:r>
          </w:p>
        </w:tc>
        <w:tc>
          <w:tcPr>
            <w:tcW w:w="960" w:type="dxa"/>
            <w:tcBorders>
              <w:top w:val="nil"/>
              <w:left w:val="nil"/>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eastAsia="宋体" w:cs="Times New Roman"/>
                <w:bCs/>
                <w:color w:val="auto"/>
                <w:kern w:val="0"/>
                <w:sz w:val="22"/>
                <w:highlight w:val="none"/>
              </w:rPr>
            </w:pPr>
            <w:r>
              <w:rPr>
                <w:rFonts w:hint="default" w:ascii="Times New Roman" w:hAnsi="Times New Roman" w:eastAsia="宋体" w:cs="Times New Roman"/>
                <w:bCs/>
                <w:color w:val="auto"/>
                <w:kern w:val="0"/>
                <w:sz w:val="22"/>
                <w:highlight w:val="none"/>
                <w:lang w:bidi="ar"/>
              </w:rPr>
              <w:t>4</w:t>
            </w:r>
          </w:p>
        </w:tc>
        <w:tc>
          <w:tcPr>
            <w:tcW w:w="1320" w:type="dxa"/>
            <w:tcBorders>
              <w:top w:val="nil"/>
              <w:left w:val="nil"/>
              <w:bottom w:val="single" w:color="auto" w:sz="4" w:space="0"/>
              <w:right w:val="single" w:color="auto" w:sz="4" w:space="0"/>
            </w:tcBorders>
            <w:shd w:val="clear" w:color="auto" w:fill="auto"/>
            <w:noWrap/>
            <w:vAlign w:val="bottom"/>
          </w:tcPr>
          <w:p>
            <w:pPr>
              <w:widowControl/>
              <w:jc w:val="center"/>
              <w:textAlignment w:val="bottom"/>
              <w:rPr>
                <w:rFonts w:hint="default" w:ascii="Times New Roman" w:hAnsi="Times New Roman" w:eastAsia="宋体" w:cs="Times New Roman"/>
                <w:bCs/>
                <w:color w:val="auto"/>
                <w:kern w:val="0"/>
                <w:sz w:val="22"/>
                <w:highlight w:val="none"/>
                <w:lang w:bidi="ar"/>
              </w:rPr>
            </w:pPr>
            <w:r>
              <w:rPr>
                <w:rFonts w:hint="default" w:ascii="Times New Roman" w:hAnsi="Times New Roman" w:eastAsia="宋体" w:cs="Times New Roman"/>
                <w:bCs/>
                <w:color w:val="auto"/>
                <w:kern w:val="0"/>
                <w:sz w:val="22"/>
                <w:highlight w:val="none"/>
                <w:lang w:val="en-US" w:eastAsia="zh-CN" w:bidi="ar"/>
              </w:rPr>
              <w:t xml:space="preserve">297.33 </w:t>
            </w:r>
          </w:p>
        </w:tc>
        <w:tc>
          <w:tcPr>
            <w:tcW w:w="1300" w:type="dxa"/>
            <w:tcBorders>
              <w:top w:val="nil"/>
              <w:left w:val="nil"/>
              <w:bottom w:val="single" w:color="auto" w:sz="4" w:space="0"/>
              <w:right w:val="single" w:color="auto" w:sz="4" w:space="0"/>
            </w:tcBorders>
            <w:shd w:val="clear" w:color="auto" w:fill="auto"/>
            <w:noWrap/>
            <w:vAlign w:val="bottom"/>
          </w:tcPr>
          <w:p>
            <w:pPr>
              <w:widowControl/>
              <w:jc w:val="center"/>
              <w:textAlignment w:val="bottom"/>
              <w:rPr>
                <w:rFonts w:hint="default" w:ascii="Times New Roman" w:hAnsi="Times New Roman" w:eastAsia="宋体" w:cs="Times New Roman"/>
                <w:bCs/>
                <w:color w:val="auto"/>
                <w:kern w:val="0"/>
                <w:sz w:val="22"/>
                <w:highlight w:val="none"/>
                <w:lang w:bidi="ar"/>
              </w:rPr>
            </w:pPr>
            <w:r>
              <w:rPr>
                <w:rFonts w:hint="default" w:ascii="Times New Roman" w:hAnsi="Times New Roman" w:eastAsia="宋体" w:cs="Times New Roman"/>
                <w:bCs/>
                <w:color w:val="auto"/>
                <w:kern w:val="0"/>
                <w:sz w:val="22"/>
                <w:highlight w:val="none"/>
                <w:lang w:val="en-US" w:eastAsia="zh-CN" w:bidi="ar"/>
              </w:rPr>
              <w:t xml:space="preserve">132.13 </w:t>
            </w:r>
          </w:p>
        </w:tc>
      </w:tr>
      <w:tr>
        <w:tblPrEx>
          <w:tblCellMar>
            <w:top w:w="0" w:type="dxa"/>
            <w:left w:w="108" w:type="dxa"/>
            <w:bottom w:w="0" w:type="dxa"/>
            <w:right w:w="108" w:type="dxa"/>
          </w:tblCellMar>
        </w:tblPrEx>
        <w:trPr>
          <w:trHeight w:val="360" w:hRule="atLeast"/>
        </w:trPr>
        <w:tc>
          <w:tcPr>
            <w:tcW w:w="1858"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eastAsia="宋体" w:cs="Times New Roman"/>
                <w:color w:val="auto"/>
                <w:kern w:val="0"/>
                <w:sz w:val="22"/>
                <w:highlight w:val="none"/>
              </w:rPr>
            </w:pPr>
            <w:r>
              <w:rPr>
                <w:rFonts w:hint="default" w:ascii="Times New Roman" w:hAnsi="Times New Roman" w:eastAsia="宋体" w:cs="Times New Roman"/>
                <w:color w:val="auto"/>
                <w:kern w:val="0"/>
                <w:sz w:val="22"/>
                <w:highlight w:val="none"/>
                <w:lang w:bidi="ar"/>
              </w:rPr>
              <w:t>石洞源水库</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eastAsia="宋体" w:cs="Times New Roman"/>
                <w:bCs/>
                <w:color w:val="auto"/>
                <w:kern w:val="0"/>
                <w:sz w:val="22"/>
                <w:highlight w:val="none"/>
              </w:rPr>
            </w:pPr>
            <w:r>
              <w:rPr>
                <w:rFonts w:hint="default" w:ascii="Times New Roman" w:hAnsi="Times New Roman" w:eastAsia="宋体" w:cs="Times New Roman"/>
                <w:bCs/>
                <w:color w:val="auto"/>
                <w:kern w:val="0"/>
                <w:sz w:val="22"/>
                <w:highlight w:val="none"/>
                <w:lang w:bidi="ar"/>
              </w:rPr>
              <w:t>10.51</w:t>
            </w:r>
          </w:p>
        </w:tc>
        <w:tc>
          <w:tcPr>
            <w:tcW w:w="1299" w:type="dxa"/>
            <w:tcBorders>
              <w:top w:val="nil"/>
              <w:left w:val="nil"/>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eastAsia="宋体" w:cs="Times New Roman"/>
                <w:bCs/>
                <w:color w:val="auto"/>
                <w:kern w:val="0"/>
                <w:sz w:val="22"/>
                <w:highlight w:val="none"/>
              </w:rPr>
            </w:pPr>
            <w:r>
              <w:rPr>
                <w:rFonts w:hint="default" w:ascii="Times New Roman" w:hAnsi="Times New Roman" w:eastAsia="宋体" w:cs="Times New Roman"/>
                <w:bCs/>
                <w:color w:val="auto"/>
                <w:kern w:val="0"/>
                <w:sz w:val="22"/>
                <w:highlight w:val="none"/>
                <w:lang w:bidi="ar"/>
              </w:rPr>
              <w:t>9.98</w:t>
            </w:r>
          </w:p>
        </w:tc>
        <w:tc>
          <w:tcPr>
            <w:tcW w:w="849"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eastAsia="宋体" w:cs="Times New Roman"/>
                <w:bCs/>
                <w:color w:val="auto"/>
                <w:kern w:val="0"/>
                <w:sz w:val="22"/>
                <w:highlight w:val="none"/>
              </w:rPr>
            </w:pPr>
            <w:r>
              <w:rPr>
                <w:rFonts w:hint="default" w:ascii="Times New Roman" w:hAnsi="Times New Roman" w:eastAsia="宋体" w:cs="Times New Roman"/>
                <w:bCs/>
                <w:color w:val="auto"/>
                <w:kern w:val="0"/>
                <w:sz w:val="22"/>
                <w:highlight w:val="none"/>
                <w:lang w:bidi="ar"/>
              </w:rPr>
              <w:t>43</w:t>
            </w:r>
          </w:p>
        </w:tc>
        <w:tc>
          <w:tcPr>
            <w:tcW w:w="960" w:type="dxa"/>
            <w:tcBorders>
              <w:top w:val="nil"/>
              <w:left w:val="nil"/>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eastAsia="宋体" w:cs="Times New Roman"/>
                <w:bCs/>
                <w:color w:val="auto"/>
                <w:kern w:val="0"/>
                <w:sz w:val="22"/>
                <w:highlight w:val="none"/>
              </w:rPr>
            </w:pPr>
            <w:r>
              <w:rPr>
                <w:rFonts w:hint="default" w:ascii="Times New Roman" w:hAnsi="Times New Roman" w:eastAsia="宋体" w:cs="Times New Roman"/>
                <w:bCs/>
                <w:color w:val="auto"/>
                <w:kern w:val="0"/>
                <w:sz w:val="22"/>
                <w:highlight w:val="none"/>
                <w:lang w:bidi="ar"/>
              </w:rPr>
              <w:t>6</w:t>
            </w:r>
          </w:p>
        </w:tc>
        <w:tc>
          <w:tcPr>
            <w:tcW w:w="1320" w:type="dxa"/>
            <w:tcBorders>
              <w:top w:val="nil"/>
              <w:left w:val="nil"/>
              <w:bottom w:val="single" w:color="auto" w:sz="4" w:space="0"/>
              <w:right w:val="single" w:color="auto" w:sz="4" w:space="0"/>
            </w:tcBorders>
            <w:shd w:val="clear" w:color="auto" w:fill="auto"/>
            <w:noWrap/>
            <w:vAlign w:val="bottom"/>
          </w:tcPr>
          <w:p>
            <w:pPr>
              <w:widowControl/>
              <w:jc w:val="center"/>
              <w:textAlignment w:val="bottom"/>
              <w:rPr>
                <w:rFonts w:hint="default" w:ascii="Times New Roman" w:hAnsi="Times New Roman" w:eastAsia="宋体" w:cs="Times New Roman"/>
                <w:bCs/>
                <w:color w:val="auto"/>
                <w:kern w:val="0"/>
                <w:sz w:val="22"/>
                <w:highlight w:val="none"/>
                <w:lang w:bidi="ar"/>
              </w:rPr>
            </w:pPr>
            <w:r>
              <w:rPr>
                <w:rFonts w:hint="default" w:ascii="Times New Roman" w:hAnsi="Times New Roman" w:eastAsia="宋体" w:cs="Times New Roman"/>
                <w:bCs/>
                <w:color w:val="auto"/>
                <w:kern w:val="0"/>
                <w:sz w:val="22"/>
                <w:highlight w:val="none"/>
                <w:lang w:val="en-US" w:eastAsia="zh-CN" w:bidi="ar"/>
              </w:rPr>
              <w:t xml:space="preserve">1093.10 </w:t>
            </w:r>
          </w:p>
        </w:tc>
        <w:tc>
          <w:tcPr>
            <w:tcW w:w="1300" w:type="dxa"/>
            <w:tcBorders>
              <w:top w:val="nil"/>
              <w:left w:val="nil"/>
              <w:bottom w:val="single" w:color="auto" w:sz="4" w:space="0"/>
              <w:right w:val="single" w:color="auto" w:sz="4" w:space="0"/>
            </w:tcBorders>
            <w:shd w:val="clear" w:color="auto" w:fill="auto"/>
            <w:noWrap/>
            <w:vAlign w:val="bottom"/>
          </w:tcPr>
          <w:p>
            <w:pPr>
              <w:widowControl/>
              <w:jc w:val="center"/>
              <w:textAlignment w:val="bottom"/>
              <w:rPr>
                <w:rFonts w:hint="default" w:ascii="Times New Roman" w:hAnsi="Times New Roman" w:eastAsia="宋体" w:cs="Times New Roman"/>
                <w:bCs/>
                <w:color w:val="auto"/>
                <w:kern w:val="0"/>
                <w:sz w:val="22"/>
                <w:highlight w:val="none"/>
                <w:lang w:bidi="ar"/>
              </w:rPr>
            </w:pPr>
            <w:r>
              <w:rPr>
                <w:rFonts w:hint="default" w:ascii="Times New Roman" w:hAnsi="Times New Roman" w:eastAsia="宋体" w:cs="Times New Roman"/>
                <w:bCs/>
                <w:color w:val="auto"/>
                <w:kern w:val="0"/>
                <w:sz w:val="22"/>
                <w:highlight w:val="none"/>
                <w:lang w:val="en-US" w:eastAsia="zh-CN" w:bidi="ar"/>
              </w:rPr>
              <w:t xml:space="preserve">389.69 </w:t>
            </w:r>
          </w:p>
        </w:tc>
      </w:tr>
      <w:tr>
        <w:tblPrEx>
          <w:tblCellMar>
            <w:top w:w="0" w:type="dxa"/>
            <w:left w:w="108" w:type="dxa"/>
            <w:bottom w:w="0" w:type="dxa"/>
            <w:right w:w="108" w:type="dxa"/>
          </w:tblCellMar>
        </w:tblPrEx>
        <w:trPr>
          <w:trHeight w:val="360" w:hRule="atLeast"/>
        </w:trPr>
        <w:tc>
          <w:tcPr>
            <w:tcW w:w="1858"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eastAsia="宋体" w:cs="Times New Roman"/>
                <w:color w:val="auto"/>
                <w:kern w:val="0"/>
                <w:sz w:val="22"/>
                <w:highlight w:val="none"/>
              </w:rPr>
            </w:pPr>
            <w:r>
              <w:rPr>
                <w:rFonts w:hint="default" w:ascii="Times New Roman" w:hAnsi="Times New Roman" w:eastAsia="宋体" w:cs="Times New Roman"/>
                <w:color w:val="auto"/>
                <w:kern w:val="0"/>
                <w:sz w:val="22"/>
                <w:highlight w:val="none"/>
                <w:lang w:bidi="ar"/>
              </w:rPr>
              <w:t>文家冲水库</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eastAsia="宋体" w:cs="Times New Roman"/>
                <w:bCs/>
                <w:color w:val="auto"/>
                <w:kern w:val="0"/>
                <w:sz w:val="22"/>
                <w:highlight w:val="none"/>
              </w:rPr>
            </w:pPr>
            <w:r>
              <w:rPr>
                <w:rFonts w:hint="default" w:ascii="Times New Roman" w:hAnsi="Times New Roman" w:eastAsia="宋体" w:cs="Times New Roman"/>
                <w:bCs/>
                <w:color w:val="auto"/>
                <w:kern w:val="0"/>
                <w:sz w:val="22"/>
                <w:highlight w:val="none"/>
                <w:lang w:bidi="ar"/>
              </w:rPr>
              <w:t>5.98</w:t>
            </w:r>
          </w:p>
        </w:tc>
        <w:tc>
          <w:tcPr>
            <w:tcW w:w="1299" w:type="dxa"/>
            <w:tcBorders>
              <w:top w:val="nil"/>
              <w:left w:val="nil"/>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eastAsia="宋体" w:cs="Times New Roman"/>
                <w:bCs/>
                <w:color w:val="auto"/>
                <w:kern w:val="0"/>
                <w:sz w:val="22"/>
                <w:highlight w:val="none"/>
                <w:lang w:eastAsia="zh-CN"/>
              </w:rPr>
            </w:pPr>
            <w:r>
              <w:rPr>
                <w:rFonts w:hint="default" w:ascii="Times New Roman" w:hAnsi="Times New Roman" w:eastAsia="宋体" w:cs="Times New Roman"/>
                <w:bCs/>
                <w:color w:val="auto"/>
                <w:kern w:val="0"/>
                <w:sz w:val="22"/>
                <w:highlight w:val="none"/>
                <w:lang w:bidi="ar"/>
              </w:rPr>
              <w:t>5.6</w:t>
            </w:r>
            <w:r>
              <w:rPr>
                <w:rFonts w:hint="default" w:ascii="Times New Roman" w:hAnsi="Times New Roman" w:eastAsia="宋体" w:cs="Times New Roman"/>
                <w:bCs/>
                <w:color w:val="auto"/>
                <w:kern w:val="0"/>
                <w:sz w:val="22"/>
                <w:highlight w:val="none"/>
                <w:lang w:val="en-US" w:eastAsia="zh-CN" w:bidi="ar"/>
              </w:rPr>
              <w:t>2</w:t>
            </w:r>
          </w:p>
        </w:tc>
        <w:tc>
          <w:tcPr>
            <w:tcW w:w="849"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eastAsia="宋体" w:cs="Times New Roman"/>
                <w:bCs/>
                <w:color w:val="auto"/>
                <w:kern w:val="0"/>
                <w:sz w:val="22"/>
                <w:highlight w:val="none"/>
              </w:rPr>
            </w:pPr>
            <w:r>
              <w:rPr>
                <w:rFonts w:hint="default" w:ascii="Times New Roman" w:hAnsi="Times New Roman" w:eastAsia="宋体" w:cs="Times New Roman"/>
                <w:bCs/>
                <w:color w:val="auto"/>
                <w:kern w:val="0"/>
                <w:sz w:val="22"/>
                <w:highlight w:val="none"/>
                <w:lang w:bidi="ar"/>
              </w:rPr>
              <w:t>33</w:t>
            </w:r>
          </w:p>
        </w:tc>
        <w:tc>
          <w:tcPr>
            <w:tcW w:w="960" w:type="dxa"/>
            <w:tcBorders>
              <w:top w:val="nil"/>
              <w:left w:val="nil"/>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eastAsia="宋体" w:cs="Times New Roman"/>
                <w:bCs/>
                <w:color w:val="auto"/>
                <w:kern w:val="0"/>
                <w:sz w:val="22"/>
                <w:highlight w:val="none"/>
              </w:rPr>
            </w:pPr>
            <w:r>
              <w:rPr>
                <w:rFonts w:hint="default" w:ascii="Times New Roman" w:hAnsi="Times New Roman" w:eastAsia="宋体" w:cs="Times New Roman"/>
                <w:bCs/>
                <w:color w:val="auto"/>
                <w:kern w:val="0"/>
                <w:sz w:val="22"/>
                <w:highlight w:val="none"/>
                <w:lang w:bidi="ar"/>
              </w:rPr>
              <w:t>4</w:t>
            </w:r>
          </w:p>
        </w:tc>
        <w:tc>
          <w:tcPr>
            <w:tcW w:w="1320" w:type="dxa"/>
            <w:tcBorders>
              <w:top w:val="nil"/>
              <w:left w:val="nil"/>
              <w:bottom w:val="single" w:color="auto" w:sz="4" w:space="0"/>
              <w:right w:val="single" w:color="auto" w:sz="4" w:space="0"/>
            </w:tcBorders>
            <w:shd w:val="clear" w:color="auto" w:fill="auto"/>
            <w:noWrap/>
            <w:vAlign w:val="bottom"/>
          </w:tcPr>
          <w:p>
            <w:pPr>
              <w:widowControl/>
              <w:jc w:val="center"/>
              <w:textAlignment w:val="bottom"/>
              <w:rPr>
                <w:rFonts w:hint="default" w:ascii="Times New Roman" w:hAnsi="Times New Roman" w:eastAsia="宋体" w:cs="Times New Roman"/>
                <w:bCs/>
                <w:color w:val="auto"/>
                <w:kern w:val="0"/>
                <w:sz w:val="22"/>
                <w:highlight w:val="none"/>
                <w:lang w:bidi="ar"/>
              </w:rPr>
            </w:pPr>
            <w:r>
              <w:rPr>
                <w:rFonts w:hint="default" w:ascii="Times New Roman" w:hAnsi="Times New Roman" w:eastAsia="宋体" w:cs="Times New Roman"/>
                <w:bCs/>
                <w:color w:val="auto"/>
                <w:kern w:val="0"/>
                <w:sz w:val="22"/>
                <w:highlight w:val="none"/>
                <w:lang w:val="en-US" w:eastAsia="zh-CN" w:bidi="ar"/>
              </w:rPr>
              <w:t xml:space="preserve">614.80 </w:t>
            </w:r>
          </w:p>
        </w:tc>
        <w:tc>
          <w:tcPr>
            <w:tcW w:w="1300" w:type="dxa"/>
            <w:tcBorders>
              <w:top w:val="nil"/>
              <w:left w:val="nil"/>
              <w:bottom w:val="single" w:color="auto" w:sz="4" w:space="0"/>
              <w:right w:val="single" w:color="auto" w:sz="4" w:space="0"/>
            </w:tcBorders>
            <w:shd w:val="clear" w:color="auto" w:fill="auto"/>
            <w:noWrap/>
            <w:vAlign w:val="bottom"/>
          </w:tcPr>
          <w:p>
            <w:pPr>
              <w:widowControl/>
              <w:jc w:val="center"/>
              <w:textAlignment w:val="bottom"/>
              <w:rPr>
                <w:rFonts w:hint="default" w:ascii="Times New Roman" w:hAnsi="Times New Roman" w:eastAsia="宋体" w:cs="Times New Roman"/>
                <w:bCs/>
                <w:color w:val="auto"/>
                <w:kern w:val="0"/>
                <w:sz w:val="22"/>
                <w:highlight w:val="none"/>
                <w:lang w:bidi="ar"/>
              </w:rPr>
            </w:pPr>
            <w:r>
              <w:rPr>
                <w:rFonts w:hint="default" w:ascii="Times New Roman" w:hAnsi="Times New Roman" w:eastAsia="宋体" w:cs="Times New Roman"/>
                <w:bCs/>
                <w:color w:val="auto"/>
                <w:kern w:val="0"/>
                <w:sz w:val="22"/>
                <w:highlight w:val="none"/>
                <w:lang w:val="en-US" w:eastAsia="zh-CN" w:bidi="ar"/>
              </w:rPr>
              <w:t xml:space="preserve">857.72 </w:t>
            </w:r>
          </w:p>
        </w:tc>
      </w:tr>
      <w:tr>
        <w:tblPrEx>
          <w:tblCellMar>
            <w:top w:w="0" w:type="dxa"/>
            <w:left w:w="108" w:type="dxa"/>
            <w:bottom w:w="0" w:type="dxa"/>
            <w:right w:w="108" w:type="dxa"/>
          </w:tblCellMar>
        </w:tblPrEx>
        <w:trPr>
          <w:trHeight w:val="360" w:hRule="atLeast"/>
        </w:trPr>
        <w:tc>
          <w:tcPr>
            <w:tcW w:w="1858"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eastAsia="宋体" w:cs="Times New Roman"/>
                <w:color w:val="auto"/>
                <w:kern w:val="0"/>
                <w:sz w:val="22"/>
                <w:highlight w:val="none"/>
              </w:rPr>
            </w:pPr>
            <w:r>
              <w:rPr>
                <w:rFonts w:hint="default" w:ascii="Times New Roman" w:hAnsi="Times New Roman" w:eastAsia="宋体" w:cs="Times New Roman"/>
                <w:color w:val="auto"/>
                <w:kern w:val="0"/>
                <w:sz w:val="22"/>
                <w:highlight w:val="none"/>
                <w:lang w:bidi="ar"/>
              </w:rPr>
              <w:t>大江灌区</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eastAsia="宋体" w:cs="Times New Roman"/>
                <w:bCs/>
                <w:color w:val="auto"/>
                <w:kern w:val="0"/>
                <w:sz w:val="22"/>
                <w:highlight w:val="none"/>
              </w:rPr>
            </w:pPr>
            <w:r>
              <w:rPr>
                <w:rFonts w:hint="default" w:ascii="Times New Roman" w:hAnsi="Times New Roman" w:eastAsia="宋体" w:cs="Times New Roman"/>
                <w:bCs/>
                <w:color w:val="auto"/>
                <w:kern w:val="0"/>
                <w:sz w:val="22"/>
                <w:highlight w:val="none"/>
                <w:lang w:bidi="ar"/>
              </w:rPr>
              <w:t>208.29</w:t>
            </w:r>
          </w:p>
        </w:tc>
        <w:tc>
          <w:tcPr>
            <w:tcW w:w="1299" w:type="dxa"/>
            <w:tcBorders>
              <w:top w:val="nil"/>
              <w:left w:val="nil"/>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eastAsia="宋体" w:cs="Times New Roman"/>
                <w:bCs/>
                <w:color w:val="auto"/>
                <w:kern w:val="0"/>
                <w:sz w:val="22"/>
                <w:highlight w:val="none"/>
              </w:rPr>
            </w:pPr>
            <w:r>
              <w:rPr>
                <w:rFonts w:hint="default" w:ascii="Times New Roman" w:hAnsi="Times New Roman" w:eastAsia="宋体" w:cs="Times New Roman"/>
                <w:bCs/>
                <w:color w:val="auto"/>
                <w:kern w:val="0"/>
                <w:sz w:val="22"/>
                <w:highlight w:val="none"/>
                <w:lang w:bidi="ar"/>
              </w:rPr>
              <w:t>206.41</w:t>
            </w:r>
          </w:p>
        </w:tc>
        <w:tc>
          <w:tcPr>
            <w:tcW w:w="849"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eastAsia="宋体" w:cs="Times New Roman"/>
                <w:bCs/>
                <w:color w:val="auto"/>
                <w:kern w:val="0"/>
                <w:sz w:val="22"/>
                <w:highlight w:val="none"/>
              </w:rPr>
            </w:pPr>
            <w:r>
              <w:rPr>
                <w:rFonts w:hint="default" w:ascii="Times New Roman" w:hAnsi="Times New Roman" w:eastAsia="宋体" w:cs="Times New Roman"/>
                <w:bCs/>
                <w:color w:val="auto"/>
                <w:kern w:val="0"/>
                <w:sz w:val="22"/>
                <w:highlight w:val="none"/>
                <w:lang w:bidi="ar"/>
              </w:rPr>
              <w:t>1186</w:t>
            </w:r>
          </w:p>
        </w:tc>
        <w:tc>
          <w:tcPr>
            <w:tcW w:w="960" w:type="dxa"/>
            <w:tcBorders>
              <w:top w:val="nil"/>
              <w:left w:val="nil"/>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eastAsia="宋体" w:cs="Times New Roman"/>
                <w:bCs/>
                <w:color w:val="auto"/>
                <w:kern w:val="0"/>
                <w:sz w:val="22"/>
                <w:highlight w:val="none"/>
              </w:rPr>
            </w:pPr>
            <w:r>
              <w:rPr>
                <w:rFonts w:hint="default" w:ascii="Times New Roman" w:hAnsi="Times New Roman" w:eastAsia="宋体" w:cs="Times New Roman"/>
                <w:bCs/>
                <w:color w:val="auto"/>
                <w:kern w:val="0"/>
                <w:sz w:val="22"/>
                <w:highlight w:val="none"/>
                <w:lang w:bidi="ar"/>
              </w:rPr>
              <w:t>22</w:t>
            </w:r>
          </w:p>
        </w:tc>
        <w:tc>
          <w:tcPr>
            <w:tcW w:w="1320" w:type="dxa"/>
            <w:tcBorders>
              <w:top w:val="nil"/>
              <w:left w:val="nil"/>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eastAsia="宋体" w:cs="Times New Roman"/>
                <w:bCs/>
                <w:color w:val="auto"/>
                <w:kern w:val="0"/>
                <w:sz w:val="22"/>
                <w:highlight w:val="none"/>
              </w:rPr>
            </w:pPr>
            <w:r>
              <w:rPr>
                <w:rFonts w:hint="default" w:ascii="Times New Roman" w:hAnsi="Times New Roman" w:eastAsia="宋体" w:cs="Times New Roman"/>
                <w:bCs/>
                <w:color w:val="auto"/>
                <w:kern w:val="0"/>
                <w:sz w:val="22"/>
                <w:highlight w:val="none"/>
                <w:lang w:bidi="ar"/>
              </w:rPr>
              <w:t>1989.99</w:t>
            </w:r>
          </w:p>
        </w:tc>
        <w:tc>
          <w:tcPr>
            <w:tcW w:w="1300" w:type="dxa"/>
            <w:tcBorders>
              <w:top w:val="nil"/>
              <w:left w:val="nil"/>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eastAsia="宋体" w:cs="Times New Roman"/>
                <w:bCs/>
                <w:color w:val="auto"/>
                <w:kern w:val="0"/>
                <w:sz w:val="22"/>
                <w:highlight w:val="none"/>
              </w:rPr>
            </w:pPr>
            <w:r>
              <w:rPr>
                <w:rFonts w:hint="default" w:ascii="Times New Roman" w:hAnsi="Times New Roman" w:eastAsia="宋体" w:cs="Times New Roman"/>
                <w:bCs/>
                <w:color w:val="auto"/>
                <w:kern w:val="0"/>
                <w:sz w:val="22"/>
                <w:highlight w:val="none"/>
                <w:lang w:bidi="ar"/>
              </w:rPr>
              <w:t>1265.68</w:t>
            </w:r>
          </w:p>
        </w:tc>
      </w:tr>
      <w:tr>
        <w:tblPrEx>
          <w:tblCellMar>
            <w:top w:w="0" w:type="dxa"/>
            <w:left w:w="108" w:type="dxa"/>
            <w:bottom w:w="0" w:type="dxa"/>
            <w:right w:w="108" w:type="dxa"/>
          </w:tblCellMar>
        </w:tblPrEx>
        <w:trPr>
          <w:trHeight w:val="360" w:hRule="atLeast"/>
        </w:trPr>
        <w:tc>
          <w:tcPr>
            <w:tcW w:w="1858"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eastAsia="宋体" w:cs="Times New Roman"/>
                <w:color w:val="auto"/>
                <w:kern w:val="0"/>
                <w:sz w:val="22"/>
                <w:highlight w:val="none"/>
              </w:rPr>
            </w:pPr>
            <w:r>
              <w:rPr>
                <w:rFonts w:hint="default" w:ascii="Times New Roman" w:hAnsi="Times New Roman" w:eastAsia="宋体" w:cs="Times New Roman"/>
                <w:color w:val="auto"/>
                <w:kern w:val="0"/>
                <w:sz w:val="22"/>
                <w:highlight w:val="none"/>
                <w:lang w:bidi="ar"/>
              </w:rPr>
              <w:t>龙江桥灌区</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eastAsia="宋体" w:cs="Times New Roman"/>
                <w:bCs/>
                <w:color w:val="auto"/>
                <w:kern w:val="0"/>
                <w:sz w:val="22"/>
                <w:highlight w:val="none"/>
              </w:rPr>
            </w:pPr>
            <w:r>
              <w:rPr>
                <w:rFonts w:hint="default" w:ascii="Times New Roman" w:hAnsi="Times New Roman" w:eastAsia="宋体" w:cs="Times New Roman"/>
                <w:bCs/>
                <w:color w:val="auto"/>
                <w:kern w:val="0"/>
                <w:sz w:val="22"/>
                <w:highlight w:val="none"/>
                <w:lang w:bidi="ar"/>
              </w:rPr>
              <w:t>52.39</w:t>
            </w:r>
          </w:p>
        </w:tc>
        <w:tc>
          <w:tcPr>
            <w:tcW w:w="1299" w:type="dxa"/>
            <w:tcBorders>
              <w:top w:val="nil"/>
              <w:left w:val="nil"/>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eastAsia="宋体" w:cs="Times New Roman"/>
                <w:bCs/>
                <w:color w:val="auto"/>
                <w:kern w:val="0"/>
                <w:sz w:val="22"/>
                <w:highlight w:val="none"/>
              </w:rPr>
            </w:pPr>
            <w:r>
              <w:rPr>
                <w:rFonts w:hint="default" w:ascii="Times New Roman" w:hAnsi="Times New Roman" w:eastAsia="宋体" w:cs="Times New Roman"/>
                <w:bCs/>
                <w:color w:val="auto"/>
                <w:kern w:val="0"/>
                <w:sz w:val="22"/>
                <w:highlight w:val="none"/>
                <w:lang w:bidi="ar"/>
              </w:rPr>
              <w:t>51.58</w:t>
            </w:r>
          </w:p>
        </w:tc>
        <w:tc>
          <w:tcPr>
            <w:tcW w:w="849"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eastAsia="宋体" w:cs="Times New Roman"/>
                <w:bCs/>
                <w:color w:val="auto"/>
                <w:kern w:val="0"/>
                <w:sz w:val="22"/>
                <w:highlight w:val="none"/>
              </w:rPr>
            </w:pPr>
            <w:r>
              <w:rPr>
                <w:rFonts w:hint="default" w:ascii="Times New Roman" w:hAnsi="Times New Roman" w:eastAsia="宋体" w:cs="Times New Roman"/>
                <w:bCs/>
                <w:color w:val="auto"/>
                <w:kern w:val="0"/>
                <w:sz w:val="22"/>
                <w:highlight w:val="none"/>
                <w:lang w:bidi="ar"/>
              </w:rPr>
              <w:t>317</w:t>
            </w:r>
          </w:p>
        </w:tc>
        <w:tc>
          <w:tcPr>
            <w:tcW w:w="960" w:type="dxa"/>
            <w:tcBorders>
              <w:top w:val="nil"/>
              <w:left w:val="nil"/>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eastAsia="宋体" w:cs="Times New Roman"/>
                <w:bCs/>
                <w:color w:val="auto"/>
                <w:kern w:val="0"/>
                <w:sz w:val="22"/>
                <w:highlight w:val="none"/>
              </w:rPr>
            </w:pPr>
            <w:r>
              <w:rPr>
                <w:rFonts w:hint="default" w:ascii="Times New Roman" w:hAnsi="Times New Roman" w:eastAsia="宋体" w:cs="Times New Roman"/>
                <w:bCs/>
                <w:color w:val="auto"/>
                <w:kern w:val="0"/>
                <w:sz w:val="22"/>
                <w:highlight w:val="none"/>
                <w:lang w:bidi="ar"/>
              </w:rPr>
              <w:t>20</w:t>
            </w:r>
          </w:p>
        </w:tc>
        <w:tc>
          <w:tcPr>
            <w:tcW w:w="1320" w:type="dxa"/>
            <w:tcBorders>
              <w:top w:val="nil"/>
              <w:left w:val="nil"/>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eastAsia="宋体" w:cs="Times New Roman"/>
                <w:bCs/>
                <w:color w:val="auto"/>
                <w:kern w:val="0"/>
                <w:sz w:val="22"/>
                <w:highlight w:val="none"/>
              </w:rPr>
            </w:pPr>
            <w:r>
              <w:rPr>
                <w:rFonts w:hint="default" w:ascii="Times New Roman" w:hAnsi="Times New Roman" w:eastAsia="宋体" w:cs="Times New Roman"/>
                <w:bCs/>
                <w:color w:val="auto"/>
                <w:kern w:val="0"/>
                <w:sz w:val="22"/>
                <w:highlight w:val="none"/>
                <w:lang w:bidi="ar"/>
              </w:rPr>
              <w:t>484.46</w:t>
            </w:r>
          </w:p>
        </w:tc>
        <w:tc>
          <w:tcPr>
            <w:tcW w:w="1300" w:type="dxa"/>
            <w:tcBorders>
              <w:top w:val="nil"/>
              <w:left w:val="nil"/>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eastAsia="宋体" w:cs="Times New Roman"/>
                <w:bCs/>
                <w:color w:val="auto"/>
                <w:kern w:val="0"/>
                <w:sz w:val="22"/>
                <w:highlight w:val="none"/>
              </w:rPr>
            </w:pPr>
            <w:r>
              <w:rPr>
                <w:rFonts w:hint="default" w:ascii="Times New Roman" w:hAnsi="Times New Roman" w:eastAsia="宋体" w:cs="Times New Roman"/>
                <w:bCs/>
                <w:color w:val="auto"/>
                <w:kern w:val="0"/>
                <w:sz w:val="22"/>
                <w:highlight w:val="none"/>
                <w:lang w:bidi="ar"/>
              </w:rPr>
              <w:t>473.57</w:t>
            </w:r>
          </w:p>
        </w:tc>
      </w:tr>
      <w:tr>
        <w:tblPrEx>
          <w:tblCellMar>
            <w:top w:w="0" w:type="dxa"/>
            <w:left w:w="108" w:type="dxa"/>
            <w:bottom w:w="0" w:type="dxa"/>
            <w:right w:w="108" w:type="dxa"/>
          </w:tblCellMar>
        </w:tblPrEx>
        <w:trPr>
          <w:trHeight w:val="360" w:hRule="atLeast"/>
        </w:trPr>
        <w:tc>
          <w:tcPr>
            <w:tcW w:w="1858"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eastAsia="宋体" w:cs="Times New Roman"/>
                <w:color w:val="auto"/>
                <w:kern w:val="0"/>
                <w:sz w:val="22"/>
                <w:highlight w:val="none"/>
              </w:rPr>
            </w:pPr>
            <w:r>
              <w:rPr>
                <w:rFonts w:hint="default" w:ascii="Times New Roman" w:hAnsi="Times New Roman" w:eastAsia="宋体" w:cs="Times New Roman"/>
                <w:color w:val="auto"/>
                <w:kern w:val="0"/>
                <w:sz w:val="22"/>
                <w:highlight w:val="none"/>
                <w:lang w:bidi="ar"/>
              </w:rPr>
              <w:t>石喝灌区</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eastAsia="宋体" w:cs="Times New Roman"/>
                <w:bCs/>
                <w:color w:val="auto"/>
                <w:kern w:val="0"/>
                <w:sz w:val="22"/>
                <w:highlight w:val="none"/>
              </w:rPr>
            </w:pPr>
            <w:r>
              <w:rPr>
                <w:rFonts w:hint="default" w:ascii="Times New Roman" w:hAnsi="Times New Roman" w:eastAsia="宋体" w:cs="Times New Roman"/>
                <w:bCs/>
                <w:color w:val="auto"/>
                <w:kern w:val="0"/>
                <w:sz w:val="22"/>
                <w:highlight w:val="none"/>
                <w:lang w:bidi="ar"/>
              </w:rPr>
              <w:t>117.08</w:t>
            </w:r>
          </w:p>
        </w:tc>
        <w:tc>
          <w:tcPr>
            <w:tcW w:w="1299" w:type="dxa"/>
            <w:tcBorders>
              <w:top w:val="nil"/>
              <w:left w:val="nil"/>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eastAsia="宋体" w:cs="Times New Roman"/>
                <w:bCs/>
                <w:color w:val="auto"/>
                <w:kern w:val="0"/>
                <w:sz w:val="22"/>
                <w:highlight w:val="none"/>
              </w:rPr>
            </w:pPr>
            <w:r>
              <w:rPr>
                <w:rFonts w:hint="default" w:ascii="Times New Roman" w:hAnsi="Times New Roman" w:eastAsia="宋体" w:cs="Times New Roman"/>
                <w:bCs/>
                <w:color w:val="auto"/>
                <w:kern w:val="0"/>
                <w:sz w:val="22"/>
                <w:highlight w:val="none"/>
                <w:lang w:bidi="ar"/>
              </w:rPr>
              <w:t>114.74</w:t>
            </w:r>
          </w:p>
        </w:tc>
        <w:tc>
          <w:tcPr>
            <w:tcW w:w="849"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eastAsia="宋体" w:cs="Times New Roman"/>
                <w:bCs/>
                <w:color w:val="auto"/>
                <w:kern w:val="0"/>
                <w:sz w:val="22"/>
                <w:highlight w:val="none"/>
                <w:lang w:val="en-US" w:eastAsia="zh-CN"/>
              </w:rPr>
            </w:pPr>
            <w:r>
              <w:rPr>
                <w:rFonts w:hint="eastAsia" w:ascii="Times New Roman" w:hAnsi="Times New Roman" w:eastAsia="宋体" w:cs="Times New Roman"/>
                <w:bCs/>
                <w:color w:val="auto"/>
                <w:kern w:val="0"/>
                <w:sz w:val="22"/>
                <w:highlight w:val="none"/>
                <w:lang w:val="en-US" w:eastAsia="zh-CN" w:bidi="ar"/>
              </w:rPr>
              <w:t>805</w:t>
            </w:r>
          </w:p>
        </w:tc>
        <w:tc>
          <w:tcPr>
            <w:tcW w:w="960" w:type="dxa"/>
            <w:tcBorders>
              <w:top w:val="nil"/>
              <w:left w:val="nil"/>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eastAsia="宋体" w:cs="Times New Roman"/>
                <w:bCs/>
                <w:color w:val="auto"/>
                <w:kern w:val="0"/>
                <w:sz w:val="22"/>
                <w:highlight w:val="none"/>
              </w:rPr>
            </w:pPr>
            <w:r>
              <w:rPr>
                <w:rFonts w:hint="default" w:ascii="Times New Roman" w:hAnsi="Times New Roman" w:eastAsia="宋体" w:cs="Times New Roman"/>
                <w:bCs/>
                <w:color w:val="auto"/>
                <w:kern w:val="0"/>
                <w:sz w:val="22"/>
                <w:highlight w:val="none"/>
                <w:lang w:bidi="ar"/>
              </w:rPr>
              <w:t>18</w:t>
            </w:r>
          </w:p>
        </w:tc>
        <w:tc>
          <w:tcPr>
            <w:tcW w:w="1320" w:type="dxa"/>
            <w:tcBorders>
              <w:top w:val="nil"/>
              <w:left w:val="nil"/>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eastAsia="宋体" w:cs="Times New Roman"/>
                <w:bCs/>
                <w:color w:val="auto"/>
                <w:kern w:val="0"/>
                <w:sz w:val="22"/>
                <w:highlight w:val="none"/>
              </w:rPr>
            </w:pPr>
            <w:r>
              <w:rPr>
                <w:rFonts w:hint="default" w:ascii="Times New Roman" w:hAnsi="Times New Roman" w:eastAsia="宋体" w:cs="Times New Roman"/>
                <w:bCs/>
                <w:color w:val="auto"/>
                <w:kern w:val="0"/>
                <w:sz w:val="22"/>
                <w:highlight w:val="none"/>
                <w:lang w:bidi="ar"/>
              </w:rPr>
              <w:t>609.20</w:t>
            </w:r>
          </w:p>
        </w:tc>
        <w:tc>
          <w:tcPr>
            <w:tcW w:w="1300" w:type="dxa"/>
            <w:tcBorders>
              <w:top w:val="nil"/>
              <w:left w:val="nil"/>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eastAsia="宋体" w:cs="Times New Roman"/>
                <w:bCs/>
                <w:color w:val="auto"/>
                <w:kern w:val="0"/>
                <w:sz w:val="22"/>
                <w:highlight w:val="none"/>
              </w:rPr>
            </w:pPr>
            <w:r>
              <w:rPr>
                <w:rFonts w:hint="default" w:ascii="Times New Roman" w:hAnsi="Times New Roman" w:eastAsia="宋体" w:cs="Times New Roman"/>
                <w:bCs/>
                <w:color w:val="auto"/>
                <w:kern w:val="0"/>
                <w:sz w:val="22"/>
                <w:highlight w:val="none"/>
                <w:lang w:bidi="ar"/>
              </w:rPr>
              <w:t>365.83</w:t>
            </w:r>
          </w:p>
        </w:tc>
      </w:tr>
      <w:tr>
        <w:tblPrEx>
          <w:tblCellMar>
            <w:top w:w="0" w:type="dxa"/>
            <w:left w:w="108" w:type="dxa"/>
            <w:bottom w:w="0" w:type="dxa"/>
            <w:right w:w="108" w:type="dxa"/>
          </w:tblCellMar>
        </w:tblPrEx>
        <w:trPr>
          <w:trHeight w:val="600" w:hRule="atLeast"/>
        </w:trPr>
        <w:tc>
          <w:tcPr>
            <w:tcW w:w="1858"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eastAsia="宋体" w:cs="Times New Roman"/>
                <w:color w:val="auto"/>
                <w:kern w:val="0"/>
                <w:sz w:val="22"/>
                <w:highlight w:val="none"/>
              </w:rPr>
            </w:pPr>
            <w:r>
              <w:rPr>
                <w:rFonts w:hint="default" w:ascii="Times New Roman" w:hAnsi="Times New Roman" w:eastAsia="宋体" w:cs="Times New Roman"/>
                <w:color w:val="auto"/>
                <w:kern w:val="0"/>
                <w:sz w:val="22"/>
                <w:highlight w:val="none"/>
                <w:lang w:bidi="ar"/>
              </w:rPr>
              <w:t>于家冲电灌站一级电排泵站</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eastAsia="宋体" w:cs="Times New Roman"/>
                <w:bCs/>
                <w:color w:val="auto"/>
                <w:kern w:val="0"/>
                <w:sz w:val="22"/>
                <w:highlight w:val="none"/>
              </w:rPr>
            </w:pPr>
            <w:r>
              <w:rPr>
                <w:rFonts w:hint="default" w:ascii="Times New Roman" w:hAnsi="Times New Roman" w:eastAsia="宋体" w:cs="Times New Roman"/>
                <w:bCs/>
                <w:color w:val="auto"/>
                <w:kern w:val="0"/>
                <w:sz w:val="22"/>
                <w:highlight w:val="none"/>
                <w:lang w:bidi="ar"/>
              </w:rPr>
              <w:t>1.16</w:t>
            </w:r>
          </w:p>
        </w:tc>
        <w:tc>
          <w:tcPr>
            <w:tcW w:w="1299" w:type="dxa"/>
            <w:tcBorders>
              <w:top w:val="nil"/>
              <w:left w:val="nil"/>
              <w:bottom w:val="single" w:color="auto" w:sz="4" w:space="0"/>
              <w:right w:val="single" w:color="auto" w:sz="4" w:space="0"/>
            </w:tcBorders>
            <w:shd w:val="clear" w:color="auto" w:fill="auto"/>
            <w:noWrap/>
            <w:vAlign w:val="center"/>
          </w:tcPr>
          <w:p>
            <w:pPr>
              <w:widowControl/>
              <w:jc w:val="center"/>
              <w:textAlignment w:val="bottom"/>
              <w:rPr>
                <w:rFonts w:hint="eastAsia" w:ascii="Times New Roman" w:hAnsi="Times New Roman" w:eastAsia="宋体" w:cs="Times New Roman"/>
                <w:bCs/>
                <w:color w:val="auto"/>
                <w:kern w:val="0"/>
                <w:sz w:val="22"/>
                <w:highlight w:val="none"/>
                <w:lang w:eastAsia="zh-CN"/>
              </w:rPr>
            </w:pPr>
            <w:r>
              <w:rPr>
                <w:rFonts w:hint="default" w:ascii="Times New Roman" w:hAnsi="Times New Roman" w:eastAsia="宋体" w:cs="Times New Roman"/>
                <w:bCs/>
                <w:color w:val="auto"/>
                <w:kern w:val="0"/>
                <w:sz w:val="22"/>
                <w:highlight w:val="none"/>
                <w:lang w:bidi="ar"/>
              </w:rPr>
              <w:t>1.2</w:t>
            </w:r>
            <w:r>
              <w:rPr>
                <w:rFonts w:hint="eastAsia" w:ascii="Times New Roman" w:hAnsi="Times New Roman" w:eastAsia="宋体" w:cs="Times New Roman"/>
                <w:bCs/>
                <w:color w:val="auto"/>
                <w:kern w:val="0"/>
                <w:sz w:val="22"/>
                <w:highlight w:val="none"/>
                <w:lang w:val="en-US" w:eastAsia="zh-CN" w:bidi="ar"/>
              </w:rPr>
              <w:t>6</w:t>
            </w:r>
          </w:p>
        </w:tc>
        <w:tc>
          <w:tcPr>
            <w:tcW w:w="849"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eastAsia="宋体" w:cs="Times New Roman"/>
                <w:bCs/>
                <w:color w:val="auto"/>
                <w:kern w:val="0"/>
                <w:sz w:val="22"/>
                <w:highlight w:val="none"/>
                <w:lang w:val="en-US" w:eastAsia="zh-CN"/>
              </w:rPr>
            </w:pPr>
            <w:r>
              <w:rPr>
                <w:rFonts w:hint="eastAsia" w:ascii="Times New Roman" w:hAnsi="Times New Roman" w:eastAsia="宋体" w:cs="Times New Roman"/>
                <w:bCs/>
                <w:color w:val="auto"/>
                <w:kern w:val="0"/>
                <w:sz w:val="22"/>
                <w:highlight w:val="none"/>
                <w:lang w:val="en-US" w:eastAsia="zh-CN" w:bidi="ar"/>
              </w:rPr>
              <w:t>36</w:t>
            </w:r>
          </w:p>
        </w:tc>
        <w:tc>
          <w:tcPr>
            <w:tcW w:w="960" w:type="dxa"/>
            <w:tcBorders>
              <w:top w:val="nil"/>
              <w:left w:val="nil"/>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eastAsia="宋体" w:cs="Times New Roman"/>
                <w:bCs/>
                <w:color w:val="auto"/>
                <w:kern w:val="0"/>
                <w:sz w:val="22"/>
                <w:highlight w:val="none"/>
              </w:rPr>
            </w:pPr>
            <w:r>
              <w:rPr>
                <w:rFonts w:hint="default" w:ascii="Times New Roman" w:hAnsi="Times New Roman" w:eastAsia="宋体" w:cs="Times New Roman"/>
                <w:bCs/>
                <w:color w:val="auto"/>
                <w:kern w:val="0"/>
                <w:sz w:val="22"/>
                <w:highlight w:val="none"/>
                <w:lang w:bidi="ar"/>
              </w:rPr>
              <w:t>4</w:t>
            </w:r>
          </w:p>
        </w:tc>
        <w:tc>
          <w:tcPr>
            <w:tcW w:w="1320" w:type="dxa"/>
            <w:tcBorders>
              <w:top w:val="nil"/>
              <w:left w:val="nil"/>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eastAsia="宋体" w:cs="Times New Roman"/>
                <w:bCs/>
                <w:color w:val="auto"/>
                <w:kern w:val="0"/>
                <w:sz w:val="22"/>
                <w:highlight w:val="none"/>
              </w:rPr>
            </w:pPr>
            <w:r>
              <w:rPr>
                <w:rFonts w:hint="default" w:ascii="Times New Roman" w:hAnsi="Times New Roman" w:eastAsia="宋体" w:cs="Times New Roman"/>
                <w:bCs/>
                <w:color w:val="auto"/>
                <w:kern w:val="0"/>
                <w:sz w:val="22"/>
                <w:highlight w:val="none"/>
                <w:lang w:bidi="ar"/>
              </w:rPr>
              <w:t>27.67</w:t>
            </w:r>
          </w:p>
        </w:tc>
        <w:tc>
          <w:tcPr>
            <w:tcW w:w="1300" w:type="dxa"/>
            <w:tcBorders>
              <w:top w:val="nil"/>
              <w:left w:val="nil"/>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eastAsia="宋体" w:cs="Times New Roman"/>
                <w:bCs/>
                <w:color w:val="auto"/>
                <w:kern w:val="0"/>
                <w:sz w:val="22"/>
                <w:highlight w:val="none"/>
                <w:lang w:val="en-US" w:eastAsia="zh-CN"/>
              </w:rPr>
            </w:pPr>
            <w:r>
              <w:rPr>
                <w:rFonts w:hint="eastAsia" w:ascii="Times New Roman" w:hAnsi="Times New Roman" w:eastAsia="宋体" w:cs="Times New Roman"/>
                <w:bCs/>
                <w:color w:val="auto"/>
                <w:kern w:val="0"/>
                <w:sz w:val="22"/>
                <w:highlight w:val="none"/>
                <w:lang w:val="en-US" w:eastAsia="zh-CN" w:bidi="ar"/>
              </w:rPr>
              <w:t>13.76</w:t>
            </w:r>
          </w:p>
        </w:tc>
      </w:tr>
      <w:tr>
        <w:tblPrEx>
          <w:tblCellMar>
            <w:top w:w="0" w:type="dxa"/>
            <w:left w:w="108" w:type="dxa"/>
            <w:bottom w:w="0" w:type="dxa"/>
            <w:right w:w="108" w:type="dxa"/>
          </w:tblCellMar>
        </w:tblPrEx>
        <w:trPr>
          <w:trHeight w:val="360" w:hRule="atLeast"/>
        </w:trPr>
        <w:tc>
          <w:tcPr>
            <w:tcW w:w="1858"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eastAsia="宋体" w:cs="Times New Roman"/>
                <w:color w:val="auto"/>
                <w:kern w:val="0"/>
                <w:sz w:val="22"/>
                <w:highlight w:val="none"/>
              </w:rPr>
            </w:pPr>
            <w:r>
              <w:rPr>
                <w:rFonts w:hint="default" w:ascii="Times New Roman" w:hAnsi="Times New Roman" w:eastAsia="宋体" w:cs="Times New Roman"/>
                <w:color w:val="auto"/>
                <w:kern w:val="0"/>
                <w:sz w:val="22"/>
                <w:highlight w:val="none"/>
                <w:lang w:bidi="ar"/>
              </w:rPr>
              <w:t>喝罗滩电排</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eastAsia="宋体" w:cs="Times New Roman"/>
                <w:bCs/>
                <w:color w:val="auto"/>
                <w:kern w:val="0"/>
                <w:sz w:val="22"/>
                <w:highlight w:val="none"/>
              </w:rPr>
            </w:pPr>
            <w:r>
              <w:rPr>
                <w:rFonts w:hint="default" w:ascii="Times New Roman" w:hAnsi="Times New Roman" w:eastAsia="宋体" w:cs="Times New Roman"/>
                <w:bCs/>
                <w:color w:val="auto"/>
                <w:kern w:val="0"/>
                <w:sz w:val="22"/>
                <w:highlight w:val="none"/>
                <w:lang w:bidi="ar"/>
              </w:rPr>
              <w:t>0.61</w:t>
            </w:r>
          </w:p>
        </w:tc>
        <w:tc>
          <w:tcPr>
            <w:tcW w:w="1299" w:type="dxa"/>
            <w:tcBorders>
              <w:top w:val="nil"/>
              <w:left w:val="nil"/>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eastAsia="宋体" w:cs="Times New Roman"/>
                <w:bCs/>
                <w:color w:val="auto"/>
                <w:kern w:val="0"/>
                <w:sz w:val="22"/>
                <w:highlight w:val="none"/>
              </w:rPr>
            </w:pPr>
            <w:r>
              <w:rPr>
                <w:rFonts w:hint="default" w:ascii="Times New Roman" w:hAnsi="Times New Roman" w:eastAsia="宋体" w:cs="Times New Roman"/>
                <w:bCs/>
                <w:color w:val="auto"/>
                <w:kern w:val="0"/>
                <w:sz w:val="22"/>
                <w:highlight w:val="none"/>
                <w:lang w:bidi="ar"/>
              </w:rPr>
              <w:t>0.29</w:t>
            </w:r>
          </w:p>
        </w:tc>
        <w:tc>
          <w:tcPr>
            <w:tcW w:w="849"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eastAsia="宋体" w:cs="Times New Roman"/>
                <w:bCs/>
                <w:color w:val="auto"/>
                <w:kern w:val="0"/>
                <w:sz w:val="22"/>
                <w:highlight w:val="none"/>
              </w:rPr>
            </w:pPr>
            <w:r>
              <w:rPr>
                <w:rFonts w:hint="default" w:ascii="Times New Roman" w:hAnsi="Times New Roman" w:eastAsia="宋体" w:cs="Times New Roman"/>
                <w:bCs/>
                <w:color w:val="auto"/>
                <w:kern w:val="0"/>
                <w:sz w:val="22"/>
                <w:highlight w:val="none"/>
                <w:lang w:bidi="ar"/>
              </w:rPr>
              <w:t>17</w:t>
            </w:r>
          </w:p>
        </w:tc>
        <w:tc>
          <w:tcPr>
            <w:tcW w:w="960" w:type="dxa"/>
            <w:tcBorders>
              <w:top w:val="nil"/>
              <w:left w:val="nil"/>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eastAsia="宋体" w:cs="Times New Roman"/>
                <w:bCs/>
                <w:color w:val="auto"/>
                <w:kern w:val="0"/>
                <w:sz w:val="22"/>
                <w:highlight w:val="none"/>
              </w:rPr>
            </w:pPr>
            <w:r>
              <w:rPr>
                <w:rFonts w:hint="default" w:ascii="Times New Roman" w:hAnsi="Times New Roman" w:eastAsia="宋体" w:cs="Times New Roman"/>
                <w:bCs/>
                <w:color w:val="auto"/>
                <w:kern w:val="0"/>
                <w:sz w:val="22"/>
                <w:highlight w:val="none"/>
                <w:lang w:bidi="ar"/>
              </w:rPr>
              <w:t>2</w:t>
            </w:r>
          </w:p>
        </w:tc>
        <w:tc>
          <w:tcPr>
            <w:tcW w:w="1320" w:type="dxa"/>
            <w:tcBorders>
              <w:top w:val="nil"/>
              <w:left w:val="nil"/>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eastAsia="宋体" w:cs="Times New Roman"/>
                <w:bCs/>
                <w:color w:val="auto"/>
                <w:kern w:val="0"/>
                <w:sz w:val="22"/>
                <w:highlight w:val="none"/>
              </w:rPr>
            </w:pPr>
            <w:r>
              <w:rPr>
                <w:rFonts w:hint="default" w:ascii="Times New Roman" w:hAnsi="Times New Roman" w:eastAsia="宋体" w:cs="Times New Roman"/>
                <w:bCs/>
                <w:color w:val="auto"/>
                <w:kern w:val="0"/>
                <w:sz w:val="22"/>
                <w:highlight w:val="none"/>
                <w:lang w:bidi="ar"/>
              </w:rPr>
              <w:t>4.94</w:t>
            </w:r>
          </w:p>
        </w:tc>
        <w:tc>
          <w:tcPr>
            <w:tcW w:w="1300" w:type="dxa"/>
            <w:tcBorders>
              <w:top w:val="nil"/>
              <w:left w:val="nil"/>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eastAsia="宋体" w:cs="Times New Roman"/>
                <w:bCs/>
                <w:color w:val="auto"/>
                <w:kern w:val="0"/>
                <w:sz w:val="22"/>
                <w:highlight w:val="none"/>
              </w:rPr>
            </w:pPr>
            <w:r>
              <w:rPr>
                <w:rFonts w:hint="default" w:ascii="Times New Roman" w:hAnsi="Times New Roman" w:eastAsia="宋体" w:cs="Times New Roman"/>
                <w:bCs/>
                <w:color w:val="auto"/>
                <w:kern w:val="0"/>
                <w:sz w:val="22"/>
                <w:highlight w:val="none"/>
                <w:lang w:bidi="ar"/>
              </w:rPr>
              <w:t>2.08</w:t>
            </w:r>
          </w:p>
        </w:tc>
      </w:tr>
      <w:tr>
        <w:tblPrEx>
          <w:tblCellMar>
            <w:top w:w="0" w:type="dxa"/>
            <w:left w:w="108" w:type="dxa"/>
            <w:bottom w:w="0" w:type="dxa"/>
            <w:right w:w="108" w:type="dxa"/>
          </w:tblCellMar>
        </w:tblPrEx>
        <w:trPr>
          <w:trHeight w:val="360" w:hRule="atLeast"/>
        </w:trPr>
        <w:tc>
          <w:tcPr>
            <w:tcW w:w="1858"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eastAsia="宋体" w:cs="Times New Roman"/>
                <w:color w:val="auto"/>
                <w:kern w:val="0"/>
                <w:sz w:val="22"/>
                <w:highlight w:val="none"/>
              </w:rPr>
            </w:pPr>
            <w:r>
              <w:rPr>
                <w:rFonts w:hint="default" w:ascii="Times New Roman" w:hAnsi="Times New Roman" w:eastAsia="宋体" w:cs="Times New Roman"/>
                <w:color w:val="auto"/>
                <w:kern w:val="0"/>
                <w:sz w:val="22"/>
                <w:highlight w:val="none"/>
                <w:lang w:bidi="ar"/>
              </w:rPr>
              <w:t>白茅滩河坝水闸</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eastAsia="宋体" w:cs="Times New Roman"/>
                <w:bCs/>
                <w:color w:val="auto"/>
                <w:kern w:val="0"/>
                <w:sz w:val="22"/>
                <w:highlight w:val="none"/>
              </w:rPr>
            </w:pPr>
            <w:r>
              <w:rPr>
                <w:rFonts w:hint="default" w:ascii="Times New Roman" w:hAnsi="Times New Roman" w:eastAsia="宋体" w:cs="Times New Roman"/>
                <w:bCs/>
                <w:color w:val="auto"/>
                <w:kern w:val="0"/>
                <w:sz w:val="22"/>
                <w:highlight w:val="none"/>
                <w:lang w:bidi="ar"/>
              </w:rPr>
              <w:t>0.75</w:t>
            </w:r>
          </w:p>
        </w:tc>
        <w:tc>
          <w:tcPr>
            <w:tcW w:w="1299" w:type="dxa"/>
            <w:tcBorders>
              <w:top w:val="nil"/>
              <w:left w:val="nil"/>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eastAsia="宋体" w:cs="Times New Roman"/>
                <w:bCs/>
                <w:color w:val="auto"/>
                <w:kern w:val="0"/>
                <w:sz w:val="22"/>
                <w:highlight w:val="none"/>
              </w:rPr>
            </w:pPr>
            <w:r>
              <w:rPr>
                <w:rFonts w:hint="default" w:ascii="Times New Roman" w:hAnsi="Times New Roman" w:eastAsia="宋体" w:cs="Times New Roman"/>
                <w:bCs/>
                <w:color w:val="auto"/>
                <w:kern w:val="0"/>
                <w:sz w:val="22"/>
                <w:highlight w:val="none"/>
                <w:lang w:bidi="ar"/>
              </w:rPr>
              <w:t>1.7</w:t>
            </w:r>
          </w:p>
        </w:tc>
        <w:tc>
          <w:tcPr>
            <w:tcW w:w="849"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eastAsia="宋体" w:cs="Times New Roman"/>
                <w:bCs/>
                <w:color w:val="auto"/>
                <w:kern w:val="0"/>
                <w:sz w:val="22"/>
                <w:highlight w:val="none"/>
              </w:rPr>
            </w:pPr>
            <w:r>
              <w:rPr>
                <w:rFonts w:hint="default" w:ascii="Times New Roman" w:hAnsi="Times New Roman" w:eastAsia="宋体" w:cs="Times New Roman"/>
                <w:bCs/>
                <w:color w:val="auto"/>
                <w:kern w:val="0"/>
                <w:sz w:val="22"/>
                <w:highlight w:val="none"/>
                <w:lang w:bidi="ar"/>
              </w:rPr>
              <w:t>12</w:t>
            </w:r>
          </w:p>
        </w:tc>
        <w:tc>
          <w:tcPr>
            <w:tcW w:w="960" w:type="dxa"/>
            <w:tcBorders>
              <w:top w:val="nil"/>
              <w:left w:val="nil"/>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eastAsia="宋体" w:cs="Times New Roman"/>
                <w:bCs/>
                <w:color w:val="auto"/>
                <w:kern w:val="0"/>
                <w:sz w:val="22"/>
                <w:highlight w:val="none"/>
              </w:rPr>
            </w:pPr>
            <w:r>
              <w:rPr>
                <w:rFonts w:hint="default" w:ascii="Times New Roman" w:hAnsi="Times New Roman" w:eastAsia="宋体" w:cs="Times New Roman"/>
                <w:bCs/>
                <w:color w:val="auto"/>
                <w:kern w:val="0"/>
                <w:sz w:val="22"/>
                <w:highlight w:val="none"/>
                <w:lang w:bidi="ar"/>
              </w:rPr>
              <w:t>2</w:t>
            </w:r>
          </w:p>
        </w:tc>
        <w:tc>
          <w:tcPr>
            <w:tcW w:w="1320" w:type="dxa"/>
            <w:tcBorders>
              <w:top w:val="nil"/>
              <w:left w:val="nil"/>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eastAsia="宋体" w:cs="Times New Roman"/>
                <w:bCs/>
                <w:color w:val="auto"/>
                <w:kern w:val="0"/>
                <w:sz w:val="22"/>
                <w:highlight w:val="none"/>
              </w:rPr>
            </w:pPr>
            <w:r>
              <w:rPr>
                <w:rFonts w:hint="default" w:ascii="Times New Roman" w:hAnsi="Times New Roman" w:eastAsia="宋体" w:cs="Times New Roman"/>
                <w:bCs/>
                <w:color w:val="auto"/>
                <w:kern w:val="0"/>
                <w:sz w:val="22"/>
                <w:highlight w:val="none"/>
                <w:lang w:bidi="ar"/>
              </w:rPr>
              <w:t>55.41</w:t>
            </w:r>
          </w:p>
        </w:tc>
        <w:tc>
          <w:tcPr>
            <w:tcW w:w="1300" w:type="dxa"/>
            <w:tcBorders>
              <w:top w:val="nil"/>
              <w:left w:val="nil"/>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eastAsia="宋体" w:cs="Times New Roman"/>
                <w:bCs/>
                <w:color w:val="auto"/>
                <w:kern w:val="0"/>
                <w:sz w:val="22"/>
                <w:highlight w:val="none"/>
              </w:rPr>
            </w:pPr>
            <w:r>
              <w:rPr>
                <w:rFonts w:hint="default" w:ascii="Times New Roman" w:hAnsi="Times New Roman" w:eastAsia="宋体" w:cs="Times New Roman"/>
                <w:bCs/>
                <w:color w:val="auto"/>
                <w:kern w:val="0"/>
                <w:sz w:val="22"/>
                <w:highlight w:val="none"/>
                <w:lang w:bidi="ar"/>
              </w:rPr>
              <w:t>172.71</w:t>
            </w:r>
          </w:p>
        </w:tc>
      </w:tr>
      <w:tr>
        <w:tblPrEx>
          <w:tblCellMar>
            <w:top w:w="0" w:type="dxa"/>
            <w:left w:w="108" w:type="dxa"/>
            <w:bottom w:w="0" w:type="dxa"/>
            <w:right w:w="108" w:type="dxa"/>
          </w:tblCellMar>
        </w:tblPrEx>
        <w:trPr>
          <w:trHeight w:val="360" w:hRule="atLeast"/>
        </w:trPr>
        <w:tc>
          <w:tcPr>
            <w:tcW w:w="1858"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eastAsia="宋体" w:cs="Times New Roman"/>
                <w:color w:val="auto"/>
                <w:kern w:val="0"/>
                <w:sz w:val="22"/>
                <w:highlight w:val="none"/>
              </w:rPr>
            </w:pPr>
            <w:r>
              <w:rPr>
                <w:rFonts w:hint="default" w:ascii="Times New Roman" w:hAnsi="Times New Roman" w:eastAsia="宋体" w:cs="Times New Roman"/>
                <w:color w:val="auto"/>
                <w:kern w:val="0"/>
                <w:sz w:val="22"/>
                <w:highlight w:val="none"/>
                <w:lang w:bidi="ar"/>
              </w:rPr>
              <w:t>豹虎龙水闸</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eastAsia="宋体" w:cs="Times New Roman"/>
                <w:bCs/>
                <w:color w:val="auto"/>
                <w:kern w:val="0"/>
                <w:sz w:val="22"/>
                <w:highlight w:val="none"/>
              </w:rPr>
            </w:pPr>
            <w:r>
              <w:rPr>
                <w:rFonts w:hint="default" w:ascii="Times New Roman" w:hAnsi="Times New Roman" w:eastAsia="宋体" w:cs="Times New Roman"/>
                <w:bCs/>
                <w:color w:val="auto"/>
                <w:kern w:val="0"/>
                <w:sz w:val="22"/>
                <w:highlight w:val="none"/>
                <w:lang w:bidi="ar"/>
              </w:rPr>
              <w:t>1.76</w:t>
            </w:r>
          </w:p>
        </w:tc>
        <w:tc>
          <w:tcPr>
            <w:tcW w:w="1299" w:type="dxa"/>
            <w:tcBorders>
              <w:top w:val="nil"/>
              <w:left w:val="nil"/>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eastAsia="宋体" w:cs="Times New Roman"/>
                <w:bCs/>
                <w:color w:val="auto"/>
                <w:kern w:val="0"/>
                <w:sz w:val="22"/>
                <w:highlight w:val="none"/>
              </w:rPr>
            </w:pPr>
            <w:r>
              <w:rPr>
                <w:rFonts w:hint="default" w:ascii="Times New Roman" w:hAnsi="Times New Roman" w:eastAsia="宋体" w:cs="Times New Roman"/>
                <w:bCs/>
                <w:color w:val="auto"/>
                <w:kern w:val="0"/>
                <w:sz w:val="22"/>
                <w:highlight w:val="none"/>
                <w:lang w:bidi="ar"/>
              </w:rPr>
              <w:t>2.38</w:t>
            </w:r>
          </w:p>
        </w:tc>
        <w:tc>
          <w:tcPr>
            <w:tcW w:w="849"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eastAsia="宋体" w:cs="Times New Roman"/>
                <w:bCs/>
                <w:color w:val="auto"/>
                <w:kern w:val="0"/>
                <w:sz w:val="22"/>
                <w:highlight w:val="none"/>
              </w:rPr>
            </w:pPr>
            <w:r>
              <w:rPr>
                <w:rFonts w:hint="default" w:ascii="Times New Roman" w:hAnsi="Times New Roman" w:eastAsia="宋体" w:cs="Times New Roman"/>
                <w:bCs/>
                <w:color w:val="auto"/>
                <w:kern w:val="0"/>
                <w:sz w:val="22"/>
                <w:highlight w:val="none"/>
                <w:lang w:bidi="ar"/>
              </w:rPr>
              <w:t>23</w:t>
            </w:r>
          </w:p>
        </w:tc>
        <w:tc>
          <w:tcPr>
            <w:tcW w:w="960" w:type="dxa"/>
            <w:tcBorders>
              <w:top w:val="nil"/>
              <w:left w:val="nil"/>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eastAsia="宋体" w:cs="Times New Roman"/>
                <w:bCs/>
                <w:color w:val="auto"/>
                <w:kern w:val="0"/>
                <w:sz w:val="22"/>
                <w:highlight w:val="none"/>
              </w:rPr>
            </w:pPr>
            <w:r>
              <w:rPr>
                <w:rFonts w:hint="default" w:ascii="Times New Roman" w:hAnsi="Times New Roman" w:eastAsia="宋体" w:cs="Times New Roman"/>
                <w:bCs/>
                <w:color w:val="auto"/>
                <w:kern w:val="0"/>
                <w:sz w:val="22"/>
                <w:highlight w:val="none"/>
                <w:lang w:bidi="ar"/>
              </w:rPr>
              <w:t>2</w:t>
            </w:r>
          </w:p>
        </w:tc>
        <w:tc>
          <w:tcPr>
            <w:tcW w:w="1320" w:type="dxa"/>
            <w:tcBorders>
              <w:top w:val="nil"/>
              <w:left w:val="nil"/>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eastAsia="宋体" w:cs="Times New Roman"/>
                <w:bCs/>
                <w:color w:val="auto"/>
                <w:kern w:val="0"/>
                <w:sz w:val="22"/>
                <w:highlight w:val="none"/>
              </w:rPr>
            </w:pPr>
            <w:r>
              <w:rPr>
                <w:rFonts w:hint="default" w:ascii="Times New Roman" w:hAnsi="Times New Roman" w:eastAsia="宋体" w:cs="Times New Roman"/>
                <w:bCs/>
                <w:color w:val="auto"/>
                <w:kern w:val="0"/>
                <w:sz w:val="22"/>
                <w:highlight w:val="none"/>
                <w:lang w:bidi="ar"/>
              </w:rPr>
              <w:t>101.08</w:t>
            </w:r>
          </w:p>
        </w:tc>
        <w:tc>
          <w:tcPr>
            <w:tcW w:w="1300" w:type="dxa"/>
            <w:tcBorders>
              <w:top w:val="nil"/>
              <w:left w:val="nil"/>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eastAsia="宋体" w:cs="Times New Roman"/>
                <w:bCs/>
                <w:color w:val="auto"/>
                <w:kern w:val="0"/>
                <w:sz w:val="22"/>
                <w:highlight w:val="none"/>
              </w:rPr>
            </w:pPr>
            <w:r>
              <w:rPr>
                <w:rFonts w:hint="default" w:ascii="Times New Roman" w:hAnsi="Times New Roman" w:eastAsia="宋体" w:cs="Times New Roman"/>
                <w:bCs/>
                <w:color w:val="auto"/>
                <w:kern w:val="0"/>
                <w:sz w:val="22"/>
                <w:highlight w:val="none"/>
                <w:lang w:bidi="ar"/>
              </w:rPr>
              <w:t>369.18</w:t>
            </w:r>
          </w:p>
        </w:tc>
      </w:tr>
      <w:tr>
        <w:tblPrEx>
          <w:tblCellMar>
            <w:top w:w="0" w:type="dxa"/>
            <w:left w:w="108" w:type="dxa"/>
            <w:bottom w:w="0" w:type="dxa"/>
            <w:right w:w="108" w:type="dxa"/>
          </w:tblCellMar>
        </w:tblPrEx>
        <w:trPr>
          <w:trHeight w:val="491" w:hRule="atLeast"/>
        </w:trPr>
        <w:tc>
          <w:tcPr>
            <w:tcW w:w="1858"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eastAsia="宋体" w:cs="Times New Roman"/>
                <w:color w:val="auto"/>
                <w:kern w:val="0"/>
                <w:sz w:val="22"/>
                <w:highlight w:val="none"/>
              </w:rPr>
            </w:pPr>
            <w:r>
              <w:rPr>
                <w:rFonts w:hint="default" w:ascii="Times New Roman" w:hAnsi="Times New Roman" w:eastAsia="宋体" w:cs="Times New Roman"/>
                <w:color w:val="auto"/>
                <w:kern w:val="0"/>
                <w:sz w:val="22"/>
                <w:highlight w:val="none"/>
                <w:lang w:bidi="ar"/>
              </w:rPr>
              <w:t>大忠坝水闸</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eastAsia="宋体" w:cs="Times New Roman"/>
                <w:bCs/>
                <w:color w:val="auto"/>
                <w:kern w:val="0"/>
                <w:sz w:val="22"/>
                <w:highlight w:val="none"/>
              </w:rPr>
            </w:pPr>
            <w:r>
              <w:rPr>
                <w:rFonts w:hint="default" w:ascii="Times New Roman" w:hAnsi="Times New Roman" w:eastAsia="宋体" w:cs="Times New Roman"/>
                <w:bCs/>
                <w:color w:val="auto"/>
                <w:kern w:val="0"/>
                <w:sz w:val="22"/>
                <w:highlight w:val="none"/>
                <w:lang w:bidi="ar"/>
              </w:rPr>
              <w:t>0.75</w:t>
            </w:r>
          </w:p>
        </w:tc>
        <w:tc>
          <w:tcPr>
            <w:tcW w:w="1299" w:type="dxa"/>
            <w:tcBorders>
              <w:top w:val="nil"/>
              <w:left w:val="nil"/>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eastAsia="宋体" w:cs="Times New Roman"/>
                <w:bCs/>
                <w:color w:val="auto"/>
                <w:kern w:val="0"/>
                <w:sz w:val="22"/>
                <w:highlight w:val="none"/>
              </w:rPr>
            </w:pPr>
            <w:r>
              <w:rPr>
                <w:rFonts w:hint="default" w:ascii="Times New Roman" w:hAnsi="Times New Roman" w:eastAsia="宋体" w:cs="Times New Roman"/>
                <w:bCs/>
                <w:color w:val="auto"/>
                <w:kern w:val="0"/>
                <w:sz w:val="22"/>
                <w:highlight w:val="none"/>
                <w:lang w:bidi="ar"/>
              </w:rPr>
              <w:t>1.58</w:t>
            </w:r>
          </w:p>
        </w:tc>
        <w:tc>
          <w:tcPr>
            <w:tcW w:w="849"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eastAsia="宋体" w:cs="Times New Roman"/>
                <w:bCs/>
                <w:color w:val="auto"/>
                <w:kern w:val="0"/>
                <w:sz w:val="22"/>
                <w:highlight w:val="none"/>
              </w:rPr>
            </w:pPr>
            <w:r>
              <w:rPr>
                <w:rFonts w:hint="default" w:ascii="Times New Roman" w:hAnsi="Times New Roman" w:eastAsia="宋体" w:cs="Times New Roman"/>
                <w:bCs/>
                <w:color w:val="auto"/>
                <w:kern w:val="0"/>
                <w:sz w:val="22"/>
                <w:highlight w:val="none"/>
                <w:lang w:bidi="ar"/>
              </w:rPr>
              <w:t>12</w:t>
            </w:r>
          </w:p>
        </w:tc>
        <w:tc>
          <w:tcPr>
            <w:tcW w:w="960" w:type="dxa"/>
            <w:tcBorders>
              <w:top w:val="nil"/>
              <w:left w:val="nil"/>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eastAsia="宋体" w:cs="Times New Roman"/>
                <w:bCs/>
                <w:color w:val="auto"/>
                <w:kern w:val="0"/>
                <w:sz w:val="22"/>
                <w:highlight w:val="none"/>
              </w:rPr>
            </w:pPr>
            <w:r>
              <w:rPr>
                <w:rFonts w:hint="default" w:ascii="Times New Roman" w:hAnsi="Times New Roman" w:eastAsia="宋体" w:cs="Times New Roman"/>
                <w:bCs/>
                <w:color w:val="auto"/>
                <w:kern w:val="0"/>
                <w:sz w:val="22"/>
                <w:highlight w:val="none"/>
                <w:lang w:bidi="ar"/>
              </w:rPr>
              <w:t>2</w:t>
            </w:r>
          </w:p>
        </w:tc>
        <w:tc>
          <w:tcPr>
            <w:tcW w:w="1320" w:type="dxa"/>
            <w:tcBorders>
              <w:top w:val="nil"/>
              <w:left w:val="nil"/>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eastAsia="宋体" w:cs="Times New Roman"/>
                <w:bCs/>
                <w:color w:val="auto"/>
                <w:kern w:val="0"/>
                <w:sz w:val="22"/>
                <w:highlight w:val="none"/>
              </w:rPr>
            </w:pPr>
            <w:r>
              <w:rPr>
                <w:rFonts w:hint="default" w:ascii="Times New Roman" w:hAnsi="Times New Roman" w:eastAsia="宋体" w:cs="Times New Roman"/>
                <w:bCs/>
                <w:color w:val="auto"/>
                <w:kern w:val="0"/>
                <w:sz w:val="22"/>
                <w:highlight w:val="none"/>
                <w:lang w:bidi="ar"/>
              </w:rPr>
              <w:t>41.40</w:t>
            </w:r>
          </w:p>
        </w:tc>
        <w:tc>
          <w:tcPr>
            <w:tcW w:w="1300" w:type="dxa"/>
            <w:tcBorders>
              <w:top w:val="nil"/>
              <w:left w:val="nil"/>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eastAsia="宋体" w:cs="Times New Roman"/>
                <w:bCs/>
                <w:color w:val="auto"/>
                <w:kern w:val="0"/>
                <w:sz w:val="22"/>
                <w:highlight w:val="none"/>
              </w:rPr>
            </w:pPr>
            <w:r>
              <w:rPr>
                <w:rFonts w:hint="default" w:ascii="Times New Roman" w:hAnsi="Times New Roman" w:eastAsia="宋体" w:cs="Times New Roman"/>
                <w:bCs/>
                <w:color w:val="auto"/>
                <w:kern w:val="0"/>
                <w:sz w:val="22"/>
                <w:highlight w:val="none"/>
                <w:lang w:bidi="ar"/>
              </w:rPr>
              <w:t>161.21</w:t>
            </w:r>
          </w:p>
        </w:tc>
      </w:tr>
      <w:tr>
        <w:tblPrEx>
          <w:tblCellMar>
            <w:top w:w="0" w:type="dxa"/>
            <w:left w:w="108" w:type="dxa"/>
            <w:bottom w:w="0" w:type="dxa"/>
            <w:right w:w="108" w:type="dxa"/>
          </w:tblCellMar>
        </w:tblPrEx>
        <w:trPr>
          <w:trHeight w:val="396" w:hRule="atLeast"/>
        </w:trPr>
        <w:tc>
          <w:tcPr>
            <w:tcW w:w="1858"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eastAsia="宋体" w:cs="Times New Roman"/>
                <w:color w:val="auto"/>
                <w:kern w:val="0"/>
                <w:sz w:val="22"/>
                <w:highlight w:val="none"/>
              </w:rPr>
            </w:pPr>
            <w:r>
              <w:rPr>
                <w:rFonts w:hint="default" w:ascii="Times New Roman" w:hAnsi="Times New Roman" w:eastAsia="宋体" w:cs="Times New Roman"/>
                <w:color w:val="auto"/>
                <w:kern w:val="0"/>
                <w:sz w:val="22"/>
                <w:highlight w:val="none"/>
                <w:lang w:bidi="ar"/>
              </w:rPr>
              <w:t>花柳河坝水闸</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eastAsia="宋体" w:cs="Times New Roman"/>
                <w:bCs/>
                <w:color w:val="auto"/>
                <w:kern w:val="0"/>
                <w:sz w:val="22"/>
                <w:highlight w:val="none"/>
              </w:rPr>
            </w:pPr>
            <w:r>
              <w:rPr>
                <w:rFonts w:hint="default" w:ascii="Times New Roman" w:hAnsi="Times New Roman" w:eastAsia="宋体" w:cs="Times New Roman"/>
                <w:bCs/>
                <w:color w:val="auto"/>
                <w:kern w:val="0"/>
                <w:sz w:val="22"/>
                <w:highlight w:val="none"/>
                <w:lang w:bidi="ar"/>
              </w:rPr>
              <w:t>0.76</w:t>
            </w:r>
          </w:p>
        </w:tc>
        <w:tc>
          <w:tcPr>
            <w:tcW w:w="1299" w:type="dxa"/>
            <w:tcBorders>
              <w:top w:val="nil"/>
              <w:left w:val="nil"/>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eastAsia="宋体" w:cs="Times New Roman"/>
                <w:bCs/>
                <w:color w:val="auto"/>
                <w:kern w:val="0"/>
                <w:sz w:val="22"/>
                <w:highlight w:val="none"/>
              </w:rPr>
            </w:pPr>
            <w:r>
              <w:rPr>
                <w:rFonts w:hint="default" w:ascii="Times New Roman" w:hAnsi="Times New Roman" w:eastAsia="宋体" w:cs="Times New Roman"/>
                <w:bCs/>
                <w:color w:val="auto"/>
                <w:kern w:val="0"/>
                <w:sz w:val="22"/>
                <w:highlight w:val="none"/>
                <w:lang w:bidi="ar"/>
              </w:rPr>
              <w:t>1.51</w:t>
            </w:r>
          </w:p>
        </w:tc>
        <w:tc>
          <w:tcPr>
            <w:tcW w:w="849"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eastAsia="宋体" w:cs="Times New Roman"/>
                <w:bCs/>
                <w:color w:val="auto"/>
                <w:kern w:val="0"/>
                <w:sz w:val="22"/>
                <w:highlight w:val="none"/>
              </w:rPr>
            </w:pPr>
            <w:r>
              <w:rPr>
                <w:rFonts w:hint="default" w:ascii="Times New Roman" w:hAnsi="Times New Roman" w:eastAsia="宋体" w:cs="Times New Roman"/>
                <w:bCs/>
                <w:color w:val="auto"/>
                <w:kern w:val="0"/>
                <w:sz w:val="22"/>
                <w:highlight w:val="none"/>
                <w:lang w:bidi="ar"/>
              </w:rPr>
              <w:t>8</w:t>
            </w:r>
          </w:p>
        </w:tc>
        <w:tc>
          <w:tcPr>
            <w:tcW w:w="960" w:type="dxa"/>
            <w:tcBorders>
              <w:top w:val="nil"/>
              <w:left w:val="nil"/>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eastAsia="宋体" w:cs="Times New Roman"/>
                <w:bCs/>
                <w:color w:val="auto"/>
                <w:kern w:val="0"/>
                <w:sz w:val="22"/>
                <w:highlight w:val="none"/>
              </w:rPr>
            </w:pPr>
            <w:r>
              <w:rPr>
                <w:rFonts w:hint="default" w:ascii="Times New Roman" w:hAnsi="Times New Roman" w:eastAsia="宋体" w:cs="Times New Roman"/>
                <w:bCs/>
                <w:color w:val="auto"/>
                <w:kern w:val="0"/>
                <w:sz w:val="22"/>
                <w:highlight w:val="none"/>
                <w:lang w:bidi="ar"/>
              </w:rPr>
              <w:t>2</w:t>
            </w:r>
          </w:p>
        </w:tc>
        <w:tc>
          <w:tcPr>
            <w:tcW w:w="1320" w:type="dxa"/>
            <w:tcBorders>
              <w:top w:val="nil"/>
              <w:left w:val="nil"/>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eastAsia="宋体" w:cs="Times New Roman"/>
                <w:bCs/>
                <w:color w:val="auto"/>
                <w:kern w:val="0"/>
                <w:sz w:val="22"/>
                <w:highlight w:val="none"/>
              </w:rPr>
            </w:pPr>
            <w:r>
              <w:rPr>
                <w:rFonts w:hint="default" w:ascii="Times New Roman" w:hAnsi="Times New Roman" w:eastAsia="宋体" w:cs="Times New Roman"/>
                <w:bCs/>
                <w:color w:val="auto"/>
                <w:kern w:val="0"/>
                <w:sz w:val="22"/>
                <w:highlight w:val="none"/>
                <w:lang w:bidi="ar"/>
              </w:rPr>
              <w:t>56.63</w:t>
            </w:r>
          </w:p>
        </w:tc>
        <w:tc>
          <w:tcPr>
            <w:tcW w:w="1300" w:type="dxa"/>
            <w:tcBorders>
              <w:top w:val="nil"/>
              <w:left w:val="nil"/>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eastAsia="宋体" w:cs="Times New Roman"/>
                <w:bCs/>
                <w:color w:val="auto"/>
                <w:kern w:val="0"/>
                <w:sz w:val="22"/>
                <w:highlight w:val="none"/>
              </w:rPr>
            </w:pPr>
            <w:r>
              <w:rPr>
                <w:rFonts w:hint="default" w:ascii="Times New Roman" w:hAnsi="Times New Roman" w:eastAsia="宋体" w:cs="Times New Roman"/>
                <w:bCs/>
                <w:color w:val="auto"/>
                <w:kern w:val="0"/>
                <w:sz w:val="22"/>
                <w:highlight w:val="none"/>
                <w:lang w:bidi="ar"/>
              </w:rPr>
              <w:t>169.45</w:t>
            </w:r>
          </w:p>
        </w:tc>
      </w:tr>
      <w:tr>
        <w:tblPrEx>
          <w:tblCellMar>
            <w:top w:w="0" w:type="dxa"/>
            <w:left w:w="108" w:type="dxa"/>
            <w:bottom w:w="0" w:type="dxa"/>
            <w:right w:w="108" w:type="dxa"/>
          </w:tblCellMar>
        </w:tblPrEx>
        <w:trPr>
          <w:trHeight w:val="445" w:hRule="atLeast"/>
        </w:trPr>
        <w:tc>
          <w:tcPr>
            <w:tcW w:w="1858"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eastAsia="宋体" w:cs="Times New Roman"/>
                <w:color w:val="auto"/>
                <w:kern w:val="0"/>
                <w:sz w:val="22"/>
                <w:highlight w:val="none"/>
              </w:rPr>
            </w:pPr>
            <w:r>
              <w:rPr>
                <w:rFonts w:hint="default" w:ascii="Times New Roman" w:hAnsi="Times New Roman" w:eastAsia="宋体" w:cs="Times New Roman"/>
                <w:color w:val="auto"/>
                <w:kern w:val="0"/>
                <w:sz w:val="22"/>
                <w:highlight w:val="none"/>
                <w:lang w:bidi="ar"/>
              </w:rPr>
              <w:t>黄袍岭水闸</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eastAsia="宋体" w:cs="Times New Roman"/>
                <w:bCs/>
                <w:color w:val="auto"/>
                <w:kern w:val="0"/>
                <w:sz w:val="22"/>
                <w:highlight w:val="none"/>
              </w:rPr>
            </w:pPr>
            <w:r>
              <w:rPr>
                <w:rFonts w:hint="default" w:ascii="Times New Roman" w:hAnsi="Times New Roman" w:eastAsia="宋体" w:cs="Times New Roman"/>
                <w:bCs/>
                <w:color w:val="auto"/>
                <w:kern w:val="0"/>
                <w:sz w:val="22"/>
                <w:highlight w:val="none"/>
                <w:lang w:bidi="ar"/>
              </w:rPr>
              <w:t>0.70</w:t>
            </w:r>
          </w:p>
        </w:tc>
        <w:tc>
          <w:tcPr>
            <w:tcW w:w="1299" w:type="dxa"/>
            <w:tcBorders>
              <w:top w:val="nil"/>
              <w:left w:val="nil"/>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eastAsia="宋体" w:cs="Times New Roman"/>
                <w:bCs/>
                <w:color w:val="auto"/>
                <w:kern w:val="0"/>
                <w:sz w:val="22"/>
                <w:highlight w:val="none"/>
              </w:rPr>
            </w:pPr>
            <w:r>
              <w:rPr>
                <w:rFonts w:hint="default" w:ascii="Times New Roman" w:hAnsi="Times New Roman" w:eastAsia="宋体" w:cs="Times New Roman"/>
                <w:bCs/>
                <w:color w:val="auto"/>
                <w:kern w:val="0"/>
                <w:sz w:val="22"/>
                <w:highlight w:val="none"/>
                <w:lang w:bidi="ar"/>
              </w:rPr>
              <w:t>1.46</w:t>
            </w:r>
          </w:p>
        </w:tc>
        <w:tc>
          <w:tcPr>
            <w:tcW w:w="849"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eastAsia="宋体" w:cs="Times New Roman"/>
                <w:bCs/>
                <w:color w:val="auto"/>
                <w:kern w:val="0"/>
                <w:sz w:val="22"/>
                <w:highlight w:val="none"/>
              </w:rPr>
            </w:pPr>
            <w:r>
              <w:rPr>
                <w:rFonts w:hint="default" w:ascii="Times New Roman" w:hAnsi="Times New Roman" w:eastAsia="宋体" w:cs="Times New Roman"/>
                <w:bCs/>
                <w:color w:val="auto"/>
                <w:kern w:val="0"/>
                <w:sz w:val="22"/>
                <w:highlight w:val="none"/>
                <w:lang w:bidi="ar"/>
              </w:rPr>
              <w:t>8</w:t>
            </w:r>
          </w:p>
        </w:tc>
        <w:tc>
          <w:tcPr>
            <w:tcW w:w="960" w:type="dxa"/>
            <w:tcBorders>
              <w:top w:val="nil"/>
              <w:left w:val="nil"/>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eastAsia="宋体" w:cs="Times New Roman"/>
                <w:bCs/>
                <w:color w:val="auto"/>
                <w:kern w:val="0"/>
                <w:sz w:val="22"/>
                <w:highlight w:val="none"/>
              </w:rPr>
            </w:pPr>
            <w:r>
              <w:rPr>
                <w:rFonts w:hint="default" w:ascii="Times New Roman" w:hAnsi="Times New Roman" w:eastAsia="宋体" w:cs="Times New Roman"/>
                <w:bCs/>
                <w:color w:val="auto"/>
                <w:kern w:val="0"/>
                <w:sz w:val="22"/>
                <w:highlight w:val="none"/>
                <w:lang w:bidi="ar"/>
              </w:rPr>
              <w:t>2</w:t>
            </w:r>
          </w:p>
        </w:tc>
        <w:tc>
          <w:tcPr>
            <w:tcW w:w="1320" w:type="dxa"/>
            <w:tcBorders>
              <w:top w:val="nil"/>
              <w:left w:val="nil"/>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eastAsia="宋体" w:cs="Times New Roman"/>
                <w:bCs/>
                <w:color w:val="auto"/>
                <w:kern w:val="0"/>
                <w:sz w:val="22"/>
                <w:highlight w:val="none"/>
              </w:rPr>
            </w:pPr>
            <w:r>
              <w:rPr>
                <w:rFonts w:hint="default" w:ascii="Times New Roman" w:hAnsi="Times New Roman" w:eastAsia="宋体" w:cs="Times New Roman"/>
                <w:bCs/>
                <w:color w:val="auto"/>
                <w:kern w:val="0"/>
                <w:sz w:val="22"/>
                <w:highlight w:val="none"/>
                <w:lang w:bidi="ar"/>
              </w:rPr>
              <w:t>45.33</w:t>
            </w:r>
          </w:p>
        </w:tc>
        <w:tc>
          <w:tcPr>
            <w:tcW w:w="1300" w:type="dxa"/>
            <w:tcBorders>
              <w:top w:val="nil"/>
              <w:left w:val="nil"/>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eastAsia="宋体" w:cs="Times New Roman"/>
                <w:bCs/>
                <w:color w:val="auto"/>
                <w:kern w:val="0"/>
                <w:sz w:val="22"/>
                <w:highlight w:val="none"/>
              </w:rPr>
            </w:pPr>
            <w:r>
              <w:rPr>
                <w:rFonts w:hint="default" w:ascii="Times New Roman" w:hAnsi="Times New Roman" w:eastAsia="宋体" w:cs="Times New Roman"/>
                <w:bCs/>
                <w:color w:val="auto"/>
                <w:kern w:val="0"/>
                <w:sz w:val="22"/>
                <w:highlight w:val="none"/>
                <w:lang w:bidi="ar"/>
              </w:rPr>
              <w:t>154.82</w:t>
            </w:r>
          </w:p>
        </w:tc>
      </w:tr>
      <w:tr>
        <w:tblPrEx>
          <w:tblCellMar>
            <w:top w:w="0" w:type="dxa"/>
            <w:left w:w="108" w:type="dxa"/>
            <w:bottom w:w="0" w:type="dxa"/>
            <w:right w:w="108" w:type="dxa"/>
          </w:tblCellMar>
        </w:tblPrEx>
        <w:trPr>
          <w:trHeight w:val="360" w:hRule="atLeast"/>
        </w:trPr>
        <w:tc>
          <w:tcPr>
            <w:tcW w:w="1858"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eastAsia="宋体" w:cs="Times New Roman"/>
                <w:color w:val="auto"/>
                <w:kern w:val="0"/>
                <w:sz w:val="22"/>
                <w:highlight w:val="none"/>
              </w:rPr>
            </w:pPr>
            <w:r>
              <w:rPr>
                <w:rFonts w:hint="default" w:ascii="Times New Roman" w:hAnsi="Times New Roman" w:eastAsia="宋体" w:cs="Times New Roman"/>
                <w:color w:val="auto"/>
                <w:kern w:val="0"/>
                <w:sz w:val="22"/>
                <w:highlight w:val="none"/>
                <w:lang w:bidi="ar"/>
              </w:rPr>
              <w:t>老屋冲河坝水闸</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eastAsia="宋体" w:cs="Times New Roman"/>
                <w:bCs/>
                <w:color w:val="auto"/>
                <w:kern w:val="0"/>
                <w:sz w:val="22"/>
                <w:highlight w:val="none"/>
              </w:rPr>
            </w:pPr>
            <w:r>
              <w:rPr>
                <w:rFonts w:hint="default" w:ascii="Times New Roman" w:hAnsi="Times New Roman" w:eastAsia="宋体" w:cs="Times New Roman"/>
                <w:bCs/>
                <w:color w:val="auto"/>
                <w:kern w:val="0"/>
                <w:sz w:val="22"/>
                <w:highlight w:val="none"/>
                <w:lang w:bidi="ar"/>
              </w:rPr>
              <w:t>1.78</w:t>
            </w:r>
          </w:p>
        </w:tc>
        <w:tc>
          <w:tcPr>
            <w:tcW w:w="1299" w:type="dxa"/>
            <w:tcBorders>
              <w:top w:val="nil"/>
              <w:left w:val="nil"/>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eastAsia="宋体" w:cs="Times New Roman"/>
                <w:bCs/>
                <w:color w:val="auto"/>
                <w:kern w:val="0"/>
                <w:sz w:val="22"/>
                <w:highlight w:val="none"/>
              </w:rPr>
            </w:pPr>
            <w:r>
              <w:rPr>
                <w:rFonts w:hint="default" w:ascii="Times New Roman" w:hAnsi="Times New Roman" w:eastAsia="宋体" w:cs="Times New Roman"/>
                <w:bCs/>
                <w:color w:val="auto"/>
                <w:kern w:val="0"/>
                <w:sz w:val="22"/>
                <w:highlight w:val="none"/>
                <w:lang w:bidi="ar"/>
              </w:rPr>
              <w:t>2.9</w:t>
            </w:r>
          </w:p>
        </w:tc>
        <w:tc>
          <w:tcPr>
            <w:tcW w:w="849"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eastAsia="宋体" w:cs="Times New Roman"/>
                <w:bCs/>
                <w:color w:val="auto"/>
                <w:kern w:val="0"/>
                <w:sz w:val="22"/>
                <w:highlight w:val="none"/>
              </w:rPr>
            </w:pPr>
            <w:r>
              <w:rPr>
                <w:rFonts w:hint="default" w:ascii="Times New Roman" w:hAnsi="Times New Roman" w:eastAsia="宋体" w:cs="Times New Roman"/>
                <w:bCs/>
                <w:color w:val="auto"/>
                <w:kern w:val="0"/>
                <w:sz w:val="22"/>
                <w:highlight w:val="none"/>
                <w:lang w:bidi="ar"/>
              </w:rPr>
              <w:t>12</w:t>
            </w:r>
          </w:p>
        </w:tc>
        <w:tc>
          <w:tcPr>
            <w:tcW w:w="960" w:type="dxa"/>
            <w:tcBorders>
              <w:top w:val="nil"/>
              <w:left w:val="nil"/>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eastAsia="宋体" w:cs="Times New Roman"/>
                <w:bCs/>
                <w:color w:val="auto"/>
                <w:kern w:val="0"/>
                <w:sz w:val="22"/>
                <w:highlight w:val="none"/>
              </w:rPr>
            </w:pPr>
            <w:r>
              <w:rPr>
                <w:rFonts w:hint="default" w:ascii="Times New Roman" w:hAnsi="Times New Roman" w:eastAsia="宋体" w:cs="Times New Roman"/>
                <w:bCs/>
                <w:color w:val="auto"/>
                <w:kern w:val="0"/>
                <w:sz w:val="22"/>
                <w:highlight w:val="none"/>
                <w:lang w:bidi="ar"/>
              </w:rPr>
              <w:t>2</w:t>
            </w:r>
          </w:p>
        </w:tc>
        <w:tc>
          <w:tcPr>
            <w:tcW w:w="1320" w:type="dxa"/>
            <w:tcBorders>
              <w:top w:val="nil"/>
              <w:left w:val="nil"/>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eastAsia="宋体" w:cs="Times New Roman"/>
                <w:bCs/>
                <w:color w:val="auto"/>
                <w:kern w:val="0"/>
                <w:sz w:val="22"/>
                <w:highlight w:val="none"/>
              </w:rPr>
            </w:pPr>
            <w:r>
              <w:rPr>
                <w:rFonts w:hint="default" w:ascii="Times New Roman" w:hAnsi="Times New Roman" w:eastAsia="宋体" w:cs="Times New Roman"/>
                <w:bCs/>
                <w:color w:val="auto"/>
                <w:kern w:val="0"/>
                <w:sz w:val="22"/>
                <w:highlight w:val="none"/>
                <w:lang w:bidi="ar"/>
              </w:rPr>
              <w:t>221.13</w:t>
            </w:r>
          </w:p>
        </w:tc>
        <w:tc>
          <w:tcPr>
            <w:tcW w:w="1300" w:type="dxa"/>
            <w:tcBorders>
              <w:top w:val="nil"/>
              <w:left w:val="nil"/>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eastAsia="宋体" w:cs="Times New Roman"/>
                <w:bCs/>
                <w:color w:val="auto"/>
                <w:kern w:val="0"/>
                <w:sz w:val="22"/>
                <w:highlight w:val="none"/>
              </w:rPr>
            </w:pPr>
            <w:r>
              <w:rPr>
                <w:rFonts w:hint="default" w:ascii="Times New Roman" w:hAnsi="Times New Roman" w:eastAsia="宋体" w:cs="Times New Roman"/>
                <w:bCs/>
                <w:color w:val="auto"/>
                <w:kern w:val="0"/>
                <w:sz w:val="22"/>
                <w:highlight w:val="none"/>
                <w:lang w:bidi="ar"/>
              </w:rPr>
              <w:t>524.51</w:t>
            </w:r>
          </w:p>
        </w:tc>
      </w:tr>
      <w:tr>
        <w:tblPrEx>
          <w:tblCellMar>
            <w:top w:w="0" w:type="dxa"/>
            <w:left w:w="108" w:type="dxa"/>
            <w:bottom w:w="0" w:type="dxa"/>
            <w:right w:w="108" w:type="dxa"/>
          </w:tblCellMar>
        </w:tblPrEx>
        <w:trPr>
          <w:trHeight w:val="360" w:hRule="atLeast"/>
        </w:trPr>
        <w:tc>
          <w:tcPr>
            <w:tcW w:w="1858"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eastAsia="宋体" w:cs="Times New Roman"/>
                <w:color w:val="auto"/>
                <w:kern w:val="0"/>
                <w:sz w:val="22"/>
                <w:highlight w:val="none"/>
              </w:rPr>
            </w:pPr>
            <w:r>
              <w:rPr>
                <w:rFonts w:hint="default" w:ascii="Times New Roman" w:hAnsi="Times New Roman" w:eastAsia="宋体" w:cs="Times New Roman"/>
                <w:color w:val="auto"/>
                <w:kern w:val="0"/>
                <w:sz w:val="22"/>
                <w:highlight w:val="none"/>
                <w:lang w:bidi="ar"/>
              </w:rPr>
              <w:t>冷水江河坝水闸</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eastAsia="宋体" w:cs="Times New Roman"/>
                <w:bCs/>
                <w:color w:val="auto"/>
                <w:kern w:val="0"/>
                <w:sz w:val="22"/>
                <w:highlight w:val="none"/>
              </w:rPr>
            </w:pPr>
            <w:r>
              <w:rPr>
                <w:rFonts w:hint="default" w:ascii="Times New Roman" w:hAnsi="Times New Roman" w:eastAsia="宋体" w:cs="Times New Roman"/>
                <w:bCs/>
                <w:color w:val="auto"/>
                <w:kern w:val="0"/>
                <w:sz w:val="22"/>
                <w:highlight w:val="none"/>
                <w:lang w:bidi="ar"/>
              </w:rPr>
              <w:t>0.82</w:t>
            </w:r>
          </w:p>
        </w:tc>
        <w:tc>
          <w:tcPr>
            <w:tcW w:w="1299" w:type="dxa"/>
            <w:tcBorders>
              <w:top w:val="nil"/>
              <w:left w:val="nil"/>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eastAsia="宋体" w:cs="Times New Roman"/>
                <w:bCs/>
                <w:color w:val="auto"/>
                <w:kern w:val="0"/>
                <w:sz w:val="22"/>
                <w:highlight w:val="none"/>
              </w:rPr>
            </w:pPr>
            <w:r>
              <w:rPr>
                <w:rFonts w:hint="default" w:ascii="Times New Roman" w:hAnsi="Times New Roman" w:eastAsia="宋体" w:cs="Times New Roman"/>
                <w:bCs/>
                <w:color w:val="auto"/>
                <w:kern w:val="0"/>
                <w:sz w:val="22"/>
                <w:highlight w:val="none"/>
                <w:lang w:bidi="ar"/>
              </w:rPr>
              <w:t>1.56</w:t>
            </w:r>
          </w:p>
        </w:tc>
        <w:tc>
          <w:tcPr>
            <w:tcW w:w="849"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eastAsia="宋体" w:cs="Times New Roman"/>
                <w:bCs/>
                <w:color w:val="auto"/>
                <w:kern w:val="0"/>
                <w:sz w:val="22"/>
                <w:highlight w:val="none"/>
              </w:rPr>
            </w:pPr>
            <w:r>
              <w:rPr>
                <w:rFonts w:hint="default" w:ascii="Times New Roman" w:hAnsi="Times New Roman" w:eastAsia="宋体" w:cs="Times New Roman"/>
                <w:bCs/>
                <w:color w:val="auto"/>
                <w:kern w:val="0"/>
                <w:sz w:val="22"/>
                <w:highlight w:val="none"/>
                <w:lang w:bidi="ar"/>
              </w:rPr>
              <w:t>8</w:t>
            </w:r>
          </w:p>
        </w:tc>
        <w:tc>
          <w:tcPr>
            <w:tcW w:w="960" w:type="dxa"/>
            <w:tcBorders>
              <w:top w:val="nil"/>
              <w:left w:val="nil"/>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eastAsia="宋体" w:cs="Times New Roman"/>
                <w:bCs/>
                <w:color w:val="auto"/>
                <w:kern w:val="0"/>
                <w:sz w:val="22"/>
                <w:highlight w:val="none"/>
              </w:rPr>
            </w:pPr>
            <w:r>
              <w:rPr>
                <w:rFonts w:hint="default" w:ascii="Times New Roman" w:hAnsi="Times New Roman" w:eastAsia="宋体" w:cs="Times New Roman"/>
                <w:bCs/>
                <w:color w:val="auto"/>
                <w:kern w:val="0"/>
                <w:sz w:val="22"/>
                <w:highlight w:val="none"/>
                <w:lang w:bidi="ar"/>
              </w:rPr>
              <w:t>2</w:t>
            </w:r>
          </w:p>
        </w:tc>
        <w:tc>
          <w:tcPr>
            <w:tcW w:w="1320" w:type="dxa"/>
            <w:tcBorders>
              <w:top w:val="nil"/>
              <w:left w:val="nil"/>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eastAsia="宋体" w:cs="Times New Roman"/>
                <w:bCs/>
                <w:color w:val="auto"/>
                <w:kern w:val="0"/>
                <w:sz w:val="22"/>
                <w:highlight w:val="none"/>
              </w:rPr>
            </w:pPr>
            <w:r>
              <w:rPr>
                <w:rFonts w:hint="default" w:ascii="Times New Roman" w:hAnsi="Times New Roman" w:eastAsia="宋体" w:cs="Times New Roman"/>
                <w:bCs/>
                <w:color w:val="auto"/>
                <w:kern w:val="0"/>
                <w:sz w:val="22"/>
                <w:highlight w:val="none"/>
                <w:lang w:bidi="ar"/>
              </w:rPr>
              <w:t>64.09</w:t>
            </w:r>
          </w:p>
        </w:tc>
        <w:tc>
          <w:tcPr>
            <w:tcW w:w="1300" w:type="dxa"/>
            <w:tcBorders>
              <w:top w:val="nil"/>
              <w:left w:val="nil"/>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eastAsia="宋体" w:cs="Times New Roman"/>
                <w:bCs/>
                <w:color w:val="auto"/>
                <w:kern w:val="0"/>
                <w:sz w:val="22"/>
                <w:highlight w:val="none"/>
              </w:rPr>
            </w:pPr>
            <w:r>
              <w:rPr>
                <w:rFonts w:hint="default" w:ascii="Times New Roman" w:hAnsi="Times New Roman" w:eastAsia="宋体" w:cs="Times New Roman"/>
                <w:bCs/>
                <w:color w:val="auto"/>
                <w:kern w:val="0"/>
                <w:sz w:val="22"/>
                <w:highlight w:val="none"/>
                <w:lang w:bidi="ar"/>
              </w:rPr>
              <w:t>176.90</w:t>
            </w:r>
          </w:p>
        </w:tc>
      </w:tr>
      <w:tr>
        <w:tblPrEx>
          <w:tblCellMar>
            <w:top w:w="0" w:type="dxa"/>
            <w:left w:w="108" w:type="dxa"/>
            <w:bottom w:w="0" w:type="dxa"/>
            <w:right w:w="108" w:type="dxa"/>
          </w:tblCellMar>
        </w:tblPrEx>
        <w:trPr>
          <w:trHeight w:val="360" w:hRule="atLeast"/>
        </w:trPr>
        <w:tc>
          <w:tcPr>
            <w:tcW w:w="1858"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eastAsia="宋体" w:cs="Times New Roman"/>
                <w:color w:val="auto"/>
                <w:kern w:val="0"/>
                <w:sz w:val="22"/>
                <w:highlight w:val="none"/>
              </w:rPr>
            </w:pPr>
            <w:r>
              <w:rPr>
                <w:rFonts w:hint="default" w:ascii="Times New Roman" w:hAnsi="Times New Roman" w:eastAsia="宋体" w:cs="Times New Roman"/>
                <w:color w:val="auto"/>
                <w:kern w:val="0"/>
                <w:sz w:val="22"/>
                <w:highlight w:val="none"/>
                <w:lang w:bidi="ar"/>
              </w:rPr>
              <w:t>人民灌区分洪闸</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eastAsia="宋体" w:cs="Times New Roman"/>
                <w:bCs/>
                <w:color w:val="auto"/>
                <w:kern w:val="0"/>
                <w:sz w:val="22"/>
                <w:highlight w:val="none"/>
              </w:rPr>
            </w:pPr>
            <w:r>
              <w:rPr>
                <w:rFonts w:hint="default" w:ascii="Times New Roman" w:hAnsi="Times New Roman" w:eastAsia="宋体" w:cs="Times New Roman"/>
                <w:bCs/>
                <w:color w:val="auto"/>
                <w:kern w:val="0"/>
                <w:sz w:val="22"/>
                <w:highlight w:val="none"/>
                <w:lang w:bidi="ar"/>
              </w:rPr>
              <w:t>25.70</w:t>
            </w:r>
          </w:p>
        </w:tc>
        <w:tc>
          <w:tcPr>
            <w:tcW w:w="1299" w:type="dxa"/>
            <w:tcBorders>
              <w:top w:val="nil"/>
              <w:left w:val="nil"/>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eastAsia="宋体" w:cs="Times New Roman"/>
                <w:bCs/>
                <w:color w:val="auto"/>
                <w:kern w:val="0"/>
                <w:sz w:val="22"/>
                <w:highlight w:val="none"/>
              </w:rPr>
            </w:pPr>
            <w:r>
              <w:rPr>
                <w:rFonts w:hint="default" w:ascii="Times New Roman" w:hAnsi="Times New Roman" w:eastAsia="宋体" w:cs="Times New Roman"/>
                <w:bCs/>
                <w:color w:val="auto"/>
                <w:kern w:val="0"/>
                <w:sz w:val="22"/>
                <w:highlight w:val="none"/>
                <w:lang w:bidi="ar"/>
              </w:rPr>
              <w:t>22.39</w:t>
            </w:r>
          </w:p>
        </w:tc>
        <w:tc>
          <w:tcPr>
            <w:tcW w:w="849"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eastAsia="宋体" w:cs="Times New Roman"/>
                <w:bCs/>
                <w:color w:val="auto"/>
                <w:kern w:val="0"/>
                <w:sz w:val="22"/>
                <w:highlight w:val="none"/>
              </w:rPr>
            </w:pPr>
            <w:r>
              <w:rPr>
                <w:rFonts w:hint="default" w:ascii="Times New Roman" w:hAnsi="Times New Roman" w:eastAsia="宋体" w:cs="Times New Roman"/>
                <w:bCs/>
                <w:color w:val="auto"/>
                <w:kern w:val="0"/>
                <w:sz w:val="22"/>
                <w:highlight w:val="none"/>
                <w:lang w:bidi="ar"/>
              </w:rPr>
              <w:t>75</w:t>
            </w:r>
          </w:p>
        </w:tc>
        <w:tc>
          <w:tcPr>
            <w:tcW w:w="960" w:type="dxa"/>
            <w:tcBorders>
              <w:top w:val="nil"/>
              <w:left w:val="nil"/>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eastAsia="宋体" w:cs="Times New Roman"/>
                <w:bCs/>
                <w:color w:val="auto"/>
                <w:kern w:val="0"/>
                <w:sz w:val="22"/>
                <w:highlight w:val="none"/>
              </w:rPr>
            </w:pPr>
            <w:r>
              <w:rPr>
                <w:rFonts w:hint="default" w:ascii="Times New Roman" w:hAnsi="Times New Roman" w:eastAsia="宋体" w:cs="Times New Roman"/>
                <w:bCs/>
                <w:color w:val="auto"/>
                <w:kern w:val="0"/>
                <w:sz w:val="22"/>
                <w:highlight w:val="none"/>
                <w:lang w:bidi="ar"/>
              </w:rPr>
              <w:t>2</w:t>
            </w:r>
          </w:p>
        </w:tc>
        <w:tc>
          <w:tcPr>
            <w:tcW w:w="1320" w:type="dxa"/>
            <w:tcBorders>
              <w:top w:val="nil"/>
              <w:left w:val="nil"/>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eastAsia="宋体" w:cs="Times New Roman"/>
                <w:bCs/>
                <w:color w:val="auto"/>
                <w:kern w:val="0"/>
                <w:sz w:val="22"/>
                <w:highlight w:val="none"/>
              </w:rPr>
            </w:pPr>
            <w:r>
              <w:rPr>
                <w:rFonts w:hint="default" w:ascii="Times New Roman" w:hAnsi="Times New Roman" w:eastAsia="宋体" w:cs="Times New Roman"/>
                <w:bCs/>
                <w:color w:val="auto"/>
                <w:kern w:val="0"/>
                <w:sz w:val="22"/>
                <w:highlight w:val="none"/>
                <w:lang w:bidi="ar"/>
              </w:rPr>
              <w:t>1182.85</w:t>
            </w:r>
          </w:p>
        </w:tc>
        <w:tc>
          <w:tcPr>
            <w:tcW w:w="1300" w:type="dxa"/>
            <w:tcBorders>
              <w:top w:val="nil"/>
              <w:left w:val="nil"/>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eastAsia="宋体" w:cs="Times New Roman"/>
                <w:bCs/>
                <w:color w:val="auto"/>
                <w:kern w:val="0"/>
                <w:sz w:val="22"/>
                <w:highlight w:val="none"/>
              </w:rPr>
            </w:pPr>
            <w:r>
              <w:rPr>
                <w:rFonts w:hint="default" w:ascii="Times New Roman" w:hAnsi="Times New Roman" w:eastAsia="宋体" w:cs="Times New Roman"/>
                <w:bCs/>
                <w:color w:val="auto"/>
                <w:kern w:val="0"/>
                <w:sz w:val="22"/>
                <w:highlight w:val="none"/>
                <w:lang w:bidi="ar"/>
              </w:rPr>
              <w:t>494.31</w:t>
            </w:r>
          </w:p>
        </w:tc>
      </w:tr>
      <w:tr>
        <w:tblPrEx>
          <w:tblCellMar>
            <w:top w:w="0" w:type="dxa"/>
            <w:left w:w="108" w:type="dxa"/>
            <w:bottom w:w="0" w:type="dxa"/>
            <w:right w:w="108" w:type="dxa"/>
          </w:tblCellMar>
        </w:tblPrEx>
        <w:trPr>
          <w:trHeight w:val="360" w:hRule="atLeast"/>
        </w:trPr>
        <w:tc>
          <w:tcPr>
            <w:tcW w:w="1858"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eastAsia="宋体" w:cs="Times New Roman"/>
                <w:color w:val="auto"/>
                <w:kern w:val="0"/>
                <w:sz w:val="22"/>
                <w:highlight w:val="none"/>
              </w:rPr>
            </w:pPr>
            <w:r>
              <w:rPr>
                <w:rFonts w:hint="default" w:ascii="Times New Roman" w:hAnsi="Times New Roman" w:eastAsia="宋体" w:cs="Times New Roman"/>
                <w:color w:val="auto"/>
                <w:kern w:val="0"/>
                <w:sz w:val="22"/>
                <w:highlight w:val="none"/>
                <w:lang w:bidi="ar"/>
              </w:rPr>
              <w:t>双江口河坝水闸</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eastAsia="宋体" w:cs="Times New Roman"/>
                <w:bCs/>
                <w:color w:val="auto"/>
                <w:kern w:val="0"/>
                <w:sz w:val="22"/>
                <w:highlight w:val="none"/>
              </w:rPr>
            </w:pPr>
            <w:r>
              <w:rPr>
                <w:rFonts w:hint="default" w:ascii="Times New Roman" w:hAnsi="Times New Roman" w:eastAsia="宋体" w:cs="Times New Roman"/>
                <w:bCs/>
                <w:color w:val="auto"/>
                <w:kern w:val="0"/>
                <w:sz w:val="22"/>
                <w:highlight w:val="none"/>
                <w:lang w:bidi="ar"/>
              </w:rPr>
              <w:t>0.82</w:t>
            </w:r>
          </w:p>
        </w:tc>
        <w:tc>
          <w:tcPr>
            <w:tcW w:w="1299" w:type="dxa"/>
            <w:tcBorders>
              <w:top w:val="nil"/>
              <w:left w:val="nil"/>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eastAsia="宋体" w:cs="Times New Roman"/>
                <w:bCs/>
                <w:color w:val="auto"/>
                <w:kern w:val="0"/>
                <w:sz w:val="22"/>
                <w:highlight w:val="none"/>
              </w:rPr>
            </w:pPr>
            <w:r>
              <w:rPr>
                <w:rFonts w:hint="default" w:ascii="Times New Roman" w:hAnsi="Times New Roman" w:eastAsia="宋体" w:cs="Times New Roman"/>
                <w:bCs/>
                <w:color w:val="auto"/>
                <w:kern w:val="0"/>
                <w:sz w:val="22"/>
                <w:highlight w:val="none"/>
                <w:lang w:bidi="ar"/>
              </w:rPr>
              <w:t>1.51</w:t>
            </w:r>
          </w:p>
        </w:tc>
        <w:tc>
          <w:tcPr>
            <w:tcW w:w="849"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eastAsia="宋体" w:cs="Times New Roman"/>
                <w:bCs/>
                <w:color w:val="auto"/>
                <w:kern w:val="0"/>
                <w:sz w:val="22"/>
                <w:highlight w:val="none"/>
              </w:rPr>
            </w:pPr>
            <w:r>
              <w:rPr>
                <w:rFonts w:hint="default" w:ascii="Times New Roman" w:hAnsi="Times New Roman" w:eastAsia="宋体" w:cs="Times New Roman"/>
                <w:bCs/>
                <w:color w:val="auto"/>
                <w:kern w:val="0"/>
                <w:sz w:val="22"/>
                <w:highlight w:val="none"/>
                <w:lang w:bidi="ar"/>
              </w:rPr>
              <w:t>8</w:t>
            </w:r>
          </w:p>
        </w:tc>
        <w:tc>
          <w:tcPr>
            <w:tcW w:w="960" w:type="dxa"/>
            <w:tcBorders>
              <w:top w:val="nil"/>
              <w:left w:val="nil"/>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eastAsia="宋体" w:cs="Times New Roman"/>
                <w:bCs/>
                <w:color w:val="auto"/>
                <w:kern w:val="0"/>
                <w:sz w:val="22"/>
                <w:highlight w:val="none"/>
              </w:rPr>
            </w:pPr>
            <w:r>
              <w:rPr>
                <w:rFonts w:hint="default" w:ascii="Times New Roman" w:hAnsi="Times New Roman" w:eastAsia="宋体" w:cs="Times New Roman"/>
                <w:bCs/>
                <w:color w:val="auto"/>
                <w:kern w:val="0"/>
                <w:sz w:val="22"/>
                <w:highlight w:val="none"/>
                <w:lang w:bidi="ar"/>
              </w:rPr>
              <w:t>2</w:t>
            </w:r>
          </w:p>
        </w:tc>
        <w:tc>
          <w:tcPr>
            <w:tcW w:w="1320" w:type="dxa"/>
            <w:tcBorders>
              <w:top w:val="nil"/>
              <w:left w:val="nil"/>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eastAsia="宋体" w:cs="Times New Roman"/>
                <w:bCs/>
                <w:color w:val="auto"/>
                <w:kern w:val="0"/>
                <w:sz w:val="22"/>
                <w:highlight w:val="none"/>
              </w:rPr>
            </w:pPr>
            <w:r>
              <w:rPr>
                <w:rFonts w:hint="default" w:ascii="Times New Roman" w:hAnsi="Times New Roman" w:eastAsia="宋体" w:cs="Times New Roman"/>
                <w:bCs/>
                <w:color w:val="auto"/>
                <w:kern w:val="0"/>
                <w:sz w:val="22"/>
                <w:highlight w:val="none"/>
                <w:lang w:bidi="ar"/>
              </w:rPr>
              <w:t>65.21</w:t>
            </w:r>
          </w:p>
        </w:tc>
        <w:tc>
          <w:tcPr>
            <w:tcW w:w="1300" w:type="dxa"/>
            <w:tcBorders>
              <w:top w:val="nil"/>
              <w:left w:val="nil"/>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eastAsia="宋体" w:cs="Times New Roman"/>
                <w:bCs/>
                <w:color w:val="auto"/>
                <w:kern w:val="0"/>
                <w:sz w:val="22"/>
                <w:highlight w:val="none"/>
              </w:rPr>
            </w:pPr>
            <w:r>
              <w:rPr>
                <w:rFonts w:hint="default" w:ascii="Times New Roman" w:hAnsi="Times New Roman" w:eastAsia="宋体" w:cs="Times New Roman"/>
                <w:bCs/>
                <w:color w:val="auto"/>
                <w:kern w:val="0"/>
                <w:sz w:val="22"/>
                <w:highlight w:val="none"/>
                <w:lang w:bidi="ar"/>
              </w:rPr>
              <w:t>179.34</w:t>
            </w:r>
          </w:p>
        </w:tc>
      </w:tr>
      <w:tr>
        <w:tblPrEx>
          <w:tblCellMar>
            <w:top w:w="0" w:type="dxa"/>
            <w:left w:w="108" w:type="dxa"/>
            <w:bottom w:w="0" w:type="dxa"/>
            <w:right w:w="108" w:type="dxa"/>
          </w:tblCellMar>
        </w:tblPrEx>
        <w:trPr>
          <w:trHeight w:val="360" w:hRule="atLeast"/>
        </w:trPr>
        <w:tc>
          <w:tcPr>
            <w:tcW w:w="1858"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eastAsia="宋体" w:cs="Times New Roman"/>
                <w:color w:val="auto"/>
                <w:kern w:val="0"/>
                <w:sz w:val="22"/>
                <w:highlight w:val="none"/>
              </w:rPr>
            </w:pPr>
            <w:r>
              <w:rPr>
                <w:rFonts w:hint="default" w:ascii="Times New Roman" w:hAnsi="Times New Roman" w:eastAsia="宋体" w:cs="Times New Roman"/>
                <w:color w:val="auto"/>
                <w:kern w:val="0"/>
                <w:sz w:val="22"/>
                <w:highlight w:val="none"/>
                <w:lang w:bidi="ar"/>
              </w:rPr>
              <w:t>杨家湾河坝水闸</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eastAsia="宋体" w:cs="Times New Roman"/>
                <w:bCs/>
                <w:color w:val="auto"/>
                <w:kern w:val="0"/>
                <w:sz w:val="22"/>
                <w:highlight w:val="none"/>
              </w:rPr>
            </w:pPr>
            <w:r>
              <w:rPr>
                <w:rFonts w:hint="default" w:ascii="Times New Roman" w:hAnsi="Times New Roman" w:eastAsia="宋体" w:cs="Times New Roman"/>
                <w:bCs/>
                <w:color w:val="auto"/>
                <w:kern w:val="0"/>
                <w:sz w:val="22"/>
                <w:highlight w:val="none"/>
                <w:lang w:bidi="ar"/>
              </w:rPr>
              <w:t>0.89</w:t>
            </w:r>
          </w:p>
        </w:tc>
        <w:tc>
          <w:tcPr>
            <w:tcW w:w="1299" w:type="dxa"/>
            <w:tcBorders>
              <w:top w:val="nil"/>
              <w:left w:val="nil"/>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eastAsia="宋体" w:cs="Times New Roman"/>
                <w:bCs/>
                <w:color w:val="auto"/>
                <w:kern w:val="0"/>
                <w:sz w:val="22"/>
                <w:highlight w:val="none"/>
              </w:rPr>
            </w:pPr>
            <w:r>
              <w:rPr>
                <w:rFonts w:hint="default" w:ascii="Times New Roman" w:hAnsi="Times New Roman" w:eastAsia="宋体" w:cs="Times New Roman"/>
                <w:bCs/>
                <w:color w:val="auto"/>
                <w:kern w:val="0"/>
                <w:sz w:val="22"/>
                <w:highlight w:val="none"/>
                <w:lang w:bidi="ar"/>
              </w:rPr>
              <w:t>1.62</w:t>
            </w:r>
          </w:p>
        </w:tc>
        <w:tc>
          <w:tcPr>
            <w:tcW w:w="849"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eastAsia="宋体" w:cs="Times New Roman"/>
                <w:bCs/>
                <w:color w:val="auto"/>
                <w:kern w:val="0"/>
                <w:sz w:val="22"/>
                <w:highlight w:val="none"/>
              </w:rPr>
            </w:pPr>
            <w:r>
              <w:rPr>
                <w:rFonts w:hint="default" w:ascii="Times New Roman" w:hAnsi="Times New Roman" w:eastAsia="宋体" w:cs="Times New Roman"/>
                <w:bCs/>
                <w:color w:val="auto"/>
                <w:kern w:val="0"/>
                <w:sz w:val="22"/>
                <w:highlight w:val="none"/>
                <w:lang w:bidi="ar"/>
              </w:rPr>
              <w:t>11</w:t>
            </w:r>
          </w:p>
        </w:tc>
        <w:tc>
          <w:tcPr>
            <w:tcW w:w="960" w:type="dxa"/>
            <w:tcBorders>
              <w:top w:val="nil"/>
              <w:left w:val="nil"/>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eastAsia="宋体" w:cs="Times New Roman"/>
                <w:bCs/>
                <w:color w:val="auto"/>
                <w:kern w:val="0"/>
                <w:sz w:val="22"/>
                <w:highlight w:val="none"/>
              </w:rPr>
            </w:pPr>
            <w:r>
              <w:rPr>
                <w:rFonts w:hint="default" w:ascii="Times New Roman" w:hAnsi="Times New Roman" w:eastAsia="宋体" w:cs="Times New Roman"/>
                <w:bCs/>
                <w:color w:val="auto"/>
                <w:kern w:val="0"/>
                <w:sz w:val="22"/>
                <w:highlight w:val="none"/>
                <w:lang w:bidi="ar"/>
              </w:rPr>
              <w:t>2</w:t>
            </w:r>
          </w:p>
        </w:tc>
        <w:tc>
          <w:tcPr>
            <w:tcW w:w="1320" w:type="dxa"/>
            <w:tcBorders>
              <w:top w:val="nil"/>
              <w:left w:val="nil"/>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eastAsia="宋体" w:cs="Times New Roman"/>
                <w:bCs/>
                <w:color w:val="auto"/>
                <w:kern w:val="0"/>
                <w:sz w:val="22"/>
                <w:highlight w:val="none"/>
              </w:rPr>
            </w:pPr>
            <w:r>
              <w:rPr>
                <w:rFonts w:hint="default" w:ascii="Times New Roman" w:hAnsi="Times New Roman" w:eastAsia="宋体" w:cs="Times New Roman"/>
                <w:bCs/>
                <w:color w:val="auto"/>
                <w:kern w:val="0"/>
                <w:sz w:val="22"/>
                <w:highlight w:val="none"/>
                <w:lang w:bidi="ar"/>
              </w:rPr>
              <w:t>68.44</w:t>
            </w:r>
          </w:p>
        </w:tc>
        <w:tc>
          <w:tcPr>
            <w:tcW w:w="1300" w:type="dxa"/>
            <w:tcBorders>
              <w:top w:val="nil"/>
              <w:left w:val="nil"/>
              <w:bottom w:val="single" w:color="auto" w:sz="4" w:space="0"/>
              <w:right w:val="single" w:color="auto" w:sz="4" w:space="0"/>
            </w:tcBorders>
            <w:shd w:val="clear" w:color="auto" w:fill="auto"/>
            <w:noWrap/>
            <w:vAlign w:val="center"/>
          </w:tcPr>
          <w:p>
            <w:pPr>
              <w:widowControl/>
              <w:jc w:val="center"/>
              <w:textAlignment w:val="bottom"/>
              <w:rPr>
                <w:rFonts w:hint="default" w:ascii="Times New Roman" w:hAnsi="Times New Roman" w:eastAsia="宋体" w:cs="Times New Roman"/>
                <w:bCs/>
                <w:color w:val="auto"/>
                <w:kern w:val="0"/>
                <w:sz w:val="22"/>
                <w:highlight w:val="none"/>
              </w:rPr>
            </w:pPr>
            <w:r>
              <w:rPr>
                <w:rFonts w:hint="default" w:ascii="Times New Roman" w:hAnsi="Times New Roman" w:eastAsia="宋体" w:cs="Times New Roman"/>
                <w:bCs/>
                <w:color w:val="auto"/>
                <w:kern w:val="0"/>
                <w:sz w:val="22"/>
                <w:highlight w:val="none"/>
                <w:lang w:bidi="ar"/>
              </w:rPr>
              <w:t>181.87</w:t>
            </w:r>
          </w:p>
        </w:tc>
      </w:tr>
    </w:tbl>
    <w:p>
      <w:pPr>
        <w:widowControl/>
        <w:jc w:val="left"/>
        <w:rPr>
          <w:rFonts w:hint="default" w:ascii="Times New Roman" w:hAnsi="Times New Roman" w:cs="Times New Roman"/>
          <w:color w:val="auto"/>
          <w:highlight w:val="none"/>
        </w:rPr>
      </w:pPr>
    </w:p>
    <w:p>
      <w:pPr>
        <w:widowControl/>
        <w:jc w:val="left"/>
        <w:rPr>
          <w:rFonts w:hint="default" w:ascii="Times New Roman" w:hAnsi="Times New Roman" w:cs="Times New Roman"/>
          <w:color w:val="auto"/>
          <w:highlight w:val="none"/>
        </w:rPr>
      </w:pPr>
    </w:p>
    <w:p>
      <w:pPr>
        <w:widowControl/>
        <w:jc w:val="left"/>
        <w:rPr>
          <w:rFonts w:hint="default" w:ascii="Times New Roman" w:hAnsi="Times New Roman" w:cs="Times New Roman"/>
          <w:color w:val="auto"/>
          <w:highlight w:val="none"/>
        </w:rPr>
      </w:pPr>
    </w:p>
    <w:p>
      <w:pPr>
        <w:jc w:val="center"/>
        <w:rPr>
          <w:rFonts w:hint="default" w:ascii="Times New Roman" w:hAnsi="Times New Roman" w:cs="Times New Roman"/>
          <w:color w:val="auto"/>
          <w:highlight w:val="none"/>
        </w:rPr>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46468223"/>
    </w:sdtPr>
    <w:sdtContent>
      <w:p>
        <w:pPr>
          <w:pStyle w:val="14"/>
          <w:ind w:firstLine="422"/>
          <w:jc w:val="center"/>
        </w:pPr>
        <w:r>
          <w:fldChar w:fldCharType="begin"/>
        </w:r>
        <w:r>
          <w:instrText xml:space="preserve">PAGE   \* MERGEFORMAT</w:instrText>
        </w:r>
        <w:r>
          <w:fldChar w:fldCharType="separate"/>
        </w:r>
        <w:r>
          <w:rPr>
            <w:lang w:val="zh-CN"/>
          </w:rPr>
          <w:t>1</w:t>
        </w:r>
        <w:r>
          <w:fldChar w:fldCharType="end"/>
        </w:r>
      </w:p>
    </w:sdtContent>
  </w:sdt>
  <w:p>
    <w:pPr>
      <w:pStyle w:val="14"/>
      <w:rPr>
        <w:rFonts w:ascii="Times New Roman" w:hAnsi="Times New Roman" w:cs="Times New Roman"/>
        <w:sz w:val="21"/>
        <w:szCs w:val="21"/>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hideGrammatical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7F1F"/>
    <w:rsid w:val="000004D8"/>
    <w:rsid w:val="00000551"/>
    <w:rsid w:val="0000158B"/>
    <w:rsid w:val="00001A29"/>
    <w:rsid w:val="00002084"/>
    <w:rsid w:val="00002ACB"/>
    <w:rsid w:val="000031C5"/>
    <w:rsid w:val="0000357B"/>
    <w:rsid w:val="000059B1"/>
    <w:rsid w:val="00007377"/>
    <w:rsid w:val="00011BA0"/>
    <w:rsid w:val="00012500"/>
    <w:rsid w:val="0001308A"/>
    <w:rsid w:val="00013C23"/>
    <w:rsid w:val="00013D08"/>
    <w:rsid w:val="000148FC"/>
    <w:rsid w:val="00015510"/>
    <w:rsid w:val="00015C08"/>
    <w:rsid w:val="00016956"/>
    <w:rsid w:val="00017028"/>
    <w:rsid w:val="0001714C"/>
    <w:rsid w:val="0002068E"/>
    <w:rsid w:val="00020E6D"/>
    <w:rsid w:val="00020EFA"/>
    <w:rsid w:val="00021C50"/>
    <w:rsid w:val="0002367F"/>
    <w:rsid w:val="000253A0"/>
    <w:rsid w:val="0002655F"/>
    <w:rsid w:val="000272DB"/>
    <w:rsid w:val="0002737B"/>
    <w:rsid w:val="0003080E"/>
    <w:rsid w:val="000312B3"/>
    <w:rsid w:val="000313DC"/>
    <w:rsid w:val="00031F9E"/>
    <w:rsid w:val="00032FF9"/>
    <w:rsid w:val="00034444"/>
    <w:rsid w:val="00035579"/>
    <w:rsid w:val="0003593B"/>
    <w:rsid w:val="00035C32"/>
    <w:rsid w:val="00035DC1"/>
    <w:rsid w:val="00040AF9"/>
    <w:rsid w:val="00041076"/>
    <w:rsid w:val="00042E49"/>
    <w:rsid w:val="000430BD"/>
    <w:rsid w:val="000470A9"/>
    <w:rsid w:val="00047782"/>
    <w:rsid w:val="00050ACD"/>
    <w:rsid w:val="00052032"/>
    <w:rsid w:val="000525BB"/>
    <w:rsid w:val="00053ABD"/>
    <w:rsid w:val="0005478D"/>
    <w:rsid w:val="00054F31"/>
    <w:rsid w:val="00055217"/>
    <w:rsid w:val="00055706"/>
    <w:rsid w:val="00055B95"/>
    <w:rsid w:val="00056171"/>
    <w:rsid w:val="000572E7"/>
    <w:rsid w:val="00057C3E"/>
    <w:rsid w:val="000605B7"/>
    <w:rsid w:val="0006065A"/>
    <w:rsid w:val="00061013"/>
    <w:rsid w:val="00061C19"/>
    <w:rsid w:val="00061E7D"/>
    <w:rsid w:val="00062BAD"/>
    <w:rsid w:val="00062E2B"/>
    <w:rsid w:val="000646F8"/>
    <w:rsid w:val="0006786B"/>
    <w:rsid w:val="00067D09"/>
    <w:rsid w:val="00070626"/>
    <w:rsid w:val="000726AC"/>
    <w:rsid w:val="000733C5"/>
    <w:rsid w:val="00073A82"/>
    <w:rsid w:val="00073B29"/>
    <w:rsid w:val="00073D1F"/>
    <w:rsid w:val="00074158"/>
    <w:rsid w:val="000744FE"/>
    <w:rsid w:val="000758E2"/>
    <w:rsid w:val="0007728B"/>
    <w:rsid w:val="00082155"/>
    <w:rsid w:val="00082E6A"/>
    <w:rsid w:val="00083796"/>
    <w:rsid w:val="00085389"/>
    <w:rsid w:val="0008565C"/>
    <w:rsid w:val="00085D84"/>
    <w:rsid w:val="000864D8"/>
    <w:rsid w:val="000905A1"/>
    <w:rsid w:val="000918B5"/>
    <w:rsid w:val="00093B5E"/>
    <w:rsid w:val="00094607"/>
    <w:rsid w:val="00094719"/>
    <w:rsid w:val="00094A0B"/>
    <w:rsid w:val="0009736B"/>
    <w:rsid w:val="00097D5B"/>
    <w:rsid w:val="000A0F42"/>
    <w:rsid w:val="000A1867"/>
    <w:rsid w:val="000A21FA"/>
    <w:rsid w:val="000A3640"/>
    <w:rsid w:val="000A43FA"/>
    <w:rsid w:val="000A7351"/>
    <w:rsid w:val="000A761E"/>
    <w:rsid w:val="000B0577"/>
    <w:rsid w:val="000B2343"/>
    <w:rsid w:val="000B2346"/>
    <w:rsid w:val="000B274C"/>
    <w:rsid w:val="000B2C1C"/>
    <w:rsid w:val="000B492D"/>
    <w:rsid w:val="000B62A4"/>
    <w:rsid w:val="000B7228"/>
    <w:rsid w:val="000C0303"/>
    <w:rsid w:val="000C1A91"/>
    <w:rsid w:val="000C38A2"/>
    <w:rsid w:val="000C4A13"/>
    <w:rsid w:val="000C6831"/>
    <w:rsid w:val="000C7068"/>
    <w:rsid w:val="000C7651"/>
    <w:rsid w:val="000C78EC"/>
    <w:rsid w:val="000D0A97"/>
    <w:rsid w:val="000D129E"/>
    <w:rsid w:val="000D23DD"/>
    <w:rsid w:val="000D2653"/>
    <w:rsid w:val="000D5BAB"/>
    <w:rsid w:val="000D67D3"/>
    <w:rsid w:val="000D68E1"/>
    <w:rsid w:val="000D6973"/>
    <w:rsid w:val="000E00D9"/>
    <w:rsid w:val="000E2403"/>
    <w:rsid w:val="000E3067"/>
    <w:rsid w:val="000E5663"/>
    <w:rsid w:val="000E60EE"/>
    <w:rsid w:val="000E7D42"/>
    <w:rsid w:val="000F09CE"/>
    <w:rsid w:val="000F0F53"/>
    <w:rsid w:val="000F1E51"/>
    <w:rsid w:val="000F220C"/>
    <w:rsid w:val="000F2531"/>
    <w:rsid w:val="000F34C9"/>
    <w:rsid w:val="000F3B27"/>
    <w:rsid w:val="000F566A"/>
    <w:rsid w:val="000F6180"/>
    <w:rsid w:val="000F6FE9"/>
    <w:rsid w:val="001000E8"/>
    <w:rsid w:val="001003E5"/>
    <w:rsid w:val="00101195"/>
    <w:rsid w:val="00101BD1"/>
    <w:rsid w:val="001023DD"/>
    <w:rsid w:val="0010437B"/>
    <w:rsid w:val="00105B25"/>
    <w:rsid w:val="00107414"/>
    <w:rsid w:val="00110474"/>
    <w:rsid w:val="00111709"/>
    <w:rsid w:val="00111A2A"/>
    <w:rsid w:val="0011363C"/>
    <w:rsid w:val="00113CEB"/>
    <w:rsid w:val="0011424A"/>
    <w:rsid w:val="00114B6E"/>
    <w:rsid w:val="0012119D"/>
    <w:rsid w:val="001219E2"/>
    <w:rsid w:val="001262A6"/>
    <w:rsid w:val="00126768"/>
    <w:rsid w:val="001275A8"/>
    <w:rsid w:val="00132B10"/>
    <w:rsid w:val="00133049"/>
    <w:rsid w:val="0013328A"/>
    <w:rsid w:val="00133E3E"/>
    <w:rsid w:val="00134688"/>
    <w:rsid w:val="00136390"/>
    <w:rsid w:val="001402B6"/>
    <w:rsid w:val="00141426"/>
    <w:rsid w:val="00141EB6"/>
    <w:rsid w:val="00142405"/>
    <w:rsid w:val="00144356"/>
    <w:rsid w:val="00145288"/>
    <w:rsid w:val="00147E90"/>
    <w:rsid w:val="0015015E"/>
    <w:rsid w:val="00150CCE"/>
    <w:rsid w:val="00150E4B"/>
    <w:rsid w:val="00151642"/>
    <w:rsid w:val="00153D80"/>
    <w:rsid w:val="001549E5"/>
    <w:rsid w:val="001554A8"/>
    <w:rsid w:val="00157BCC"/>
    <w:rsid w:val="00160026"/>
    <w:rsid w:val="00160A00"/>
    <w:rsid w:val="00161043"/>
    <w:rsid w:val="001616DC"/>
    <w:rsid w:val="001634EF"/>
    <w:rsid w:val="00163984"/>
    <w:rsid w:val="00163E2F"/>
    <w:rsid w:val="001641D0"/>
    <w:rsid w:val="00165F62"/>
    <w:rsid w:val="001670CE"/>
    <w:rsid w:val="00167694"/>
    <w:rsid w:val="00170695"/>
    <w:rsid w:val="00170DB9"/>
    <w:rsid w:val="001715AC"/>
    <w:rsid w:val="0017317A"/>
    <w:rsid w:val="00173B74"/>
    <w:rsid w:val="001741BA"/>
    <w:rsid w:val="00174837"/>
    <w:rsid w:val="00174F89"/>
    <w:rsid w:val="00175B31"/>
    <w:rsid w:val="0017680C"/>
    <w:rsid w:val="001769E6"/>
    <w:rsid w:val="00181012"/>
    <w:rsid w:val="00182589"/>
    <w:rsid w:val="001828FD"/>
    <w:rsid w:val="00184B72"/>
    <w:rsid w:val="00193D38"/>
    <w:rsid w:val="0019487E"/>
    <w:rsid w:val="00194B4C"/>
    <w:rsid w:val="001952C5"/>
    <w:rsid w:val="0019599D"/>
    <w:rsid w:val="00196D16"/>
    <w:rsid w:val="00197E04"/>
    <w:rsid w:val="001A0221"/>
    <w:rsid w:val="001A0891"/>
    <w:rsid w:val="001A27CB"/>
    <w:rsid w:val="001A2E60"/>
    <w:rsid w:val="001A4F8A"/>
    <w:rsid w:val="001A54EE"/>
    <w:rsid w:val="001A5660"/>
    <w:rsid w:val="001A5D38"/>
    <w:rsid w:val="001A6280"/>
    <w:rsid w:val="001A62C1"/>
    <w:rsid w:val="001B17BF"/>
    <w:rsid w:val="001B22CB"/>
    <w:rsid w:val="001B24CE"/>
    <w:rsid w:val="001B30BB"/>
    <w:rsid w:val="001B31D0"/>
    <w:rsid w:val="001B3D46"/>
    <w:rsid w:val="001B5C6E"/>
    <w:rsid w:val="001B60F0"/>
    <w:rsid w:val="001B6A10"/>
    <w:rsid w:val="001B79C7"/>
    <w:rsid w:val="001C1479"/>
    <w:rsid w:val="001C16BF"/>
    <w:rsid w:val="001C1F9F"/>
    <w:rsid w:val="001C2056"/>
    <w:rsid w:val="001C2B7C"/>
    <w:rsid w:val="001C3021"/>
    <w:rsid w:val="001C33D3"/>
    <w:rsid w:val="001C3514"/>
    <w:rsid w:val="001C3A6E"/>
    <w:rsid w:val="001C4DAA"/>
    <w:rsid w:val="001C53AA"/>
    <w:rsid w:val="001C5683"/>
    <w:rsid w:val="001C56F7"/>
    <w:rsid w:val="001C7402"/>
    <w:rsid w:val="001D2717"/>
    <w:rsid w:val="001D70DA"/>
    <w:rsid w:val="001E5C87"/>
    <w:rsid w:val="001E7CEC"/>
    <w:rsid w:val="001F06AA"/>
    <w:rsid w:val="001F1D9F"/>
    <w:rsid w:val="001F2C2D"/>
    <w:rsid w:val="001F3D3C"/>
    <w:rsid w:val="001F49A6"/>
    <w:rsid w:val="001F50D4"/>
    <w:rsid w:val="001F63F7"/>
    <w:rsid w:val="001F737F"/>
    <w:rsid w:val="002008BE"/>
    <w:rsid w:val="00200F15"/>
    <w:rsid w:val="00202BC1"/>
    <w:rsid w:val="00203FF3"/>
    <w:rsid w:val="00204DD3"/>
    <w:rsid w:val="00205687"/>
    <w:rsid w:val="00206ADE"/>
    <w:rsid w:val="00207C27"/>
    <w:rsid w:val="00210D61"/>
    <w:rsid w:val="00211560"/>
    <w:rsid w:val="00211F90"/>
    <w:rsid w:val="002134FE"/>
    <w:rsid w:val="00214401"/>
    <w:rsid w:val="002149DC"/>
    <w:rsid w:val="00214B25"/>
    <w:rsid w:val="002155E8"/>
    <w:rsid w:val="00216419"/>
    <w:rsid w:val="00217526"/>
    <w:rsid w:val="00220588"/>
    <w:rsid w:val="00221933"/>
    <w:rsid w:val="00222819"/>
    <w:rsid w:val="002240D2"/>
    <w:rsid w:val="002242AE"/>
    <w:rsid w:val="002246D5"/>
    <w:rsid w:val="00224E76"/>
    <w:rsid w:val="002251C1"/>
    <w:rsid w:val="00226308"/>
    <w:rsid w:val="00231090"/>
    <w:rsid w:val="002310E7"/>
    <w:rsid w:val="00233328"/>
    <w:rsid w:val="00234A18"/>
    <w:rsid w:val="002350D3"/>
    <w:rsid w:val="002353E5"/>
    <w:rsid w:val="002354BE"/>
    <w:rsid w:val="002354EB"/>
    <w:rsid w:val="002358D8"/>
    <w:rsid w:val="0023611B"/>
    <w:rsid w:val="002371A5"/>
    <w:rsid w:val="002372FF"/>
    <w:rsid w:val="00237E94"/>
    <w:rsid w:val="002404AB"/>
    <w:rsid w:val="002458CC"/>
    <w:rsid w:val="00247C47"/>
    <w:rsid w:val="002506C4"/>
    <w:rsid w:val="002507DB"/>
    <w:rsid w:val="00250B5A"/>
    <w:rsid w:val="00252149"/>
    <w:rsid w:val="00252397"/>
    <w:rsid w:val="002529DF"/>
    <w:rsid w:val="002533D9"/>
    <w:rsid w:val="00253705"/>
    <w:rsid w:val="00254A9C"/>
    <w:rsid w:val="002552D4"/>
    <w:rsid w:val="00255D5E"/>
    <w:rsid w:val="00256958"/>
    <w:rsid w:val="00256D1A"/>
    <w:rsid w:val="00256EB7"/>
    <w:rsid w:val="00260007"/>
    <w:rsid w:val="00260354"/>
    <w:rsid w:val="00260D3D"/>
    <w:rsid w:val="00261864"/>
    <w:rsid w:val="00261B7A"/>
    <w:rsid w:val="00264740"/>
    <w:rsid w:val="00264FC9"/>
    <w:rsid w:val="00265100"/>
    <w:rsid w:val="002653CF"/>
    <w:rsid w:val="00265BDC"/>
    <w:rsid w:val="0026672B"/>
    <w:rsid w:val="00266810"/>
    <w:rsid w:val="0026691A"/>
    <w:rsid w:val="00267B05"/>
    <w:rsid w:val="0027086A"/>
    <w:rsid w:val="00271D76"/>
    <w:rsid w:val="00272090"/>
    <w:rsid w:val="00274E14"/>
    <w:rsid w:val="002752B8"/>
    <w:rsid w:val="002762A5"/>
    <w:rsid w:val="00277DC9"/>
    <w:rsid w:val="00280DB8"/>
    <w:rsid w:val="00281846"/>
    <w:rsid w:val="00281EEC"/>
    <w:rsid w:val="00282402"/>
    <w:rsid w:val="00283FA4"/>
    <w:rsid w:val="00285291"/>
    <w:rsid w:val="002862B5"/>
    <w:rsid w:val="00286FD3"/>
    <w:rsid w:val="00290578"/>
    <w:rsid w:val="002908B1"/>
    <w:rsid w:val="00290ADD"/>
    <w:rsid w:val="002911A0"/>
    <w:rsid w:val="0029236A"/>
    <w:rsid w:val="002935AC"/>
    <w:rsid w:val="00293924"/>
    <w:rsid w:val="00295AB0"/>
    <w:rsid w:val="00296BE2"/>
    <w:rsid w:val="00297549"/>
    <w:rsid w:val="00297FC5"/>
    <w:rsid w:val="002A20BC"/>
    <w:rsid w:val="002A3108"/>
    <w:rsid w:val="002A3AE1"/>
    <w:rsid w:val="002A42D2"/>
    <w:rsid w:val="002A4591"/>
    <w:rsid w:val="002A55A6"/>
    <w:rsid w:val="002A6C52"/>
    <w:rsid w:val="002A6E03"/>
    <w:rsid w:val="002A737C"/>
    <w:rsid w:val="002A7BF5"/>
    <w:rsid w:val="002B0804"/>
    <w:rsid w:val="002B1E2C"/>
    <w:rsid w:val="002B49F7"/>
    <w:rsid w:val="002B500F"/>
    <w:rsid w:val="002B5CE0"/>
    <w:rsid w:val="002B5D63"/>
    <w:rsid w:val="002B5E3B"/>
    <w:rsid w:val="002B7082"/>
    <w:rsid w:val="002B7F7D"/>
    <w:rsid w:val="002C2FBD"/>
    <w:rsid w:val="002C42D5"/>
    <w:rsid w:val="002C5D92"/>
    <w:rsid w:val="002C6B3A"/>
    <w:rsid w:val="002C7ED1"/>
    <w:rsid w:val="002D000B"/>
    <w:rsid w:val="002D0EA7"/>
    <w:rsid w:val="002D2B68"/>
    <w:rsid w:val="002D31E0"/>
    <w:rsid w:val="002D4299"/>
    <w:rsid w:val="002D51B0"/>
    <w:rsid w:val="002D5D9C"/>
    <w:rsid w:val="002D7E2F"/>
    <w:rsid w:val="002E0F18"/>
    <w:rsid w:val="002E29D3"/>
    <w:rsid w:val="002E3044"/>
    <w:rsid w:val="002E3D78"/>
    <w:rsid w:val="002E4B74"/>
    <w:rsid w:val="002E5918"/>
    <w:rsid w:val="002E6046"/>
    <w:rsid w:val="002F1B40"/>
    <w:rsid w:val="002F258C"/>
    <w:rsid w:val="002F29A1"/>
    <w:rsid w:val="002F3FBF"/>
    <w:rsid w:val="002F4524"/>
    <w:rsid w:val="002F481D"/>
    <w:rsid w:val="002F5012"/>
    <w:rsid w:val="002F7FA9"/>
    <w:rsid w:val="003025C1"/>
    <w:rsid w:val="0030267F"/>
    <w:rsid w:val="003033E3"/>
    <w:rsid w:val="00303EFA"/>
    <w:rsid w:val="003048B8"/>
    <w:rsid w:val="0030541A"/>
    <w:rsid w:val="00306BE1"/>
    <w:rsid w:val="00307D9F"/>
    <w:rsid w:val="00312854"/>
    <w:rsid w:val="00314DBF"/>
    <w:rsid w:val="00314E89"/>
    <w:rsid w:val="003153BA"/>
    <w:rsid w:val="00320988"/>
    <w:rsid w:val="00321455"/>
    <w:rsid w:val="00321CEB"/>
    <w:rsid w:val="00323A00"/>
    <w:rsid w:val="00324927"/>
    <w:rsid w:val="00326426"/>
    <w:rsid w:val="00327244"/>
    <w:rsid w:val="003274EB"/>
    <w:rsid w:val="0033079D"/>
    <w:rsid w:val="00330981"/>
    <w:rsid w:val="00330CCC"/>
    <w:rsid w:val="00331533"/>
    <w:rsid w:val="00331A6A"/>
    <w:rsid w:val="00332251"/>
    <w:rsid w:val="00332396"/>
    <w:rsid w:val="0033298F"/>
    <w:rsid w:val="00336651"/>
    <w:rsid w:val="003472EC"/>
    <w:rsid w:val="00347BC8"/>
    <w:rsid w:val="00350546"/>
    <w:rsid w:val="003515FA"/>
    <w:rsid w:val="00351965"/>
    <w:rsid w:val="00353398"/>
    <w:rsid w:val="0035375A"/>
    <w:rsid w:val="003551D6"/>
    <w:rsid w:val="003551F9"/>
    <w:rsid w:val="0035623C"/>
    <w:rsid w:val="003607A2"/>
    <w:rsid w:val="0036082D"/>
    <w:rsid w:val="00360F2E"/>
    <w:rsid w:val="00361A25"/>
    <w:rsid w:val="00362B21"/>
    <w:rsid w:val="00367BFC"/>
    <w:rsid w:val="00367DF3"/>
    <w:rsid w:val="003711F6"/>
    <w:rsid w:val="00373AC0"/>
    <w:rsid w:val="00373DAE"/>
    <w:rsid w:val="00374E9A"/>
    <w:rsid w:val="00377B58"/>
    <w:rsid w:val="00380F7C"/>
    <w:rsid w:val="003838B2"/>
    <w:rsid w:val="0038520F"/>
    <w:rsid w:val="00386EA0"/>
    <w:rsid w:val="00387236"/>
    <w:rsid w:val="00387970"/>
    <w:rsid w:val="00391334"/>
    <w:rsid w:val="003914C9"/>
    <w:rsid w:val="003930D2"/>
    <w:rsid w:val="00394918"/>
    <w:rsid w:val="003959AF"/>
    <w:rsid w:val="00397E57"/>
    <w:rsid w:val="003A1CC4"/>
    <w:rsid w:val="003A215F"/>
    <w:rsid w:val="003A2E03"/>
    <w:rsid w:val="003A3A15"/>
    <w:rsid w:val="003A4286"/>
    <w:rsid w:val="003A4D4D"/>
    <w:rsid w:val="003A57C5"/>
    <w:rsid w:val="003A65A3"/>
    <w:rsid w:val="003A7226"/>
    <w:rsid w:val="003A7651"/>
    <w:rsid w:val="003A781A"/>
    <w:rsid w:val="003A7AA4"/>
    <w:rsid w:val="003B0473"/>
    <w:rsid w:val="003B2A2C"/>
    <w:rsid w:val="003B3B2E"/>
    <w:rsid w:val="003B3EBA"/>
    <w:rsid w:val="003B7E75"/>
    <w:rsid w:val="003C0165"/>
    <w:rsid w:val="003C21C6"/>
    <w:rsid w:val="003C2C3B"/>
    <w:rsid w:val="003D1513"/>
    <w:rsid w:val="003D4AD0"/>
    <w:rsid w:val="003D4B0E"/>
    <w:rsid w:val="003D52DF"/>
    <w:rsid w:val="003D6F05"/>
    <w:rsid w:val="003E070D"/>
    <w:rsid w:val="003E1ECE"/>
    <w:rsid w:val="003E2375"/>
    <w:rsid w:val="003E63BC"/>
    <w:rsid w:val="003E6E8D"/>
    <w:rsid w:val="003F01A2"/>
    <w:rsid w:val="003F2274"/>
    <w:rsid w:val="003F26E2"/>
    <w:rsid w:val="003F3180"/>
    <w:rsid w:val="003F3939"/>
    <w:rsid w:val="003F4435"/>
    <w:rsid w:val="003F4E7D"/>
    <w:rsid w:val="003F53B8"/>
    <w:rsid w:val="003F5B06"/>
    <w:rsid w:val="004011B6"/>
    <w:rsid w:val="00401D36"/>
    <w:rsid w:val="004064D1"/>
    <w:rsid w:val="0040715D"/>
    <w:rsid w:val="00407347"/>
    <w:rsid w:val="00410EBB"/>
    <w:rsid w:val="00412431"/>
    <w:rsid w:val="00413578"/>
    <w:rsid w:val="0041411C"/>
    <w:rsid w:val="00414C92"/>
    <w:rsid w:val="0041536B"/>
    <w:rsid w:val="00415F4C"/>
    <w:rsid w:val="00416150"/>
    <w:rsid w:val="0041663D"/>
    <w:rsid w:val="00416A63"/>
    <w:rsid w:val="00417DE3"/>
    <w:rsid w:val="0042082C"/>
    <w:rsid w:val="00420F88"/>
    <w:rsid w:val="004223F3"/>
    <w:rsid w:val="00422949"/>
    <w:rsid w:val="00422966"/>
    <w:rsid w:val="004247D0"/>
    <w:rsid w:val="00425C8B"/>
    <w:rsid w:val="00425DF6"/>
    <w:rsid w:val="004275C2"/>
    <w:rsid w:val="004277C2"/>
    <w:rsid w:val="004306AA"/>
    <w:rsid w:val="0043201B"/>
    <w:rsid w:val="00432C21"/>
    <w:rsid w:val="00434A7C"/>
    <w:rsid w:val="004356E8"/>
    <w:rsid w:val="00437A66"/>
    <w:rsid w:val="004405C6"/>
    <w:rsid w:val="00440B2B"/>
    <w:rsid w:val="0044112D"/>
    <w:rsid w:val="004415E7"/>
    <w:rsid w:val="00441F63"/>
    <w:rsid w:val="00442759"/>
    <w:rsid w:val="00442ECB"/>
    <w:rsid w:val="00443662"/>
    <w:rsid w:val="00443DDA"/>
    <w:rsid w:val="0044457D"/>
    <w:rsid w:val="0044475C"/>
    <w:rsid w:val="00444CD2"/>
    <w:rsid w:val="00444FC4"/>
    <w:rsid w:val="00445C73"/>
    <w:rsid w:val="00446072"/>
    <w:rsid w:val="00446165"/>
    <w:rsid w:val="00446ADB"/>
    <w:rsid w:val="004476C4"/>
    <w:rsid w:val="0044773D"/>
    <w:rsid w:val="00447D0E"/>
    <w:rsid w:val="00447F6F"/>
    <w:rsid w:val="00450F9A"/>
    <w:rsid w:val="00451C15"/>
    <w:rsid w:val="00453BC0"/>
    <w:rsid w:val="00457F2B"/>
    <w:rsid w:val="00461716"/>
    <w:rsid w:val="00461989"/>
    <w:rsid w:val="00462A29"/>
    <w:rsid w:val="00462BEC"/>
    <w:rsid w:val="00462E16"/>
    <w:rsid w:val="00464279"/>
    <w:rsid w:val="00465843"/>
    <w:rsid w:val="00465A3A"/>
    <w:rsid w:val="00467C28"/>
    <w:rsid w:val="00471794"/>
    <w:rsid w:val="00471956"/>
    <w:rsid w:val="00474E3D"/>
    <w:rsid w:val="00480467"/>
    <w:rsid w:val="004815B7"/>
    <w:rsid w:val="0048160D"/>
    <w:rsid w:val="004822A0"/>
    <w:rsid w:val="00482BCD"/>
    <w:rsid w:val="00482C9C"/>
    <w:rsid w:val="00483A7E"/>
    <w:rsid w:val="004845D5"/>
    <w:rsid w:val="0048583E"/>
    <w:rsid w:val="00485DE0"/>
    <w:rsid w:val="00485EE2"/>
    <w:rsid w:val="00491D46"/>
    <w:rsid w:val="004934BE"/>
    <w:rsid w:val="00496CFB"/>
    <w:rsid w:val="0049712F"/>
    <w:rsid w:val="004A017A"/>
    <w:rsid w:val="004A1435"/>
    <w:rsid w:val="004A30D8"/>
    <w:rsid w:val="004A3F72"/>
    <w:rsid w:val="004A4370"/>
    <w:rsid w:val="004A4C47"/>
    <w:rsid w:val="004A7627"/>
    <w:rsid w:val="004A7C8D"/>
    <w:rsid w:val="004B12E3"/>
    <w:rsid w:val="004B34C0"/>
    <w:rsid w:val="004B3BB1"/>
    <w:rsid w:val="004C11EE"/>
    <w:rsid w:val="004C1581"/>
    <w:rsid w:val="004C1C17"/>
    <w:rsid w:val="004C1E05"/>
    <w:rsid w:val="004C6BB1"/>
    <w:rsid w:val="004C74FD"/>
    <w:rsid w:val="004D075B"/>
    <w:rsid w:val="004D117E"/>
    <w:rsid w:val="004D1E5E"/>
    <w:rsid w:val="004D2E09"/>
    <w:rsid w:val="004D2FAA"/>
    <w:rsid w:val="004D5288"/>
    <w:rsid w:val="004D5726"/>
    <w:rsid w:val="004D68D3"/>
    <w:rsid w:val="004D6A60"/>
    <w:rsid w:val="004D6BBA"/>
    <w:rsid w:val="004D7D61"/>
    <w:rsid w:val="004E03BC"/>
    <w:rsid w:val="004E3487"/>
    <w:rsid w:val="004E4E51"/>
    <w:rsid w:val="004E55EA"/>
    <w:rsid w:val="004E7DFC"/>
    <w:rsid w:val="004F31CE"/>
    <w:rsid w:val="004F3D23"/>
    <w:rsid w:val="004F444B"/>
    <w:rsid w:val="004F497E"/>
    <w:rsid w:val="004F69F2"/>
    <w:rsid w:val="004F7679"/>
    <w:rsid w:val="004F7E55"/>
    <w:rsid w:val="005026AA"/>
    <w:rsid w:val="005032D2"/>
    <w:rsid w:val="00503571"/>
    <w:rsid w:val="00504DA7"/>
    <w:rsid w:val="00506F12"/>
    <w:rsid w:val="00507695"/>
    <w:rsid w:val="00510060"/>
    <w:rsid w:val="00511FB9"/>
    <w:rsid w:val="00515A8F"/>
    <w:rsid w:val="00516C5A"/>
    <w:rsid w:val="00520B5F"/>
    <w:rsid w:val="00520E55"/>
    <w:rsid w:val="0052423B"/>
    <w:rsid w:val="00525141"/>
    <w:rsid w:val="0052532A"/>
    <w:rsid w:val="005259B9"/>
    <w:rsid w:val="0052677B"/>
    <w:rsid w:val="005271AB"/>
    <w:rsid w:val="00527D8C"/>
    <w:rsid w:val="005300D8"/>
    <w:rsid w:val="005304B0"/>
    <w:rsid w:val="00533012"/>
    <w:rsid w:val="0053396F"/>
    <w:rsid w:val="005344D2"/>
    <w:rsid w:val="005354EE"/>
    <w:rsid w:val="005362A4"/>
    <w:rsid w:val="0053678E"/>
    <w:rsid w:val="005417FB"/>
    <w:rsid w:val="00541BC6"/>
    <w:rsid w:val="005426CD"/>
    <w:rsid w:val="00542955"/>
    <w:rsid w:val="00543FA4"/>
    <w:rsid w:val="0054453B"/>
    <w:rsid w:val="005457FD"/>
    <w:rsid w:val="00545BFA"/>
    <w:rsid w:val="00546E26"/>
    <w:rsid w:val="00547F8F"/>
    <w:rsid w:val="005506C4"/>
    <w:rsid w:val="0055183F"/>
    <w:rsid w:val="00551EC2"/>
    <w:rsid w:val="005520F8"/>
    <w:rsid w:val="005525B6"/>
    <w:rsid w:val="0055668F"/>
    <w:rsid w:val="00560F09"/>
    <w:rsid w:val="00561678"/>
    <w:rsid w:val="00562D21"/>
    <w:rsid w:val="00565521"/>
    <w:rsid w:val="00566FEB"/>
    <w:rsid w:val="00571092"/>
    <w:rsid w:val="0057276C"/>
    <w:rsid w:val="00573585"/>
    <w:rsid w:val="00575F59"/>
    <w:rsid w:val="00576B2A"/>
    <w:rsid w:val="00576F4B"/>
    <w:rsid w:val="00581586"/>
    <w:rsid w:val="00581BB4"/>
    <w:rsid w:val="0058296B"/>
    <w:rsid w:val="00582D12"/>
    <w:rsid w:val="0058389B"/>
    <w:rsid w:val="00584830"/>
    <w:rsid w:val="00584A39"/>
    <w:rsid w:val="0058529F"/>
    <w:rsid w:val="00585563"/>
    <w:rsid w:val="00585762"/>
    <w:rsid w:val="00587699"/>
    <w:rsid w:val="00590A20"/>
    <w:rsid w:val="0059151C"/>
    <w:rsid w:val="005951EF"/>
    <w:rsid w:val="005955D1"/>
    <w:rsid w:val="00595D19"/>
    <w:rsid w:val="00596687"/>
    <w:rsid w:val="005969AF"/>
    <w:rsid w:val="005A00F8"/>
    <w:rsid w:val="005A12E2"/>
    <w:rsid w:val="005A1845"/>
    <w:rsid w:val="005A29B7"/>
    <w:rsid w:val="005A29B9"/>
    <w:rsid w:val="005A33C8"/>
    <w:rsid w:val="005A43F0"/>
    <w:rsid w:val="005A4CF9"/>
    <w:rsid w:val="005A6421"/>
    <w:rsid w:val="005A6551"/>
    <w:rsid w:val="005A78FA"/>
    <w:rsid w:val="005A7F8A"/>
    <w:rsid w:val="005B113C"/>
    <w:rsid w:val="005B11E9"/>
    <w:rsid w:val="005B53B9"/>
    <w:rsid w:val="005B580D"/>
    <w:rsid w:val="005B5FBA"/>
    <w:rsid w:val="005B6922"/>
    <w:rsid w:val="005B6AC1"/>
    <w:rsid w:val="005B6D17"/>
    <w:rsid w:val="005B714E"/>
    <w:rsid w:val="005B77FC"/>
    <w:rsid w:val="005B7A0F"/>
    <w:rsid w:val="005B7D79"/>
    <w:rsid w:val="005C00E2"/>
    <w:rsid w:val="005C01E7"/>
    <w:rsid w:val="005C26F3"/>
    <w:rsid w:val="005C31C4"/>
    <w:rsid w:val="005C4440"/>
    <w:rsid w:val="005C535B"/>
    <w:rsid w:val="005C56EC"/>
    <w:rsid w:val="005C7A48"/>
    <w:rsid w:val="005D0380"/>
    <w:rsid w:val="005D14EA"/>
    <w:rsid w:val="005D196D"/>
    <w:rsid w:val="005D27A6"/>
    <w:rsid w:val="005D479F"/>
    <w:rsid w:val="005D4B25"/>
    <w:rsid w:val="005D4E67"/>
    <w:rsid w:val="005D663A"/>
    <w:rsid w:val="005D7858"/>
    <w:rsid w:val="005E1DD0"/>
    <w:rsid w:val="005E2057"/>
    <w:rsid w:val="005E3087"/>
    <w:rsid w:val="005E3197"/>
    <w:rsid w:val="005E377F"/>
    <w:rsid w:val="005E3F53"/>
    <w:rsid w:val="005E41BB"/>
    <w:rsid w:val="005E497C"/>
    <w:rsid w:val="005E6488"/>
    <w:rsid w:val="005F131F"/>
    <w:rsid w:val="005F273D"/>
    <w:rsid w:val="005F2C4C"/>
    <w:rsid w:val="005F2F38"/>
    <w:rsid w:val="005F2FDA"/>
    <w:rsid w:val="005F310E"/>
    <w:rsid w:val="005F4138"/>
    <w:rsid w:val="005F5488"/>
    <w:rsid w:val="005F5BB9"/>
    <w:rsid w:val="005F5E9F"/>
    <w:rsid w:val="005F650D"/>
    <w:rsid w:val="005F7C94"/>
    <w:rsid w:val="006017A1"/>
    <w:rsid w:val="00604D06"/>
    <w:rsid w:val="00607299"/>
    <w:rsid w:val="00610116"/>
    <w:rsid w:val="00610D0A"/>
    <w:rsid w:val="00611149"/>
    <w:rsid w:val="0061144A"/>
    <w:rsid w:val="00612BC8"/>
    <w:rsid w:val="00613CEA"/>
    <w:rsid w:val="00615286"/>
    <w:rsid w:val="00616059"/>
    <w:rsid w:val="00620465"/>
    <w:rsid w:val="00620A8B"/>
    <w:rsid w:val="00621037"/>
    <w:rsid w:val="00621623"/>
    <w:rsid w:val="0062180D"/>
    <w:rsid w:val="006227C5"/>
    <w:rsid w:val="00625902"/>
    <w:rsid w:val="00626D5E"/>
    <w:rsid w:val="00630025"/>
    <w:rsid w:val="00630532"/>
    <w:rsid w:val="00632855"/>
    <w:rsid w:val="006345E4"/>
    <w:rsid w:val="00635281"/>
    <w:rsid w:val="006356F4"/>
    <w:rsid w:val="00637CEE"/>
    <w:rsid w:val="00641035"/>
    <w:rsid w:val="00642FD4"/>
    <w:rsid w:val="00643559"/>
    <w:rsid w:val="00644270"/>
    <w:rsid w:val="0064438C"/>
    <w:rsid w:val="006447CC"/>
    <w:rsid w:val="00644D11"/>
    <w:rsid w:val="00644FC7"/>
    <w:rsid w:val="006458C2"/>
    <w:rsid w:val="00651673"/>
    <w:rsid w:val="00651A84"/>
    <w:rsid w:val="00655BCF"/>
    <w:rsid w:val="00655E90"/>
    <w:rsid w:val="00655F93"/>
    <w:rsid w:val="00656213"/>
    <w:rsid w:val="006573FB"/>
    <w:rsid w:val="00660BDB"/>
    <w:rsid w:val="00662081"/>
    <w:rsid w:val="00663DC8"/>
    <w:rsid w:val="006669A3"/>
    <w:rsid w:val="00666CFF"/>
    <w:rsid w:val="00666EC5"/>
    <w:rsid w:val="00667D13"/>
    <w:rsid w:val="00670F01"/>
    <w:rsid w:val="0067333A"/>
    <w:rsid w:val="006739A7"/>
    <w:rsid w:val="00674E50"/>
    <w:rsid w:val="00674FE5"/>
    <w:rsid w:val="0067544F"/>
    <w:rsid w:val="00675CB9"/>
    <w:rsid w:val="006764DA"/>
    <w:rsid w:val="00677051"/>
    <w:rsid w:val="00677A0D"/>
    <w:rsid w:val="0068109B"/>
    <w:rsid w:val="0068130B"/>
    <w:rsid w:val="00681F2B"/>
    <w:rsid w:val="00683D98"/>
    <w:rsid w:val="00684B0F"/>
    <w:rsid w:val="006862F3"/>
    <w:rsid w:val="00687A90"/>
    <w:rsid w:val="00687C4F"/>
    <w:rsid w:val="0069076D"/>
    <w:rsid w:val="0069117E"/>
    <w:rsid w:val="00693F8A"/>
    <w:rsid w:val="00695876"/>
    <w:rsid w:val="00695B7F"/>
    <w:rsid w:val="006966C7"/>
    <w:rsid w:val="006A0187"/>
    <w:rsid w:val="006A0991"/>
    <w:rsid w:val="006A11CF"/>
    <w:rsid w:val="006A287A"/>
    <w:rsid w:val="006A54BF"/>
    <w:rsid w:val="006A5D61"/>
    <w:rsid w:val="006A600E"/>
    <w:rsid w:val="006A7269"/>
    <w:rsid w:val="006A7749"/>
    <w:rsid w:val="006B07BD"/>
    <w:rsid w:val="006B0B13"/>
    <w:rsid w:val="006B1599"/>
    <w:rsid w:val="006B1EDA"/>
    <w:rsid w:val="006B2DA8"/>
    <w:rsid w:val="006B3ADF"/>
    <w:rsid w:val="006B69E2"/>
    <w:rsid w:val="006B6C88"/>
    <w:rsid w:val="006B7890"/>
    <w:rsid w:val="006C06E1"/>
    <w:rsid w:val="006C10DD"/>
    <w:rsid w:val="006C1272"/>
    <w:rsid w:val="006C1668"/>
    <w:rsid w:val="006C1A3F"/>
    <w:rsid w:val="006C1C31"/>
    <w:rsid w:val="006C25E1"/>
    <w:rsid w:val="006C28B9"/>
    <w:rsid w:val="006C3B76"/>
    <w:rsid w:val="006C5204"/>
    <w:rsid w:val="006C528E"/>
    <w:rsid w:val="006C567A"/>
    <w:rsid w:val="006C59FC"/>
    <w:rsid w:val="006C6E52"/>
    <w:rsid w:val="006C7233"/>
    <w:rsid w:val="006D0F04"/>
    <w:rsid w:val="006D3535"/>
    <w:rsid w:val="006D4732"/>
    <w:rsid w:val="006D4E37"/>
    <w:rsid w:val="006D6184"/>
    <w:rsid w:val="006D6C1A"/>
    <w:rsid w:val="006D6DFA"/>
    <w:rsid w:val="006E07A1"/>
    <w:rsid w:val="006E28CA"/>
    <w:rsid w:val="006E2F52"/>
    <w:rsid w:val="006E3E32"/>
    <w:rsid w:val="006E4052"/>
    <w:rsid w:val="006E439C"/>
    <w:rsid w:val="006E4BB2"/>
    <w:rsid w:val="006E6FC9"/>
    <w:rsid w:val="006F28A7"/>
    <w:rsid w:val="006F4D3F"/>
    <w:rsid w:val="006F5C25"/>
    <w:rsid w:val="006F5ED5"/>
    <w:rsid w:val="006F611C"/>
    <w:rsid w:val="006F65B2"/>
    <w:rsid w:val="006F70A3"/>
    <w:rsid w:val="00700C42"/>
    <w:rsid w:val="00700DA7"/>
    <w:rsid w:val="0070258E"/>
    <w:rsid w:val="007028CE"/>
    <w:rsid w:val="00704012"/>
    <w:rsid w:val="00704B61"/>
    <w:rsid w:val="00705429"/>
    <w:rsid w:val="00706DE5"/>
    <w:rsid w:val="00707DDB"/>
    <w:rsid w:val="00711016"/>
    <w:rsid w:val="0071372C"/>
    <w:rsid w:val="0071401D"/>
    <w:rsid w:val="00714731"/>
    <w:rsid w:val="00714AB4"/>
    <w:rsid w:val="007162DC"/>
    <w:rsid w:val="00717384"/>
    <w:rsid w:val="0072316F"/>
    <w:rsid w:val="00724E68"/>
    <w:rsid w:val="0072567E"/>
    <w:rsid w:val="00725D60"/>
    <w:rsid w:val="007265A8"/>
    <w:rsid w:val="00726C18"/>
    <w:rsid w:val="00726E1D"/>
    <w:rsid w:val="00731668"/>
    <w:rsid w:val="0073182A"/>
    <w:rsid w:val="00731BE6"/>
    <w:rsid w:val="00732B3B"/>
    <w:rsid w:val="00733358"/>
    <w:rsid w:val="00733645"/>
    <w:rsid w:val="00735DE1"/>
    <w:rsid w:val="007364D5"/>
    <w:rsid w:val="00736BE1"/>
    <w:rsid w:val="00736FF3"/>
    <w:rsid w:val="007372F3"/>
    <w:rsid w:val="007373D8"/>
    <w:rsid w:val="00742430"/>
    <w:rsid w:val="007466E4"/>
    <w:rsid w:val="00746A3E"/>
    <w:rsid w:val="007477AE"/>
    <w:rsid w:val="0075075D"/>
    <w:rsid w:val="00750DE6"/>
    <w:rsid w:val="00750F35"/>
    <w:rsid w:val="0075183B"/>
    <w:rsid w:val="00751E78"/>
    <w:rsid w:val="007525C2"/>
    <w:rsid w:val="00753543"/>
    <w:rsid w:val="00754373"/>
    <w:rsid w:val="00754596"/>
    <w:rsid w:val="007567AB"/>
    <w:rsid w:val="007621E1"/>
    <w:rsid w:val="007650F2"/>
    <w:rsid w:val="0076597D"/>
    <w:rsid w:val="00765D5A"/>
    <w:rsid w:val="00766616"/>
    <w:rsid w:val="00766E87"/>
    <w:rsid w:val="00766EFA"/>
    <w:rsid w:val="007716CF"/>
    <w:rsid w:val="00772404"/>
    <w:rsid w:val="00774168"/>
    <w:rsid w:val="0077486E"/>
    <w:rsid w:val="00774DB6"/>
    <w:rsid w:val="00775CAC"/>
    <w:rsid w:val="00776420"/>
    <w:rsid w:val="00777967"/>
    <w:rsid w:val="00780A9B"/>
    <w:rsid w:val="00781223"/>
    <w:rsid w:val="00781711"/>
    <w:rsid w:val="00781FAA"/>
    <w:rsid w:val="00782860"/>
    <w:rsid w:val="00782F60"/>
    <w:rsid w:val="007833BC"/>
    <w:rsid w:val="007838CA"/>
    <w:rsid w:val="00785D06"/>
    <w:rsid w:val="00785EDE"/>
    <w:rsid w:val="00785F90"/>
    <w:rsid w:val="0078715D"/>
    <w:rsid w:val="00787289"/>
    <w:rsid w:val="00787A5D"/>
    <w:rsid w:val="00787AEB"/>
    <w:rsid w:val="00792644"/>
    <w:rsid w:val="00792796"/>
    <w:rsid w:val="00793383"/>
    <w:rsid w:val="00793832"/>
    <w:rsid w:val="0079448A"/>
    <w:rsid w:val="00797C0F"/>
    <w:rsid w:val="007A0C07"/>
    <w:rsid w:val="007A2A4E"/>
    <w:rsid w:val="007A37AE"/>
    <w:rsid w:val="007A3820"/>
    <w:rsid w:val="007A64B9"/>
    <w:rsid w:val="007A6F19"/>
    <w:rsid w:val="007A7052"/>
    <w:rsid w:val="007A7055"/>
    <w:rsid w:val="007A7BE6"/>
    <w:rsid w:val="007A7D14"/>
    <w:rsid w:val="007B087F"/>
    <w:rsid w:val="007B21A2"/>
    <w:rsid w:val="007B3135"/>
    <w:rsid w:val="007B34E3"/>
    <w:rsid w:val="007B4619"/>
    <w:rsid w:val="007B54DB"/>
    <w:rsid w:val="007B5DB4"/>
    <w:rsid w:val="007B63DB"/>
    <w:rsid w:val="007B728B"/>
    <w:rsid w:val="007C02CC"/>
    <w:rsid w:val="007C04CC"/>
    <w:rsid w:val="007C088D"/>
    <w:rsid w:val="007C0B09"/>
    <w:rsid w:val="007C101B"/>
    <w:rsid w:val="007C25CD"/>
    <w:rsid w:val="007C2848"/>
    <w:rsid w:val="007C2942"/>
    <w:rsid w:val="007C3CE9"/>
    <w:rsid w:val="007C437C"/>
    <w:rsid w:val="007C45D0"/>
    <w:rsid w:val="007C5A0D"/>
    <w:rsid w:val="007C7676"/>
    <w:rsid w:val="007D3140"/>
    <w:rsid w:val="007D53E9"/>
    <w:rsid w:val="007D577C"/>
    <w:rsid w:val="007E2E47"/>
    <w:rsid w:val="007E663E"/>
    <w:rsid w:val="007E6673"/>
    <w:rsid w:val="007E6EFB"/>
    <w:rsid w:val="007E7000"/>
    <w:rsid w:val="007E70C1"/>
    <w:rsid w:val="007F114E"/>
    <w:rsid w:val="007F1209"/>
    <w:rsid w:val="007F20C9"/>
    <w:rsid w:val="007F21D7"/>
    <w:rsid w:val="007F3940"/>
    <w:rsid w:val="007F5D0B"/>
    <w:rsid w:val="007F5E81"/>
    <w:rsid w:val="007F6161"/>
    <w:rsid w:val="007F698C"/>
    <w:rsid w:val="007F7407"/>
    <w:rsid w:val="007F7638"/>
    <w:rsid w:val="007F7866"/>
    <w:rsid w:val="00800E86"/>
    <w:rsid w:val="0080253D"/>
    <w:rsid w:val="0080406F"/>
    <w:rsid w:val="008041D9"/>
    <w:rsid w:val="008042F0"/>
    <w:rsid w:val="00806605"/>
    <w:rsid w:val="008067B4"/>
    <w:rsid w:val="00813F11"/>
    <w:rsid w:val="00815A6F"/>
    <w:rsid w:val="008160AB"/>
    <w:rsid w:val="00816DCA"/>
    <w:rsid w:val="00820065"/>
    <w:rsid w:val="00820BF6"/>
    <w:rsid w:val="00821B01"/>
    <w:rsid w:val="00823854"/>
    <w:rsid w:val="008249D2"/>
    <w:rsid w:val="00824E3A"/>
    <w:rsid w:val="00824EAD"/>
    <w:rsid w:val="00825199"/>
    <w:rsid w:val="00826009"/>
    <w:rsid w:val="00830797"/>
    <w:rsid w:val="00831D62"/>
    <w:rsid w:val="0083419E"/>
    <w:rsid w:val="0083454E"/>
    <w:rsid w:val="00834C64"/>
    <w:rsid w:val="00835C61"/>
    <w:rsid w:val="0083603D"/>
    <w:rsid w:val="00836C24"/>
    <w:rsid w:val="00840728"/>
    <w:rsid w:val="0084211E"/>
    <w:rsid w:val="00842DB9"/>
    <w:rsid w:val="00842F9A"/>
    <w:rsid w:val="0084454A"/>
    <w:rsid w:val="0084635C"/>
    <w:rsid w:val="0084695D"/>
    <w:rsid w:val="00847E0C"/>
    <w:rsid w:val="00851355"/>
    <w:rsid w:val="00851804"/>
    <w:rsid w:val="0085219E"/>
    <w:rsid w:val="008528B4"/>
    <w:rsid w:val="00854194"/>
    <w:rsid w:val="00856EBA"/>
    <w:rsid w:val="0086056A"/>
    <w:rsid w:val="008605D3"/>
    <w:rsid w:val="00860FB7"/>
    <w:rsid w:val="00861B87"/>
    <w:rsid w:val="00861F37"/>
    <w:rsid w:val="0086212B"/>
    <w:rsid w:val="008637DB"/>
    <w:rsid w:val="008653AC"/>
    <w:rsid w:val="00870A2A"/>
    <w:rsid w:val="0087247A"/>
    <w:rsid w:val="00872A0D"/>
    <w:rsid w:val="0087659B"/>
    <w:rsid w:val="0087746F"/>
    <w:rsid w:val="00877EF4"/>
    <w:rsid w:val="00880170"/>
    <w:rsid w:val="00880B89"/>
    <w:rsid w:val="008812B6"/>
    <w:rsid w:val="0088699D"/>
    <w:rsid w:val="00886F46"/>
    <w:rsid w:val="00887C52"/>
    <w:rsid w:val="008909B4"/>
    <w:rsid w:val="00890D2E"/>
    <w:rsid w:val="00891E76"/>
    <w:rsid w:val="008922B7"/>
    <w:rsid w:val="008922E3"/>
    <w:rsid w:val="00892338"/>
    <w:rsid w:val="0089281B"/>
    <w:rsid w:val="00893251"/>
    <w:rsid w:val="008943A0"/>
    <w:rsid w:val="00894441"/>
    <w:rsid w:val="00896545"/>
    <w:rsid w:val="00896592"/>
    <w:rsid w:val="00897084"/>
    <w:rsid w:val="008A292D"/>
    <w:rsid w:val="008A30DC"/>
    <w:rsid w:val="008A3D11"/>
    <w:rsid w:val="008A6D19"/>
    <w:rsid w:val="008B08C7"/>
    <w:rsid w:val="008B09B4"/>
    <w:rsid w:val="008B1268"/>
    <w:rsid w:val="008B28DD"/>
    <w:rsid w:val="008B2DCE"/>
    <w:rsid w:val="008B3082"/>
    <w:rsid w:val="008B330F"/>
    <w:rsid w:val="008B3395"/>
    <w:rsid w:val="008B428A"/>
    <w:rsid w:val="008B4E2E"/>
    <w:rsid w:val="008B570C"/>
    <w:rsid w:val="008B7AB9"/>
    <w:rsid w:val="008C1F50"/>
    <w:rsid w:val="008C336A"/>
    <w:rsid w:val="008C37CD"/>
    <w:rsid w:val="008C3A38"/>
    <w:rsid w:val="008C4716"/>
    <w:rsid w:val="008C4D30"/>
    <w:rsid w:val="008C50C8"/>
    <w:rsid w:val="008C68A4"/>
    <w:rsid w:val="008C7F77"/>
    <w:rsid w:val="008D0DE7"/>
    <w:rsid w:val="008D2CD5"/>
    <w:rsid w:val="008D2D19"/>
    <w:rsid w:val="008D3BA3"/>
    <w:rsid w:val="008D3D07"/>
    <w:rsid w:val="008D5202"/>
    <w:rsid w:val="008D7A1C"/>
    <w:rsid w:val="008E323A"/>
    <w:rsid w:val="008E33CE"/>
    <w:rsid w:val="008E44C6"/>
    <w:rsid w:val="008E4F05"/>
    <w:rsid w:val="008E5C09"/>
    <w:rsid w:val="008E6A55"/>
    <w:rsid w:val="008E7F6A"/>
    <w:rsid w:val="008F1BD9"/>
    <w:rsid w:val="008F22BC"/>
    <w:rsid w:val="008F28E2"/>
    <w:rsid w:val="008F36A3"/>
    <w:rsid w:val="008F4E2B"/>
    <w:rsid w:val="008F5C72"/>
    <w:rsid w:val="008F7EDE"/>
    <w:rsid w:val="00900E76"/>
    <w:rsid w:val="009017DB"/>
    <w:rsid w:val="00901A05"/>
    <w:rsid w:val="0090554E"/>
    <w:rsid w:val="0090578B"/>
    <w:rsid w:val="0090608A"/>
    <w:rsid w:val="009060B6"/>
    <w:rsid w:val="009067B1"/>
    <w:rsid w:val="00906F8C"/>
    <w:rsid w:val="009072BB"/>
    <w:rsid w:val="009072FC"/>
    <w:rsid w:val="00907781"/>
    <w:rsid w:val="009077D5"/>
    <w:rsid w:val="00911C64"/>
    <w:rsid w:val="00912984"/>
    <w:rsid w:val="009147A5"/>
    <w:rsid w:val="00914A4D"/>
    <w:rsid w:val="009155B8"/>
    <w:rsid w:val="00915F3E"/>
    <w:rsid w:val="009205F2"/>
    <w:rsid w:val="0092285E"/>
    <w:rsid w:val="00922F3E"/>
    <w:rsid w:val="00924A89"/>
    <w:rsid w:val="00924E2E"/>
    <w:rsid w:val="00927267"/>
    <w:rsid w:val="009308CC"/>
    <w:rsid w:val="00932361"/>
    <w:rsid w:val="00932B55"/>
    <w:rsid w:val="00934C3A"/>
    <w:rsid w:val="00934C7D"/>
    <w:rsid w:val="00935A83"/>
    <w:rsid w:val="00935BA2"/>
    <w:rsid w:val="00935CC0"/>
    <w:rsid w:val="0093742D"/>
    <w:rsid w:val="009404E4"/>
    <w:rsid w:val="009407BB"/>
    <w:rsid w:val="00940916"/>
    <w:rsid w:val="00940EEF"/>
    <w:rsid w:val="00940FA1"/>
    <w:rsid w:val="0094218C"/>
    <w:rsid w:val="0094452A"/>
    <w:rsid w:val="00944A01"/>
    <w:rsid w:val="00945A1A"/>
    <w:rsid w:val="00947523"/>
    <w:rsid w:val="00947582"/>
    <w:rsid w:val="00947DA0"/>
    <w:rsid w:val="009506B1"/>
    <w:rsid w:val="00950711"/>
    <w:rsid w:val="00950726"/>
    <w:rsid w:val="009512FE"/>
    <w:rsid w:val="00952371"/>
    <w:rsid w:val="00952C38"/>
    <w:rsid w:val="009544E5"/>
    <w:rsid w:val="009549C3"/>
    <w:rsid w:val="009552C2"/>
    <w:rsid w:val="009566BF"/>
    <w:rsid w:val="00956806"/>
    <w:rsid w:val="00956FBE"/>
    <w:rsid w:val="009575D7"/>
    <w:rsid w:val="00957E43"/>
    <w:rsid w:val="00962BEE"/>
    <w:rsid w:val="00963368"/>
    <w:rsid w:val="00963531"/>
    <w:rsid w:val="00964F5A"/>
    <w:rsid w:val="009657B6"/>
    <w:rsid w:val="00965EF9"/>
    <w:rsid w:val="0096641C"/>
    <w:rsid w:val="00966F59"/>
    <w:rsid w:val="009704A6"/>
    <w:rsid w:val="0097270F"/>
    <w:rsid w:val="00973029"/>
    <w:rsid w:val="00973C7E"/>
    <w:rsid w:val="00975CA9"/>
    <w:rsid w:val="00975CC1"/>
    <w:rsid w:val="009767B4"/>
    <w:rsid w:val="00976998"/>
    <w:rsid w:val="00976E15"/>
    <w:rsid w:val="00981A17"/>
    <w:rsid w:val="0098310B"/>
    <w:rsid w:val="00983BA8"/>
    <w:rsid w:val="00983C54"/>
    <w:rsid w:val="009843CB"/>
    <w:rsid w:val="009856E7"/>
    <w:rsid w:val="00985D0D"/>
    <w:rsid w:val="009877D7"/>
    <w:rsid w:val="00991914"/>
    <w:rsid w:val="00991CB2"/>
    <w:rsid w:val="0099325B"/>
    <w:rsid w:val="0099345A"/>
    <w:rsid w:val="00993D94"/>
    <w:rsid w:val="009A0146"/>
    <w:rsid w:val="009A21F1"/>
    <w:rsid w:val="009A227A"/>
    <w:rsid w:val="009A27D0"/>
    <w:rsid w:val="009A29F9"/>
    <w:rsid w:val="009A39F8"/>
    <w:rsid w:val="009A3F24"/>
    <w:rsid w:val="009A471C"/>
    <w:rsid w:val="009A4CF3"/>
    <w:rsid w:val="009A4F7C"/>
    <w:rsid w:val="009A5830"/>
    <w:rsid w:val="009A6B00"/>
    <w:rsid w:val="009A6C26"/>
    <w:rsid w:val="009B2010"/>
    <w:rsid w:val="009B2353"/>
    <w:rsid w:val="009B2B62"/>
    <w:rsid w:val="009B37E7"/>
    <w:rsid w:val="009B4128"/>
    <w:rsid w:val="009B513F"/>
    <w:rsid w:val="009B5925"/>
    <w:rsid w:val="009B5DE0"/>
    <w:rsid w:val="009B71C9"/>
    <w:rsid w:val="009B754C"/>
    <w:rsid w:val="009C0345"/>
    <w:rsid w:val="009C1FD3"/>
    <w:rsid w:val="009C454B"/>
    <w:rsid w:val="009C5A84"/>
    <w:rsid w:val="009C694F"/>
    <w:rsid w:val="009C799E"/>
    <w:rsid w:val="009D0832"/>
    <w:rsid w:val="009D180E"/>
    <w:rsid w:val="009D18CA"/>
    <w:rsid w:val="009D1D38"/>
    <w:rsid w:val="009D1D56"/>
    <w:rsid w:val="009D22E6"/>
    <w:rsid w:val="009D2AFA"/>
    <w:rsid w:val="009D3A53"/>
    <w:rsid w:val="009D4F20"/>
    <w:rsid w:val="009E1569"/>
    <w:rsid w:val="009E254E"/>
    <w:rsid w:val="009E3A6E"/>
    <w:rsid w:val="009E424D"/>
    <w:rsid w:val="009E485C"/>
    <w:rsid w:val="009E4BCE"/>
    <w:rsid w:val="009E6004"/>
    <w:rsid w:val="009E621F"/>
    <w:rsid w:val="009E6DB7"/>
    <w:rsid w:val="009E7A65"/>
    <w:rsid w:val="009E7B89"/>
    <w:rsid w:val="009F0A66"/>
    <w:rsid w:val="009F148F"/>
    <w:rsid w:val="009F1576"/>
    <w:rsid w:val="009F258E"/>
    <w:rsid w:val="009F2F11"/>
    <w:rsid w:val="009F39A5"/>
    <w:rsid w:val="009F3F79"/>
    <w:rsid w:val="009F4073"/>
    <w:rsid w:val="009F56F9"/>
    <w:rsid w:val="009F64D6"/>
    <w:rsid w:val="00A0247D"/>
    <w:rsid w:val="00A0335E"/>
    <w:rsid w:val="00A0472B"/>
    <w:rsid w:val="00A04DD0"/>
    <w:rsid w:val="00A06781"/>
    <w:rsid w:val="00A06840"/>
    <w:rsid w:val="00A10CFC"/>
    <w:rsid w:val="00A13CD3"/>
    <w:rsid w:val="00A14C9B"/>
    <w:rsid w:val="00A15615"/>
    <w:rsid w:val="00A15FA2"/>
    <w:rsid w:val="00A16F9A"/>
    <w:rsid w:val="00A173EE"/>
    <w:rsid w:val="00A20B62"/>
    <w:rsid w:val="00A20CD8"/>
    <w:rsid w:val="00A21B60"/>
    <w:rsid w:val="00A24B0B"/>
    <w:rsid w:val="00A251B9"/>
    <w:rsid w:val="00A259AD"/>
    <w:rsid w:val="00A261D0"/>
    <w:rsid w:val="00A261F9"/>
    <w:rsid w:val="00A30570"/>
    <w:rsid w:val="00A319C1"/>
    <w:rsid w:val="00A34A43"/>
    <w:rsid w:val="00A35025"/>
    <w:rsid w:val="00A35198"/>
    <w:rsid w:val="00A3536A"/>
    <w:rsid w:val="00A360E8"/>
    <w:rsid w:val="00A40111"/>
    <w:rsid w:val="00A4037A"/>
    <w:rsid w:val="00A425C8"/>
    <w:rsid w:val="00A44FEF"/>
    <w:rsid w:val="00A45F30"/>
    <w:rsid w:val="00A46643"/>
    <w:rsid w:val="00A466A6"/>
    <w:rsid w:val="00A536B7"/>
    <w:rsid w:val="00A54D5C"/>
    <w:rsid w:val="00A554E6"/>
    <w:rsid w:val="00A562BB"/>
    <w:rsid w:val="00A56319"/>
    <w:rsid w:val="00A60360"/>
    <w:rsid w:val="00A6044B"/>
    <w:rsid w:val="00A60601"/>
    <w:rsid w:val="00A62E51"/>
    <w:rsid w:val="00A65F15"/>
    <w:rsid w:val="00A66293"/>
    <w:rsid w:val="00A731B8"/>
    <w:rsid w:val="00A74629"/>
    <w:rsid w:val="00A74F13"/>
    <w:rsid w:val="00A753EE"/>
    <w:rsid w:val="00A7709D"/>
    <w:rsid w:val="00A77BD2"/>
    <w:rsid w:val="00A82BBE"/>
    <w:rsid w:val="00A83920"/>
    <w:rsid w:val="00A83E3A"/>
    <w:rsid w:val="00A84F74"/>
    <w:rsid w:val="00A8602E"/>
    <w:rsid w:val="00A87FB7"/>
    <w:rsid w:val="00A9034D"/>
    <w:rsid w:val="00A9074A"/>
    <w:rsid w:val="00A90CF1"/>
    <w:rsid w:val="00A911AE"/>
    <w:rsid w:val="00A93919"/>
    <w:rsid w:val="00A96879"/>
    <w:rsid w:val="00A96A21"/>
    <w:rsid w:val="00A974E7"/>
    <w:rsid w:val="00A97BB1"/>
    <w:rsid w:val="00A97D1F"/>
    <w:rsid w:val="00AA0D5C"/>
    <w:rsid w:val="00AA1593"/>
    <w:rsid w:val="00AA186A"/>
    <w:rsid w:val="00AA1D11"/>
    <w:rsid w:val="00AA1EC0"/>
    <w:rsid w:val="00AA230A"/>
    <w:rsid w:val="00AA4FB3"/>
    <w:rsid w:val="00AA54B3"/>
    <w:rsid w:val="00AA658B"/>
    <w:rsid w:val="00AB2D6C"/>
    <w:rsid w:val="00AB3A24"/>
    <w:rsid w:val="00AB463C"/>
    <w:rsid w:val="00AB512D"/>
    <w:rsid w:val="00AB5A46"/>
    <w:rsid w:val="00AB600D"/>
    <w:rsid w:val="00AB7E2E"/>
    <w:rsid w:val="00AC25ED"/>
    <w:rsid w:val="00AC5A51"/>
    <w:rsid w:val="00AC6E3D"/>
    <w:rsid w:val="00AC7277"/>
    <w:rsid w:val="00AD1126"/>
    <w:rsid w:val="00AD17D4"/>
    <w:rsid w:val="00AD365E"/>
    <w:rsid w:val="00AD5AA0"/>
    <w:rsid w:val="00AD5AA2"/>
    <w:rsid w:val="00AD645A"/>
    <w:rsid w:val="00AD79E9"/>
    <w:rsid w:val="00AD7C25"/>
    <w:rsid w:val="00AE1CF9"/>
    <w:rsid w:val="00AE1E04"/>
    <w:rsid w:val="00AE1EA4"/>
    <w:rsid w:val="00AE434A"/>
    <w:rsid w:val="00AE45AD"/>
    <w:rsid w:val="00AE47B5"/>
    <w:rsid w:val="00AE47F4"/>
    <w:rsid w:val="00AE7AE5"/>
    <w:rsid w:val="00AF00A2"/>
    <w:rsid w:val="00AF02B0"/>
    <w:rsid w:val="00AF0535"/>
    <w:rsid w:val="00AF0622"/>
    <w:rsid w:val="00AF067A"/>
    <w:rsid w:val="00AF0836"/>
    <w:rsid w:val="00AF0D52"/>
    <w:rsid w:val="00AF1377"/>
    <w:rsid w:val="00AF24C0"/>
    <w:rsid w:val="00B003F8"/>
    <w:rsid w:val="00B0077A"/>
    <w:rsid w:val="00B00DAB"/>
    <w:rsid w:val="00B0100D"/>
    <w:rsid w:val="00B01167"/>
    <w:rsid w:val="00B0223E"/>
    <w:rsid w:val="00B049E3"/>
    <w:rsid w:val="00B055DB"/>
    <w:rsid w:val="00B0633F"/>
    <w:rsid w:val="00B06B01"/>
    <w:rsid w:val="00B06CC8"/>
    <w:rsid w:val="00B06FAB"/>
    <w:rsid w:val="00B108F9"/>
    <w:rsid w:val="00B10977"/>
    <w:rsid w:val="00B1168D"/>
    <w:rsid w:val="00B116D3"/>
    <w:rsid w:val="00B13AF0"/>
    <w:rsid w:val="00B13C06"/>
    <w:rsid w:val="00B15F68"/>
    <w:rsid w:val="00B16155"/>
    <w:rsid w:val="00B1759E"/>
    <w:rsid w:val="00B2025E"/>
    <w:rsid w:val="00B254DD"/>
    <w:rsid w:val="00B3084C"/>
    <w:rsid w:val="00B30BE5"/>
    <w:rsid w:val="00B315C0"/>
    <w:rsid w:val="00B322BC"/>
    <w:rsid w:val="00B342C6"/>
    <w:rsid w:val="00B34790"/>
    <w:rsid w:val="00B34A77"/>
    <w:rsid w:val="00B362CF"/>
    <w:rsid w:val="00B362D5"/>
    <w:rsid w:val="00B36CC2"/>
    <w:rsid w:val="00B41375"/>
    <w:rsid w:val="00B449CD"/>
    <w:rsid w:val="00B45B94"/>
    <w:rsid w:val="00B466E3"/>
    <w:rsid w:val="00B4693D"/>
    <w:rsid w:val="00B51D32"/>
    <w:rsid w:val="00B5218F"/>
    <w:rsid w:val="00B5308A"/>
    <w:rsid w:val="00B53104"/>
    <w:rsid w:val="00B53ABE"/>
    <w:rsid w:val="00B544DB"/>
    <w:rsid w:val="00B54665"/>
    <w:rsid w:val="00B5490B"/>
    <w:rsid w:val="00B549D5"/>
    <w:rsid w:val="00B56193"/>
    <w:rsid w:val="00B563A7"/>
    <w:rsid w:val="00B5672D"/>
    <w:rsid w:val="00B573F1"/>
    <w:rsid w:val="00B60D5A"/>
    <w:rsid w:val="00B60DD4"/>
    <w:rsid w:val="00B610E7"/>
    <w:rsid w:val="00B610E9"/>
    <w:rsid w:val="00B6227C"/>
    <w:rsid w:val="00B62A5C"/>
    <w:rsid w:val="00B63A2E"/>
    <w:rsid w:val="00B64846"/>
    <w:rsid w:val="00B64A5E"/>
    <w:rsid w:val="00B661EB"/>
    <w:rsid w:val="00B663E5"/>
    <w:rsid w:val="00B6674A"/>
    <w:rsid w:val="00B6778D"/>
    <w:rsid w:val="00B712AD"/>
    <w:rsid w:val="00B738B1"/>
    <w:rsid w:val="00B74C66"/>
    <w:rsid w:val="00B74D90"/>
    <w:rsid w:val="00B75009"/>
    <w:rsid w:val="00B75378"/>
    <w:rsid w:val="00B76E6F"/>
    <w:rsid w:val="00B8078C"/>
    <w:rsid w:val="00B81E92"/>
    <w:rsid w:val="00B81F1B"/>
    <w:rsid w:val="00B83326"/>
    <w:rsid w:val="00B8359A"/>
    <w:rsid w:val="00B84058"/>
    <w:rsid w:val="00B90706"/>
    <w:rsid w:val="00B907A4"/>
    <w:rsid w:val="00B90AF3"/>
    <w:rsid w:val="00B91C14"/>
    <w:rsid w:val="00B92B5D"/>
    <w:rsid w:val="00B92D5C"/>
    <w:rsid w:val="00B92F4E"/>
    <w:rsid w:val="00B92FC3"/>
    <w:rsid w:val="00B9405A"/>
    <w:rsid w:val="00B949E0"/>
    <w:rsid w:val="00B94BCD"/>
    <w:rsid w:val="00B9517A"/>
    <w:rsid w:val="00BA08FB"/>
    <w:rsid w:val="00BA196B"/>
    <w:rsid w:val="00BA1BB9"/>
    <w:rsid w:val="00BA2C59"/>
    <w:rsid w:val="00BA4A8F"/>
    <w:rsid w:val="00BA66A2"/>
    <w:rsid w:val="00BA6BC5"/>
    <w:rsid w:val="00BA7A97"/>
    <w:rsid w:val="00BB1D29"/>
    <w:rsid w:val="00BB2826"/>
    <w:rsid w:val="00BB3B18"/>
    <w:rsid w:val="00BB483B"/>
    <w:rsid w:val="00BB50D8"/>
    <w:rsid w:val="00BB6A9E"/>
    <w:rsid w:val="00BB7AB9"/>
    <w:rsid w:val="00BC1F87"/>
    <w:rsid w:val="00BC5299"/>
    <w:rsid w:val="00BC7279"/>
    <w:rsid w:val="00BC7AA0"/>
    <w:rsid w:val="00BD1652"/>
    <w:rsid w:val="00BD3AC3"/>
    <w:rsid w:val="00BD44E3"/>
    <w:rsid w:val="00BD4FF7"/>
    <w:rsid w:val="00BD7154"/>
    <w:rsid w:val="00BE2FAC"/>
    <w:rsid w:val="00BE455A"/>
    <w:rsid w:val="00BE47CB"/>
    <w:rsid w:val="00BE68FF"/>
    <w:rsid w:val="00BF09B2"/>
    <w:rsid w:val="00BF0D4E"/>
    <w:rsid w:val="00BF2AEB"/>
    <w:rsid w:val="00BF4A89"/>
    <w:rsid w:val="00BF4EA4"/>
    <w:rsid w:val="00BF652B"/>
    <w:rsid w:val="00BF6ED4"/>
    <w:rsid w:val="00C00494"/>
    <w:rsid w:val="00C015C7"/>
    <w:rsid w:val="00C01871"/>
    <w:rsid w:val="00C028E7"/>
    <w:rsid w:val="00C03431"/>
    <w:rsid w:val="00C03C59"/>
    <w:rsid w:val="00C1114D"/>
    <w:rsid w:val="00C11D99"/>
    <w:rsid w:val="00C13662"/>
    <w:rsid w:val="00C143DA"/>
    <w:rsid w:val="00C162B1"/>
    <w:rsid w:val="00C17604"/>
    <w:rsid w:val="00C17F4D"/>
    <w:rsid w:val="00C21B6D"/>
    <w:rsid w:val="00C22015"/>
    <w:rsid w:val="00C2272E"/>
    <w:rsid w:val="00C23499"/>
    <w:rsid w:val="00C245CB"/>
    <w:rsid w:val="00C26576"/>
    <w:rsid w:val="00C26B43"/>
    <w:rsid w:val="00C274EA"/>
    <w:rsid w:val="00C27630"/>
    <w:rsid w:val="00C316D6"/>
    <w:rsid w:val="00C334D5"/>
    <w:rsid w:val="00C337F7"/>
    <w:rsid w:val="00C3393C"/>
    <w:rsid w:val="00C344D8"/>
    <w:rsid w:val="00C3549A"/>
    <w:rsid w:val="00C3578D"/>
    <w:rsid w:val="00C36B30"/>
    <w:rsid w:val="00C40082"/>
    <w:rsid w:val="00C4107E"/>
    <w:rsid w:val="00C41473"/>
    <w:rsid w:val="00C41FC2"/>
    <w:rsid w:val="00C42DF9"/>
    <w:rsid w:val="00C42FEF"/>
    <w:rsid w:val="00C45296"/>
    <w:rsid w:val="00C465BF"/>
    <w:rsid w:val="00C46789"/>
    <w:rsid w:val="00C546DC"/>
    <w:rsid w:val="00C55808"/>
    <w:rsid w:val="00C55C2E"/>
    <w:rsid w:val="00C56DBD"/>
    <w:rsid w:val="00C57A70"/>
    <w:rsid w:val="00C63D4B"/>
    <w:rsid w:val="00C657D0"/>
    <w:rsid w:val="00C65961"/>
    <w:rsid w:val="00C661A4"/>
    <w:rsid w:val="00C66AD3"/>
    <w:rsid w:val="00C66B87"/>
    <w:rsid w:val="00C67833"/>
    <w:rsid w:val="00C711D8"/>
    <w:rsid w:val="00C71313"/>
    <w:rsid w:val="00C71A19"/>
    <w:rsid w:val="00C74961"/>
    <w:rsid w:val="00C75E1F"/>
    <w:rsid w:val="00C76C80"/>
    <w:rsid w:val="00C76EFC"/>
    <w:rsid w:val="00C771DA"/>
    <w:rsid w:val="00C7771B"/>
    <w:rsid w:val="00C8115A"/>
    <w:rsid w:val="00C82B8E"/>
    <w:rsid w:val="00C83BE1"/>
    <w:rsid w:val="00C83E5F"/>
    <w:rsid w:val="00C84E9A"/>
    <w:rsid w:val="00C868BA"/>
    <w:rsid w:val="00C87136"/>
    <w:rsid w:val="00C87DAE"/>
    <w:rsid w:val="00C90991"/>
    <w:rsid w:val="00C90C30"/>
    <w:rsid w:val="00C911F3"/>
    <w:rsid w:val="00C91893"/>
    <w:rsid w:val="00C93EDA"/>
    <w:rsid w:val="00C94E12"/>
    <w:rsid w:val="00C94F47"/>
    <w:rsid w:val="00C9527B"/>
    <w:rsid w:val="00C96F9F"/>
    <w:rsid w:val="00C9746B"/>
    <w:rsid w:val="00CA0F11"/>
    <w:rsid w:val="00CA1B06"/>
    <w:rsid w:val="00CA1CBC"/>
    <w:rsid w:val="00CA4794"/>
    <w:rsid w:val="00CA51E0"/>
    <w:rsid w:val="00CA5C78"/>
    <w:rsid w:val="00CA7139"/>
    <w:rsid w:val="00CB02B1"/>
    <w:rsid w:val="00CB0838"/>
    <w:rsid w:val="00CB0FA1"/>
    <w:rsid w:val="00CB2138"/>
    <w:rsid w:val="00CB256F"/>
    <w:rsid w:val="00CB2CD5"/>
    <w:rsid w:val="00CB426B"/>
    <w:rsid w:val="00CB5DCB"/>
    <w:rsid w:val="00CB6A7D"/>
    <w:rsid w:val="00CC2257"/>
    <w:rsid w:val="00CC488C"/>
    <w:rsid w:val="00CC4D4B"/>
    <w:rsid w:val="00CC51D2"/>
    <w:rsid w:val="00CC540E"/>
    <w:rsid w:val="00CC7C61"/>
    <w:rsid w:val="00CD025A"/>
    <w:rsid w:val="00CD0A3B"/>
    <w:rsid w:val="00CD262E"/>
    <w:rsid w:val="00CD564F"/>
    <w:rsid w:val="00CD62D2"/>
    <w:rsid w:val="00CE0B81"/>
    <w:rsid w:val="00CE4427"/>
    <w:rsid w:val="00CE73DE"/>
    <w:rsid w:val="00CF04A2"/>
    <w:rsid w:val="00CF1070"/>
    <w:rsid w:val="00CF1429"/>
    <w:rsid w:val="00CF24E2"/>
    <w:rsid w:val="00CF3656"/>
    <w:rsid w:val="00CF3657"/>
    <w:rsid w:val="00CF460C"/>
    <w:rsid w:val="00CF780D"/>
    <w:rsid w:val="00CF7AA1"/>
    <w:rsid w:val="00CF7BFB"/>
    <w:rsid w:val="00D000AE"/>
    <w:rsid w:val="00D04359"/>
    <w:rsid w:val="00D046F0"/>
    <w:rsid w:val="00D0479F"/>
    <w:rsid w:val="00D05200"/>
    <w:rsid w:val="00D05251"/>
    <w:rsid w:val="00D05898"/>
    <w:rsid w:val="00D06797"/>
    <w:rsid w:val="00D10A9B"/>
    <w:rsid w:val="00D123AA"/>
    <w:rsid w:val="00D12FDE"/>
    <w:rsid w:val="00D13969"/>
    <w:rsid w:val="00D14AB8"/>
    <w:rsid w:val="00D14B69"/>
    <w:rsid w:val="00D15726"/>
    <w:rsid w:val="00D1576A"/>
    <w:rsid w:val="00D226F0"/>
    <w:rsid w:val="00D22C1E"/>
    <w:rsid w:val="00D23148"/>
    <w:rsid w:val="00D239EC"/>
    <w:rsid w:val="00D244A1"/>
    <w:rsid w:val="00D244D8"/>
    <w:rsid w:val="00D24A9F"/>
    <w:rsid w:val="00D253DD"/>
    <w:rsid w:val="00D30C3D"/>
    <w:rsid w:val="00D3208A"/>
    <w:rsid w:val="00D33FBF"/>
    <w:rsid w:val="00D34FA7"/>
    <w:rsid w:val="00D3791A"/>
    <w:rsid w:val="00D405B5"/>
    <w:rsid w:val="00D436C9"/>
    <w:rsid w:val="00D43C2B"/>
    <w:rsid w:val="00D44B59"/>
    <w:rsid w:val="00D46085"/>
    <w:rsid w:val="00D510F7"/>
    <w:rsid w:val="00D51482"/>
    <w:rsid w:val="00D5231A"/>
    <w:rsid w:val="00D525C1"/>
    <w:rsid w:val="00D52A87"/>
    <w:rsid w:val="00D52BB0"/>
    <w:rsid w:val="00D5437E"/>
    <w:rsid w:val="00D55C4A"/>
    <w:rsid w:val="00D620EE"/>
    <w:rsid w:val="00D62F4D"/>
    <w:rsid w:val="00D64A0D"/>
    <w:rsid w:val="00D64E75"/>
    <w:rsid w:val="00D653D8"/>
    <w:rsid w:val="00D6776C"/>
    <w:rsid w:val="00D712A8"/>
    <w:rsid w:val="00D72481"/>
    <w:rsid w:val="00D7560C"/>
    <w:rsid w:val="00D75B4F"/>
    <w:rsid w:val="00D75C46"/>
    <w:rsid w:val="00D77701"/>
    <w:rsid w:val="00D8055C"/>
    <w:rsid w:val="00D814DB"/>
    <w:rsid w:val="00D81C87"/>
    <w:rsid w:val="00D824E7"/>
    <w:rsid w:val="00D84283"/>
    <w:rsid w:val="00D85656"/>
    <w:rsid w:val="00D86BF0"/>
    <w:rsid w:val="00D87268"/>
    <w:rsid w:val="00D910B9"/>
    <w:rsid w:val="00D922E6"/>
    <w:rsid w:val="00D93C57"/>
    <w:rsid w:val="00D95072"/>
    <w:rsid w:val="00D95BBB"/>
    <w:rsid w:val="00D970CB"/>
    <w:rsid w:val="00D978E7"/>
    <w:rsid w:val="00DA003C"/>
    <w:rsid w:val="00DA398B"/>
    <w:rsid w:val="00DA417D"/>
    <w:rsid w:val="00DA477D"/>
    <w:rsid w:val="00DA47AA"/>
    <w:rsid w:val="00DA4F50"/>
    <w:rsid w:val="00DA5A22"/>
    <w:rsid w:val="00DA5F2B"/>
    <w:rsid w:val="00DB1CE8"/>
    <w:rsid w:val="00DB53FA"/>
    <w:rsid w:val="00DB6D20"/>
    <w:rsid w:val="00DB757F"/>
    <w:rsid w:val="00DC21C6"/>
    <w:rsid w:val="00DC21E6"/>
    <w:rsid w:val="00DC3F0E"/>
    <w:rsid w:val="00DC4D2A"/>
    <w:rsid w:val="00DC5053"/>
    <w:rsid w:val="00DD0947"/>
    <w:rsid w:val="00DD13F9"/>
    <w:rsid w:val="00DD1DD3"/>
    <w:rsid w:val="00DD306E"/>
    <w:rsid w:val="00DD3A36"/>
    <w:rsid w:val="00DD5548"/>
    <w:rsid w:val="00DD5BA6"/>
    <w:rsid w:val="00DD7238"/>
    <w:rsid w:val="00DE103A"/>
    <w:rsid w:val="00DE11A6"/>
    <w:rsid w:val="00DE165F"/>
    <w:rsid w:val="00DE2FF2"/>
    <w:rsid w:val="00DE34C5"/>
    <w:rsid w:val="00DE3B84"/>
    <w:rsid w:val="00DE401D"/>
    <w:rsid w:val="00DE67C1"/>
    <w:rsid w:val="00DE6907"/>
    <w:rsid w:val="00DE6A57"/>
    <w:rsid w:val="00DE773E"/>
    <w:rsid w:val="00DE7B40"/>
    <w:rsid w:val="00DF0519"/>
    <w:rsid w:val="00DF0B91"/>
    <w:rsid w:val="00DF1810"/>
    <w:rsid w:val="00DF1BDD"/>
    <w:rsid w:val="00DF1D70"/>
    <w:rsid w:val="00DF290C"/>
    <w:rsid w:val="00DF43AE"/>
    <w:rsid w:val="00DF5ECF"/>
    <w:rsid w:val="00DF69E0"/>
    <w:rsid w:val="00E00115"/>
    <w:rsid w:val="00E01575"/>
    <w:rsid w:val="00E02D2C"/>
    <w:rsid w:val="00E03344"/>
    <w:rsid w:val="00E03E4F"/>
    <w:rsid w:val="00E046DA"/>
    <w:rsid w:val="00E056AB"/>
    <w:rsid w:val="00E0614E"/>
    <w:rsid w:val="00E0741B"/>
    <w:rsid w:val="00E10372"/>
    <w:rsid w:val="00E10414"/>
    <w:rsid w:val="00E10687"/>
    <w:rsid w:val="00E12B61"/>
    <w:rsid w:val="00E14E4C"/>
    <w:rsid w:val="00E154D0"/>
    <w:rsid w:val="00E15506"/>
    <w:rsid w:val="00E15D19"/>
    <w:rsid w:val="00E15D67"/>
    <w:rsid w:val="00E162FB"/>
    <w:rsid w:val="00E16CCF"/>
    <w:rsid w:val="00E17FA8"/>
    <w:rsid w:val="00E21D03"/>
    <w:rsid w:val="00E230BF"/>
    <w:rsid w:val="00E23C7B"/>
    <w:rsid w:val="00E247D7"/>
    <w:rsid w:val="00E248E8"/>
    <w:rsid w:val="00E24C4F"/>
    <w:rsid w:val="00E250CA"/>
    <w:rsid w:val="00E2783A"/>
    <w:rsid w:val="00E27F1F"/>
    <w:rsid w:val="00E30880"/>
    <w:rsid w:val="00E31864"/>
    <w:rsid w:val="00E31C0C"/>
    <w:rsid w:val="00E32CBD"/>
    <w:rsid w:val="00E3372A"/>
    <w:rsid w:val="00E33B54"/>
    <w:rsid w:val="00E34E40"/>
    <w:rsid w:val="00E35899"/>
    <w:rsid w:val="00E366EB"/>
    <w:rsid w:val="00E369F7"/>
    <w:rsid w:val="00E3740F"/>
    <w:rsid w:val="00E402CA"/>
    <w:rsid w:val="00E40AA6"/>
    <w:rsid w:val="00E40BB0"/>
    <w:rsid w:val="00E41753"/>
    <w:rsid w:val="00E42E61"/>
    <w:rsid w:val="00E448A5"/>
    <w:rsid w:val="00E456D9"/>
    <w:rsid w:val="00E45EAF"/>
    <w:rsid w:val="00E45FDE"/>
    <w:rsid w:val="00E4603C"/>
    <w:rsid w:val="00E46AB8"/>
    <w:rsid w:val="00E50F9C"/>
    <w:rsid w:val="00E52360"/>
    <w:rsid w:val="00E53260"/>
    <w:rsid w:val="00E53F4D"/>
    <w:rsid w:val="00E545A1"/>
    <w:rsid w:val="00E5464E"/>
    <w:rsid w:val="00E55100"/>
    <w:rsid w:val="00E55E5D"/>
    <w:rsid w:val="00E565DE"/>
    <w:rsid w:val="00E5768B"/>
    <w:rsid w:val="00E60A5A"/>
    <w:rsid w:val="00E616C1"/>
    <w:rsid w:val="00E63C98"/>
    <w:rsid w:val="00E6412F"/>
    <w:rsid w:val="00E6577F"/>
    <w:rsid w:val="00E65A4E"/>
    <w:rsid w:val="00E65BBB"/>
    <w:rsid w:val="00E66503"/>
    <w:rsid w:val="00E6707B"/>
    <w:rsid w:val="00E67CE8"/>
    <w:rsid w:val="00E7326E"/>
    <w:rsid w:val="00E73333"/>
    <w:rsid w:val="00E742A3"/>
    <w:rsid w:val="00E75116"/>
    <w:rsid w:val="00E75DEB"/>
    <w:rsid w:val="00E76DC9"/>
    <w:rsid w:val="00E8029B"/>
    <w:rsid w:val="00E83024"/>
    <w:rsid w:val="00E830F0"/>
    <w:rsid w:val="00E83922"/>
    <w:rsid w:val="00E84224"/>
    <w:rsid w:val="00E8506A"/>
    <w:rsid w:val="00E85B56"/>
    <w:rsid w:val="00E86842"/>
    <w:rsid w:val="00E905AE"/>
    <w:rsid w:val="00E911C3"/>
    <w:rsid w:val="00E92FAD"/>
    <w:rsid w:val="00E93C32"/>
    <w:rsid w:val="00E962A6"/>
    <w:rsid w:val="00E96A9B"/>
    <w:rsid w:val="00EA192B"/>
    <w:rsid w:val="00EA429D"/>
    <w:rsid w:val="00EA4866"/>
    <w:rsid w:val="00EA50A9"/>
    <w:rsid w:val="00EA5224"/>
    <w:rsid w:val="00EA75A5"/>
    <w:rsid w:val="00EA76F5"/>
    <w:rsid w:val="00EB0E4E"/>
    <w:rsid w:val="00EB143B"/>
    <w:rsid w:val="00EB18CF"/>
    <w:rsid w:val="00EB3224"/>
    <w:rsid w:val="00EB3914"/>
    <w:rsid w:val="00EB41AF"/>
    <w:rsid w:val="00EB68D0"/>
    <w:rsid w:val="00EB727A"/>
    <w:rsid w:val="00EC0446"/>
    <w:rsid w:val="00EC0D8D"/>
    <w:rsid w:val="00EC189E"/>
    <w:rsid w:val="00EC1C87"/>
    <w:rsid w:val="00EC3CC7"/>
    <w:rsid w:val="00EC490D"/>
    <w:rsid w:val="00EC4D47"/>
    <w:rsid w:val="00EC4F95"/>
    <w:rsid w:val="00EC7005"/>
    <w:rsid w:val="00EC79E9"/>
    <w:rsid w:val="00ED0390"/>
    <w:rsid w:val="00ED0416"/>
    <w:rsid w:val="00ED0B70"/>
    <w:rsid w:val="00ED0E50"/>
    <w:rsid w:val="00ED1770"/>
    <w:rsid w:val="00ED1AE4"/>
    <w:rsid w:val="00ED2EA9"/>
    <w:rsid w:val="00ED4344"/>
    <w:rsid w:val="00ED485F"/>
    <w:rsid w:val="00ED4B0C"/>
    <w:rsid w:val="00ED5027"/>
    <w:rsid w:val="00ED54BE"/>
    <w:rsid w:val="00ED6911"/>
    <w:rsid w:val="00ED6DF8"/>
    <w:rsid w:val="00ED76C6"/>
    <w:rsid w:val="00EE014B"/>
    <w:rsid w:val="00EE0F3A"/>
    <w:rsid w:val="00EE4AA2"/>
    <w:rsid w:val="00EE5B2B"/>
    <w:rsid w:val="00EE5D05"/>
    <w:rsid w:val="00EE657B"/>
    <w:rsid w:val="00EE676F"/>
    <w:rsid w:val="00EE73B5"/>
    <w:rsid w:val="00EE77E4"/>
    <w:rsid w:val="00EE7FCD"/>
    <w:rsid w:val="00EF03DA"/>
    <w:rsid w:val="00EF09ED"/>
    <w:rsid w:val="00EF2B06"/>
    <w:rsid w:val="00EF3998"/>
    <w:rsid w:val="00EF4F17"/>
    <w:rsid w:val="00EF5445"/>
    <w:rsid w:val="00EF5C1B"/>
    <w:rsid w:val="00F001E4"/>
    <w:rsid w:val="00F00753"/>
    <w:rsid w:val="00F00AAF"/>
    <w:rsid w:val="00F00DA6"/>
    <w:rsid w:val="00F00FDF"/>
    <w:rsid w:val="00F01789"/>
    <w:rsid w:val="00F03198"/>
    <w:rsid w:val="00F0398C"/>
    <w:rsid w:val="00F04AC7"/>
    <w:rsid w:val="00F06C33"/>
    <w:rsid w:val="00F102F7"/>
    <w:rsid w:val="00F126C3"/>
    <w:rsid w:val="00F12906"/>
    <w:rsid w:val="00F13798"/>
    <w:rsid w:val="00F13A0E"/>
    <w:rsid w:val="00F13A25"/>
    <w:rsid w:val="00F15883"/>
    <w:rsid w:val="00F15F39"/>
    <w:rsid w:val="00F15FC4"/>
    <w:rsid w:val="00F166B0"/>
    <w:rsid w:val="00F168B9"/>
    <w:rsid w:val="00F21658"/>
    <w:rsid w:val="00F22C94"/>
    <w:rsid w:val="00F23008"/>
    <w:rsid w:val="00F248E0"/>
    <w:rsid w:val="00F2629F"/>
    <w:rsid w:val="00F268B0"/>
    <w:rsid w:val="00F27983"/>
    <w:rsid w:val="00F27E3C"/>
    <w:rsid w:val="00F3301E"/>
    <w:rsid w:val="00F33B3B"/>
    <w:rsid w:val="00F33FD4"/>
    <w:rsid w:val="00F36D7C"/>
    <w:rsid w:val="00F418DA"/>
    <w:rsid w:val="00F41E7E"/>
    <w:rsid w:val="00F43BD1"/>
    <w:rsid w:val="00F46A3E"/>
    <w:rsid w:val="00F4789F"/>
    <w:rsid w:val="00F47FAF"/>
    <w:rsid w:val="00F51D5E"/>
    <w:rsid w:val="00F53062"/>
    <w:rsid w:val="00F53284"/>
    <w:rsid w:val="00F5370B"/>
    <w:rsid w:val="00F57BA3"/>
    <w:rsid w:val="00F60004"/>
    <w:rsid w:val="00F60748"/>
    <w:rsid w:val="00F6086B"/>
    <w:rsid w:val="00F61069"/>
    <w:rsid w:val="00F62FC1"/>
    <w:rsid w:val="00F6764F"/>
    <w:rsid w:val="00F70732"/>
    <w:rsid w:val="00F70E74"/>
    <w:rsid w:val="00F71A49"/>
    <w:rsid w:val="00F71C24"/>
    <w:rsid w:val="00F71E72"/>
    <w:rsid w:val="00F721BA"/>
    <w:rsid w:val="00F7391C"/>
    <w:rsid w:val="00F7651B"/>
    <w:rsid w:val="00F770F9"/>
    <w:rsid w:val="00F77416"/>
    <w:rsid w:val="00F77805"/>
    <w:rsid w:val="00F80188"/>
    <w:rsid w:val="00F80FFC"/>
    <w:rsid w:val="00F8233F"/>
    <w:rsid w:val="00F82539"/>
    <w:rsid w:val="00F82E92"/>
    <w:rsid w:val="00F8347A"/>
    <w:rsid w:val="00F84381"/>
    <w:rsid w:val="00F8507A"/>
    <w:rsid w:val="00F864EA"/>
    <w:rsid w:val="00F8681D"/>
    <w:rsid w:val="00F86FB4"/>
    <w:rsid w:val="00F8729B"/>
    <w:rsid w:val="00F875AE"/>
    <w:rsid w:val="00F87885"/>
    <w:rsid w:val="00F91461"/>
    <w:rsid w:val="00F9146D"/>
    <w:rsid w:val="00F94634"/>
    <w:rsid w:val="00F95337"/>
    <w:rsid w:val="00F9695B"/>
    <w:rsid w:val="00F97A46"/>
    <w:rsid w:val="00FA0A0E"/>
    <w:rsid w:val="00FA11E5"/>
    <w:rsid w:val="00FA1A95"/>
    <w:rsid w:val="00FA35A6"/>
    <w:rsid w:val="00FA451C"/>
    <w:rsid w:val="00FA6A55"/>
    <w:rsid w:val="00FA7B46"/>
    <w:rsid w:val="00FA7D8D"/>
    <w:rsid w:val="00FB01AD"/>
    <w:rsid w:val="00FB1B8A"/>
    <w:rsid w:val="00FB1E9C"/>
    <w:rsid w:val="00FB565E"/>
    <w:rsid w:val="00FB5BFB"/>
    <w:rsid w:val="00FB7E9A"/>
    <w:rsid w:val="00FC0BCE"/>
    <w:rsid w:val="00FC13B3"/>
    <w:rsid w:val="00FC1729"/>
    <w:rsid w:val="00FC29AB"/>
    <w:rsid w:val="00FC2FE7"/>
    <w:rsid w:val="00FC483F"/>
    <w:rsid w:val="00FC4A6D"/>
    <w:rsid w:val="00FC4ED5"/>
    <w:rsid w:val="00FC5F02"/>
    <w:rsid w:val="00FC6860"/>
    <w:rsid w:val="00FD0D61"/>
    <w:rsid w:val="00FD30EF"/>
    <w:rsid w:val="00FD3947"/>
    <w:rsid w:val="00FD3A6F"/>
    <w:rsid w:val="00FD43A5"/>
    <w:rsid w:val="00FD50AE"/>
    <w:rsid w:val="00FD584A"/>
    <w:rsid w:val="00FD5A3C"/>
    <w:rsid w:val="00FE0B5B"/>
    <w:rsid w:val="00FE11AA"/>
    <w:rsid w:val="00FE1E36"/>
    <w:rsid w:val="00FE23E5"/>
    <w:rsid w:val="00FE28F0"/>
    <w:rsid w:val="00FE2BB1"/>
    <w:rsid w:val="00FE63EF"/>
    <w:rsid w:val="00FE7776"/>
    <w:rsid w:val="00FF0118"/>
    <w:rsid w:val="00FF0381"/>
    <w:rsid w:val="00FF17AB"/>
    <w:rsid w:val="00FF440F"/>
    <w:rsid w:val="00FF4CE6"/>
    <w:rsid w:val="00FF5307"/>
    <w:rsid w:val="00FF5752"/>
    <w:rsid w:val="00FF607E"/>
    <w:rsid w:val="00FF6641"/>
    <w:rsid w:val="00FF7E65"/>
    <w:rsid w:val="01110F57"/>
    <w:rsid w:val="01F5046E"/>
    <w:rsid w:val="03860630"/>
    <w:rsid w:val="05460EE9"/>
    <w:rsid w:val="05FC654C"/>
    <w:rsid w:val="06A45C0A"/>
    <w:rsid w:val="0814488A"/>
    <w:rsid w:val="082A27AB"/>
    <w:rsid w:val="085D3B61"/>
    <w:rsid w:val="093F6E7E"/>
    <w:rsid w:val="09886513"/>
    <w:rsid w:val="09BC0A90"/>
    <w:rsid w:val="0A3C2190"/>
    <w:rsid w:val="0ADF6399"/>
    <w:rsid w:val="0B343205"/>
    <w:rsid w:val="0D334CB0"/>
    <w:rsid w:val="0D5000DE"/>
    <w:rsid w:val="0D931FBB"/>
    <w:rsid w:val="0DD40172"/>
    <w:rsid w:val="0E584DDB"/>
    <w:rsid w:val="0E6C3B78"/>
    <w:rsid w:val="0F106AC8"/>
    <w:rsid w:val="0FCE68F7"/>
    <w:rsid w:val="102808C7"/>
    <w:rsid w:val="10611DE2"/>
    <w:rsid w:val="11EC3D3C"/>
    <w:rsid w:val="12CB6ECB"/>
    <w:rsid w:val="15A3122A"/>
    <w:rsid w:val="15D12621"/>
    <w:rsid w:val="17F2115C"/>
    <w:rsid w:val="18A1501E"/>
    <w:rsid w:val="1A07261B"/>
    <w:rsid w:val="1A5A764E"/>
    <w:rsid w:val="1A722FEF"/>
    <w:rsid w:val="1C804033"/>
    <w:rsid w:val="1CD903F1"/>
    <w:rsid w:val="1D9F6C59"/>
    <w:rsid w:val="1E0424F0"/>
    <w:rsid w:val="1E8B16CE"/>
    <w:rsid w:val="1F824672"/>
    <w:rsid w:val="1F9216B0"/>
    <w:rsid w:val="21474213"/>
    <w:rsid w:val="21EA0730"/>
    <w:rsid w:val="263A49C9"/>
    <w:rsid w:val="26865AE6"/>
    <w:rsid w:val="282A01BB"/>
    <w:rsid w:val="29105A66"/>
    <w:rsid w:val="2B4046A2"/>
    <w:rsid w:val="2B655D64"/>
    <w:rsid w:val="2ED0408C"/>
    <w:rsid w:val="30546895"/>
    <w:rsid w:val="308157B8"/>
    <w:rsid w:val="31EB299E"/>
    <w:rsid w:val="31FC100A"/>
    <w:rsid w:val="32710342"/>
    <w:rsid w:val="329A040D"/>
    <w:rsid w:val="33A3142D"/>
    <w:rsid w:val="33B0758C"/>
    <w:rsid w:val="35344E4C"/>
    <w:rsid w:val="36AD0AA0"/>
    <w:rsid w:val="36FB0F9C"/>
    <w:rsid w:val="38B020AD"/>
    <w:rsid w:val="396644C5"/>
    <w:rsid w:val="39DC2AAE"/>
    <w:rsid w:val="3A5F61CD"/>
    <w:rsid w:val="3A8061A3"/>
    <w:rsid w:val="3EE26F6E"/>
    <w:rsid w:val="3F285332"/>
    <w:rsid w:val="3F8F1D5A"/>
    <w:rsid w:val="3F9A055E"/>
    <w:rsid w:val="40B05179"/>
    <w:rsid w:val="41B008B3"/>
    <w:rsid w:val="42E0660F"/>
    <w:rsid w:val="448A3D8A"/>
    <w:rsid w:val="44D672E9"/>
    <w:rsid w:val="45A73761"/>
    <w:rsid w:val="45CB7F82"/>
    <w:rsid w:val="46126417"/>
    <w:rsid w:val="47323C39"/>
    <w:rsid w:val="47727AA7"/>
    <w:rsid w:val="48A951F3"/>
    <w:rsid w:val="49A262EF"/>
    <w:rsid w:val="4A274C97"/>
    <w:rsid w:val="4A85387A"/>
    <w:rsid w:val="4B3F2D2D"/>
    <w:rsid w:val="4D555EBD"/>
    <w:rsid w:val="4E0225CA"/>
    <w:rsid w:val="4E114CAC"/>
    <w:rsid w:val="4EE830B6"/>
    <w:rsid w:val="4FC551F0"/>
    <w:rsid w:val="507A46B2"/>
    <w:rsid w:val="54A7210D"/>
    <w:rsid w:val="565B627A"/>
    <w:rsid w:val="56FF4922"/>
    <w:rsid w:val="57394768"/>
    <w:rsid w:val="594F07E1"/>
    <w:rsid w:val="5AA33C66"/>
    <w:rsid w:val="5B5257E9"/>
    <w:rsid w:val="5C9D1841"/>
    <w:rsid w:val="5CD772AC"/>
    <w:rsid w:val="5F1B0BF2"/>
    <w:rsid w:val="5F1F5D4B"/>
    <w:rsid w:val="5F935FAA"/>
    <w:rsid w:val="609059AD"/>
    <w:rsid w:val="61266E33"/>
    <w:rsid w:val="62B42CB3"/>
    <w:rsid w:val="631619BC"/>
    <w:rsid w:val="63415410"/>
    <w:rsid w:val="6377453C"/>
    <w:rsid w:val="68C44039"/>
    <w:rsid w:val="6BC85C1F"/>
    <w:rsid w:val="6CE55398"/>
    <w:rsid w:val="6D400787"/>
    <w:rsid w:val="6F146677"/>
    <w:rsid w:val="6F594A99"/>
    <w:rsid w:val="70982AFD"/>
    <w:rsid w:val="70F166E8"/>
    <w:rsid w:val="71B25A9B"/>
    <w:rsid w:val="72BC2556"/>
    <w:rsid w:val="73F664C2"/>
    <w:rsid w:val="75767BE0"/>
    <w:rsid w:val="75781FF3"/>
    <w:rsid w:val="75BB55B2"/>
    <w:rsid w:val="76A44D4C"/>
    <w:rsid w:val="7A454530"/>
    <w:rsid w:val="7ABA178B"/>
    <w:rsid w:val="7AC53908"/>
    <w:rsid w:val="7BD40AD9"/>
    <w:rsid w:val="7C20696C"/>
    <w:rsid w:val="7C2D72F3"/>
    <w:rsid w:val="7C307A18"/>
    <w:rsid w:val="7C6D2197"/>
    <w:rsid w:val="7CD74CEC"/>
    <w:rsid w:val="7CE45382"/>
    <w:rsid w:val="7EC169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2"/>
    <w:qFormat/>
    <w:uiPriority w:val="9"/>
    <w:pPr>
      <w:keepNext/>
      <w:keepLines/>
      <w:spacing w:beforeLines="50" w:afterLines="50" w:line="360" w:lineRule="auto"/>
      <w:jc w:val="center"/>
      <w:outlineLvl w:val="0"/>
    </w:pPr>
    <w:rPr>
      <w:rFonts w:ascii="Times New Roman" w:hAnsi="Times New Roman" w:eastAsia="黑体"/>
      <w:bCs/>
      <w:kern w:val="44"/>
      <w:sz w:val="32"/>
      <w:szCs w:val="44"/>
    </w:rPr>
  </w:style>
  <w:style w:type="paragraph" w:styleId="3">
    <w:name w:val="heading 2"/>
    <w:basedOn w:val="1"/>
    <w:next w:val="1"/>
    <w:link w:val="33"/>
    <w:unhideWhenUsed/>
    <w:qFormat/>
    <w:uiPriority w:val="9"/>
    <w:pPr>
      <w:keepNext/>
      <w:keepLines/>
      <w:spacing w:line="360" w:lineRule="auto"/>
      <w:jc w:val="center"/>
      <w:outlineLvl w:val="1"/>
    </w:pPr>
    <w:rPr>
      <w:rFonts w:ascii="Times New Roman" w:hAnsi="Times New Roman" w:eastAsia="楷体" w:cstheme="majorBidi"/>
      <w:b/>
      <w:bCs/>
      <w:sz w:val="30"/>
      <w:szCs w:val="32"/>
    </w:rPr>
  </w:style>
  <w:style w:type="paragraph" w:styleId="4">
    <w:name w:val="heading 3"/>
    <w:basedOn w:val="1"/>
    <w:next w:val="1"/>
    <w:link w:val="34"/>
    <w:unhideWhenUsed/>
    <w:qFormat/>
    <w:uiPriority w:val="9"/>
    <w:pPr>
      <w:spacing w:line="360" w:lineRule="auto"/>
      <w:outlineLvl w:val="2"/>
    </w:pPr>
    <w:rPr>
      <w:rFonts w:ascii="Times New Roman" w:hAnsi="Times New Roman" w:eastAsia="仿宋_GB2312" w:cs="Times New Roman"/>
      <w:b/>
      <w:bCs/>
      <w:sz w:val="28"/>
      <w:szCs w:val="32"/>
    </w:rPr>
  </w:style>
  <w:style w:type="paragraph" w:styleId="5">
    <w:name w:val="heading 4"/>
    <w:basedOn w:val="1"/>
    <w:next w:val="1"/>
    <w:link w:val="78"/>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unhideWhenUsed/>
    <w:qFormat/>
    <w:uiPriority w:val="39"/>
    <w:pPr>
      <w:ind w:left="2520" w:leftChars="1200"/>
    </w:pPr>
  </w:style>
  <w:style w:type="paragraph" w:styleId="7">
    <w:name w:val="Document Map"/>
    <w:basedOn w:val="1"/>
    <w:link w:val="57"/>
    <w:semiHidden/>
    <w:unhideWhenUsed/>
    <w:qFormat/>
    <w:uiPriority w:val="99"/>
    <w:rPr>
      <w:rFonts w:ascii="宋体" w:eastAsia="宋体"/>
      <w:sz w:val="18"/>
      <w:szCs w:val="18"/>
    </w:rPr>
  </w:style>
  <w:style w:type="paragraph" w:styleId="8">
    <w:name w:val="annotation text"/>
    <w:basedOn w:val="1"/>
    <w:link w:val="59"/>
    <w:semiHidden/>
    <w:unhideWhenUsed/>
    <w:qFormat/>
    <w:uiPriority w:val="99"/>
    <w:pPr>
      <w:jc w:val="left"/>
    </w:pPr>
  </w:style>
  <w:style w:type="paragraph" w:styleId="9">
    <w:name w:val="toc 5"/>
    <w:basedOn w:val="1"/>
    <w:next w:val="1"/>
    <w:unhideWhenUsed/>
    <w:qFormat/>
    <w:uiPriority w:val="39"/>
    <w:pPr>
      <w:ind w:left="1680" w:leftChars="800"/>
    </w:pPr>
  </w:style>
  <w:style w:type="paragraph" w:styleId="10">
    <w:name w:val="toc 3"/>
    <w:basedOn w:val="1"/>
    <w:next w:val="1"/>
    <w:unhideWhenUsed/>
    <w:qFormat/>
    <w:uiPriority w:val="39"/>
    <w:pPr>
      <w:ind w:left="840" w:leftChars="400"/>
    </w:pPr>
  </w:style>
  <w:style w:type="paragraph" w:styleId="11">
    <w:name w:val="toc 8"/>
    <w:basedOn w:val="1"/>
    <w:next w:val="1"/>
    <w:unhideWhenUsed/>
    <w:qFormat/>
    <w:uiPriority w:val="39"/>
    <w:pPr>
      <w:ind w:left="2940" w:leftChars="1400"/>
    </w:pPr>
  </w:style>
  <w:style w:type="paragraph" w:styleId="12">
    <w:name w:val="Date"/>
    <w:basedOn w:val="1"/>
    <w:next w:val="1"/>
    <w:link w:val="35"/>
    <w:semiHidden/>
    <w:unhideWhenUsed/>
    <w:qFormat/>
    <w:uiPriority w:val="99"/>
    <w:pPr>
      <w:ind w:left="100" w:leftChars="2500"/>
    </w:pPr>
  </w:style>
  <w:style w:type="paragraph" w:styleId="13">
    <w:name w:val="Balloon Text"/>
    <w:basedOn w:val="1"/>
    <w:link w:val="36"/>
    <w:semiHidden/>
    <w:unhideWhenUsed/>
    <w:qFormat/>
    <w:uiPriority w:val="99"/>
    <w:rPr>
      <w:sz w:val="18"/>
      <w:szCs w:val="18"/>
    </w:rPr>
  </w:style>
  <w:style w:type="paragraph" w:styleId="14">
    <w:name w:val="footer"/>
    <w:basedOn w:val="1"/>
    <w:link w:val="37"/>
    <w:unhideWhenUsed/>
    <w:qFormat/>
    <w:uiPriority w:val="99"/>
    <w:pPr>
      <w:tabs>
        <w:tab w:val="center" w:pos="4153"/>
        <w:tab w:val="right" w:pos="8306"/>
      </w:tabs>
      <w:snapToGrid w:val="0"/>
      <w:jc w:val="left"/>
    </w:pPr>
    <w:rPr>
      <w:sz w:val="18"/>
      <w:szCs w:val="18"/>
    </w:rPr>
  </w:style>
  <w:style w:type="paragraph" w:styleId="15">
    <w:name w:val="header"/>
    <w:basedOn w:val="1"/>
    <w:link w:val="38"/>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style>
  <w:style w:type="paragraph" w:styleId="17">
    <w:name w:val="toc 4"/>
    <w:basedOn w:val="1"/>
    <w:next w:val="1"/>
    <w:unhideWhenUsed/>
    <w:qFormat/>
    <w:uiPriority w:val="39"/>
    <w:pPr>
      <w:ind w:left="1260" w:leftChars="600"/>
    </w:pPr>
  </w:style>
  <w:style w:type="paragraph" w:styleId="18">
    <w:name w:val="Subtitle"/>
    <w:basedOn w:val="1"/>
    <w:next w:val="1"/>
    <w:link w:val="61"/>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19">
    <w:name w:val="toc 6"/>
    <w:basedOn w:val="1"/>
    <w:next w:val="1"/>
    <w:unhideWhenUsed/>
    <w:qFormat/>
    <w:uiPriority w:val="39"/>
    <w:pPr>
      <w:ind w:left="2100" w:leftChars="1000"/>
    </w:pPr>
  </w:style>
  <w:style w:type="paragraph" w:styleId="20">
    <w:name w:val="toc 2"/>
    <w:basedOn w:val="1"/>
    <w:next w:val="1"/>
    <w:unhideWhenUsed/>
    <w:qFormat/>
    <w:uiPriority w:val="39"/>
    <w:pPr>
      <w:ind w:left="420" w:leftChars="200"/>
    </w:pPr>
  </w:style>
  <w:style w:type="paragraph" w:styleId="21">
    <w:name w:val="toc 9"/>
    <w:basedOn w:val="1"/>
    <w:next w:val="1"/>
    <w:unhideWhenUsed/>
    <w:qFormat/>
    <w:uiPriority w:val="39"/>
    <w:pPr>
      <w:ind w:left="3360" w:leftChars="1600"/>
    </w:pPr>
  </w:style>
  <w:style w:type="paragraph" w:styleId="2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23">
    <w:name w:val="Title"/>
    <w:basedOn w:val="1"/>
    <w:next w:val="1"/>
    <w:link w:val="60"/>
    <w:qFormat/>
    <w:uiPriority w:val="10"/>
    <w:pPr>
      <w:spacing w:before="240" w:after="60"/>
      <w:jc w:val="center"/>
      <w:outlineLvl w:val="0"/>
    </w:pPr>
    <w:rPr>
      <w:rFonts w:eastAsia="宋体" w:asciiTheme="majorHAnsi" w:hAnsiTheme="majorHAnsi" w:cstheme="majorBidi"/>
      <w:b/>
      <w:bCs/>
      <w:sz w:val="32"/>
      <w:szCs w:val="32"/>
    </w:rPr>
  </w:style>
  <w:style w:type="paragraph" w:styleId="24">
    <w:name w:val="annotation subject"/>
    <w:basedOn w:val="8"/>
    <w:next w:val="8"/>
    <w:link w:val="65"/>
    <w:semiHidden/>
    <w:unhideWhenUsed/>
    <w:qFormat/>
    <w:uiPriority w:val="99"/>
    <w:rPr>
      <w:b/>
      <w:bCs/>
    </w:rPr>
  </w:style>
  <w:style w:type="table" w:styleId="26">
    <w:name w:val="Table Grid"/>
    <w:basedOn w:val="2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Strong"/>
    <w:basedOn w:val="27"/>
    <w:qFormat/>
    <w:uiPriority w:val="22"/>
    <w:rPr>
      <w:b/>
      <w:bCs/>
    </w:rPr>
  </w:style>
  <w:style w:type="character" w:styleId="29">
    <w:name w:val="FollowedHyperlink"/>
    <w:basedOn w:val="27"/>
    <w:semiHidden/>
    <w:unhideWhenUsed/>
    <w:qFormat/>
    <w:uiPriority w:val="99"/>
    <w:rPr>
      <w:color w:val="800080"/>
      <w:u w:val="single"/>
    </w:rPr>
  </w:style>
  <w:style w:type="character" w:styleId="30">
    <w:name w:val="Hyperlink"/>
    <w:basedOn w:val="27"/>
    <w:unhideWhenUsed/>
    <w:qFormat/>
    <w:uiPriority w:val="99"/>
    <w:rPr>
      <w:color w:val="0000FF" w:themeColor="hyperlink"/>
      <w:u w:val="single"/>
      <w14:textFill>
        <w14:solidFill>
          <w14:schemeClr w14:val="hlink"/>
        </w14:solidFill>
      </w14:textFill>
    </w:rPr>
  </w:style>
  <w:style w:type="character" w:styleId="31">
    <w:name w:val="annotation reference"/>
    <w:basedOn w:val="27"/>
    <w:semiHidden/>
    <w:unhideWhenUsed/>
    <w:qFormat/>
    <w:uiPriority w:val="99"/>
    <w:rPr>
      <w:sz w:val="21"/>
      <w:szCs w:val="21"/>
    </w:rPr>
  </w:style>
  <w:style w:type="character" w:customStyle="1" w:styleId="32">
    <w:name w:val="标题 1 Char"/>
    <w:basedOn w:val="27"/>
    <w:link w:val="2"/>
    <w:qFormat/>
    <w:uiPriority w:val="9"/>
    <w:rPr>
      <w:rFonts w:ascii="Times New Roman" w:hAnsi="Times New Roman" w:eastAsia="黑体"/>
      <w:bCs/>
      <w:kern w:val="44"/>
      <w:sz w:val="32"/>
      <w:szCs w:val="44"/>
    </w:rPr>
  </w:style>
  <w:style w:type="character" w:customStyle="1" w:styleId="33">
    <w:name w:val="标题 2 Char"/>
    <w:basedOn w:val="27"/>
    <w:link w:val="3"/>
    <w:qFormat/>
    <w:uiPriority w:val="9"/>
    <w:rPr>
      <w:rFonts w:ascii="Times New Roman" w:hAnsi="Times New Roman" w:eastAsia="楷体" w:cstheme="majorBidi"/>
      <w:b/>
      <w:bCs/>
      <w:sz w:val="30"/>
      <w:szCs w:val="32"/>
    </w:rPr>
  </w:style>
  <w:style w:type="character" w:customStyle="1" w:styleId="34">
    <w:name w:val="标题 3 Char"/>
    <w:basedOn w:val="27"/>
    <w:link w:val="4"/>
    <w:qFormat/>
    <w:uiPriority w:val="9"/>
    <w:rPr>
      <w:rFonts w:ascii="Times New Roman" w:hAnsi="Times New Roman" w:eastAsia="仿宋_GB2312" w:cs="Times New Roman"/>
      <w:b/>
      <w:bCs/>
      <w:sz w:val="28"/>
      <w:szCs w:val="32"/>
    </w:rPr>
  </w:style>
  <w:style w:type="character" w:customStyle="1" w:styleId="35">
    <w:name w:val="日期 Char"/>
    <w:basedOn w:val="27"/>
    <w:link w:val="12"/>
    <w:semiHidden/>
    <w:qFormat/>
    <w:uiPriority w:val="99"/>
  </w:style>
  <w:style w:type="character" w:customStyle="1" w:styleId="36">
    <w:name w:val="批注框文本 Char"/>
    <w:basedOn w:val="27"/>
    <w:link w:val="13"/>
    <w:semiHidden/>
    <w:qFormat/>
    <w:uiPriority w:val="99"/>
    <w:rPr>
      <w:sz w:val="18"/>
      <w:szCs w:val="18"/>
    </w:rPr>
  </w:style>
  <w:style w:type="character" w:customStyle="1" w:styleId="37">
    <w:name w:val="页脚 Char"/>
    <w:basedOn w:val="27"/>
    <w:link w:val="14"/>
    <w:qFormat/>
    <w:uiPriority w:val="99"/>
    <w:rPr>
      <w:sz w:val="18"/>
      <w:szCs w:val="18"/>
    </w:rPr>
  </w:style>
  <w:style w:type="character" w:customStyle="1" w:styleId="38">
    <w:name w:val="页眉 Char"/>
    <w:basedOn w:val="27"/>
    <w:link w:val="15"/>
    <w:qFormat/>
    <w:uiPriority w:val="99"/>
    <w:rPr>
      <w:sz w:val="18"/>
      <w:szCs w:val="18"/>
    </w:rPr>
  </w:style>
  <w:style w:type="paragraph" w:customStyle="1" w:styleId="39">
    <w:name w:val="TOC 标题1"/>
    <w:basedOn w:val="2"/>
    <w:next w:val="1"/>
    <w:semiHidden/>
    <w:unhideWhenUsed/>
    <w:qFormat/>
    <w:uiPriority w:val="39"/>
    <w:pPr>
      <w:widowControl/>
      <w:spacing w:beforeLines="0" w:afterLines="0" w:line="276" w:lineRule="auto"/>
      <w:jc w:val="left"/>
      <w:outlineLvl w:val="9"/>
    </w:pPr>
    <w:rPr>
      <w:rFonts w:asciiTheme="majorHAnsi" w:hAnsiTheme="majorHAnsi" w:eastAsiaTheme="majorEastAsia" w:cstheme="majorBidi"/>
      <w:b/>
      <w:color w:val="376092" w:themeColor="accent1" w:themeShade="BF"/>
      <w:kern w:val="0"/>
      <w:sz w:val="28"/>
      <w:szCs w:val="28"/>
    </w:rPr>
  </w:style>
  <w:style w:type="paragraph" w:styleId="40">
    <w:name w:val="List Paragraph"/>
    <w:basedOn w:val="1"/>
    <w:qFormat/>
    <w:uiPriority w:val="34"/>
    <w:pPr>
      <w:ind w:firstLine="420" w:firstLineChars="200"/>
    </w:pPr>
  </w:style>
  <w:style w:type="paragraph" w:customStyle="1" w:styleId="41">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42">
    <w:name w:val="font6"/>
    <w:basedOn w:val="1"/>
    <w:qFormat/>
    <w:uiPriority w:val="0"/>
    <w:pPr>
      <w:widowControl/>
      <w:spacing w:before="100" w:beforeAutospacing="1" w:after="100" w:afterAutospacing="1"/>
      <w:jc w:val="left"/>
    </w:pPr>
    <w:rPr>
      <w:rFonts w:ascii="宋体" w:hAnsi="宋体" w:eastAsia="宋体" w:cs="宋体"/>
      <w:b/>
      <w:bCs/>
      <w:color w:val="000000"/>
      <w:kern w:val="0"/>
      <w:szCs w:val="21"/>
    </w:rPr>
  </w:style>
  <w:style w:type="paragraph" w:customStyle="1" w:styleId="43">
    <w:name w:val="font7"/>
    <w:basedOn w:val="1"/>
    <w:qFormat/>
    <w:uiPriority w:val="0"/>
    <w:pPr>
      <w:widowControl/>
      <w:spacing w:before="100" w:beforeAutospacing="1" w:after="100" w:afterAutospacing="1"/>
      <w:jc w:val="left"/>
    </w:pPr>
    <w:rPr>
      <w:rFonts w:ascii="Calibri" w:hAnsi="Calibri" w:eastAsia="宋体" w:cs="Calibri"/>
      <w:b/>
      <w:bCs/>
      <w:color w:val="000000"/>
      <w:kern w:val="0"/>
      <w:szCs w:val="21"/>
    </w:rPr>
  </w:style>
  <w:style w:type="paragraph" w:customStyle="1" w:styleId="44">
    <w:name w:val="font8"/>
    <w:basedOn w:val="1"/>
    <w:qFormat/>
    <w:uiPriority w:val="0"/>
    <w:pPr>
      <w:widowControl/>
      <w:spacing w:before="100" w:beforeAutospacing="1" w:after="100" w:afterAutospacing="1"/>
      <w:jc w:val="left"/>
    </w:pPr>
    <w:rPr>
      <w:rFonts w:ascii="宋体" w:hAnsi="宋体" w:eastAsia="宋体" w:cs="宋体"/>
      <w:color w:val="000000"/>
      <w:kern w:val="0"/>
      <w:szCs w:val="21"/>
    </w:rPr>
  </w:style>
  <w:style w:type="paragraph" w:customStyle="1" w:styleId="45">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46">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47">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Calibri" w:hAnsi="Calibri" w:eastAsia="宋体" w:cs="Calibri"/>
      <w:color w:val="000000"/>
      <w:kern w:val="0"/>
      <w:szCs w:val="21"/>
    </w:rPr>
  </w:style>
  <w:style w:type="paragraph" w:customStyle="1" w:styleId="48">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49">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50">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51">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52">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Cs w:val="21"/>
    </w:rPr>
  </w:style>
  <w:style w:type="paragraph" w:customStyle="1" w:styleId="53">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Cs w:val="21"/>
    </w:rPr>
  </w:style>
  <w:style w:type="paragraph" w:customStyle="1" w:styleId="54">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color w:val="000000"/>
      <w:kern w:val="0"/>
      <w:szCs w:val="21"/>
    </w:rPr>
  </w:style>
  <w:style w:type="paragraph" w:customStyle="1" w:styleId="55">
    <w:name w:val="xl7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Cs w:val="21"/>
    </w:rPr>
  </w:style>
  <w:style w:type="paragraph" w:customStyle="1" w:styleId="56">
    <w:name w:val="xl76"/>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Cs w:val="21"/>
    </w:rPr>
  </w:style>
  <w:style w:type="character" w:customStyle="1" w:styleId="57">
    <w:name w:val="文档结构图 Char"/>
    <w:basedOn w:val="27"/>
    <w:link w:val="7"/>
    <w:semiHidden/>
    <w:qFormat/>
    <w:uiPriority w:val="99"/>
    <w:rPr>
      <w:rFonts w:ascii="宋体" w:eastAsia="宋体"/>
      <w:kern w:val="2"/>
      <w:sz w:val="18"/>
      <w:szCs w:val="18"/>
    </w:rPr>
  </w:style>
  <w:style w:type="character" w:customStyle="1" w:styleId="58">
    <w:name w:val="不明显强调1"/>
    <w:basedOn w:val="27"/>
    <w:qFormat/>
    <w:uiPriority w:val="19"/>
    <w:rPr>
      <w:i/>
      <w:iCs/>
      <w:color w:val="808080" w:themeColor="text1" w:themeTint="80"/>
      <w14:textFill>
        <w14:solidFill>
          <w14:schemeClr w14:val="tx1">
            <w14:lumMod w14:val="50000"/>
            <w14:lumOff w14:val="50000"/>
          </w14:schemeClr>
        </w14:solidFill>
      </w14:textFill>
    </w:rPr>
  </w:style>
  <w:style w:type="character" w:customStyle="1" w:styleId="59">
    <w:name w:val="批注文字 Char"/>
    <w:basedOn w:val="27"/>
    <w:link w:val="8"/>
    <w:semiHidden/>
    <w:qFormat/>
    <w:uiPriority w:val="99"/>
    <w:rPr>
      <w:kern w:val="2"/>
      <w:sz w:val="21"/>
      <w:szCs w:val="22"/>
    </w:rPr>
  </w:style>
  <w:style w:type="character" w:customStyle="1" w:styleId="60">
    <w:name w:val="标题 Char"/>
    <w:basedOn w:val="27"/>
    <w:link w:val="23"/>
    <w:qFormat/>
    <w:uiPriority w:val="10"/>
    <w:rPr>
      <w:rFonts w:eastAsia="宋体" w:asciiTheme="majorHAnsi" w:hAnsiTheme="majorHAnsi" w:cstheme="majorBidi"/>
      <w:b/>
      <w:bCs/>
      <w:kern w:val="2"/>
      <w:sz w:val="32"/>
      <w:szCs w:val="32"/>
    </w:rPr>
  </w:style>
  <w:style w:type="character" w:customStyle="1" w:styleId="61">
    <w:name w:val="副标题 Char"/>
    <w:basedOn w:val="27"/>
    <w:link w:val="18"/>
    <w:qFormat/>
    <w:uiPriority w:val="11"/>
    <w:rPr>
      <w:rFonts w:eastAsia="宋体" w:asciiTheme="majorHAnsi" w:hAnsiTheme="majorHAnsi" w:cstheme="majorBidi"/>
      <w:b/>
      <w:bCs/>
      <w:kern w:val="28"/>
      <w:sz w:val="32"/>
      <w:szCs w:val="32"/>
    </w:rPr>
  </w:style>
  <w:style w:type="paragraph" w:customStyle="1" w:styleId="62">
    <w:name w:val="1 Char"/>
    <w:basedOn w:val="1"/>
    <w:semiHidden/>
    <w:qFormat/>
    <w:uiPriority w:val="0"/>
    <w:pPr>
      <w:spacing w:line="400" w:lineRule="exact"/>
      <w:ind w:firstLine="200" w:firstLineChars="200"/>
    </w:pPr>
    <w:rPr>
      <w:rFonts w:ascii="Times New Roman" w:hAnsi="Times New Roman" w:eastAsia="宋体" w:cs="Times New Roman"/>
      <w:sz w:val="24"/>
      <w:szCs w:val="24"/>
    </w:rPr>
  </w:style>
  <w:style w:type="paragraph" w:customStyle="1" w:styleId="63">
    <w:name w:val="样式 样式 小四 首行缩进:  0.85 厘米 段前: 7.8 磅 行距: 1.5 倍行距 + (符号) 宋体 首行缩进:  ..."/>
    <w:basedOn w:val="1"/>
    <w:qFormat/>
    <w:uiPriority w:val="0"/>
    <w:pPr>
      <w:spacing w:beforeLines="50" w:line="360" w:lineRule="auto"/>
      <w:ind w:firstLine="200" w:firstLineChars="200"/>
    </w:pPr>
    <w:rPr>
      <w:rFonts w:ascii="Times New Roman" w:hAnsi="Times New Roman" w:eastAsia="宋体" w:cs="宋体"/>
      <w:sz w:val="24"/>
      <w:szCs w:val="20"/>
    </w:rPr>
  </w:style>
  <w:style w:type="paragraph" w:customStyle="1" w:styleId="64">
    <w:name w:val="Default"/>
    <w:qFormat/>
    <w:uiPriority w:val="0"/>
    <w:pPr>
      <w:widowControl w:val="0"/>
      <w:autoSpaceDE w:val="0"/>
      <w:autoSpaceDN w:val="0"/>
      <w:adjustRightInd w:val="0"/>
    </w:pPr>
    <w:rPr>
      <w:rFonts w:ascii="Times New Roman" w:hAnsi="Times New Roman" w:cs="Times New Roman" w:eastAsiaTheme="minorEastAsia"/>
      <w:color w:val="000000"/>
      <w:sz w:val="24"/>
      <w:szCs w:val="24"/>
      <w:lang w:val="en-US" w:eastAsia="zh-CN" w:bidi="ar-SA"/>
    </w:rPr>
  </w:style>
  <w:style w:type="character" w:customStyle="1" w:styleId="65">
    <w:name w:val="批注主题 Char"/>
    <w:basedOn w:val="59"/>
    <w:link w:val="24"/>
    <w:semiHidden/>
    <w:qFormat/>
    <w:uiPriority w:val="99"/>
    <w:rPr>
      <w:b/>
      <w:bCs/>
      <w:kern w:val="2"/>
      <w:sz w:val="21"/>
      <w:szCs w:val="22"/>
    </w:rPr>
  </w:style>
  <w:style w:type="paragraph" w:customStyle="1" w:styleId="66">
    <w:name w:val="Char1"/>
    <w:basedOn w:val="1"/>
    <w:semiHidden/>
    <w:qFormat/>
    <w:uiPriority w:val="0"/>
    <w:pPr>
      <w:spacing w:line="400" w:lineRule="exact"/>
      <w:ind w:firstLine="200" w:firstLineChars="200"/>
    </w:pPr>
    <w:rPr>
      <w:rFonts w:ascii="Times New Roman" w:hAnsi="Times New Roman" w:eastAsia="宋体" w:cs="Times New Roman"/>
      <w:sz w:val="24"/>
      <w:szCs w:val="24"/>
    </w:rPr>
  </w:style>
  <w:style w:type="paragraph" w:customStyle="1" w:styleId="67">
    <w:name w:val="封面"/>
    <w:basedOn w:val="1"/>
    <w:qFormat/>
    <w:uiPriority w:val="0"/>
    <w:pPr>
      <w:spacing w:line="400" w:lineRule="exact"/>
      <w:ind w:firstLine="200" w:firstLineChars="200"/>
    </w:pPr>
    <w:rPr>
      <w:rFonts w:ascii="Times New Roman" w:hAnsi="Times New Roman" w:eastAsia="宋体" w:cs="Times New Roman"/>
      <w:sz w:val="24"/>
      <w:szCs w:val="24"/>
    </w:rPr>
  </w:style>
  <w:style w:type="paragraph" w:customStyle="1" w:styleId="68">
    <w:name w:val="xl63"/>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宋体" w:hAnsi="宋体" w:eastAsia="宋体" w:cs="宋体"/>
      <w:b/>
      <w:bCs/>
      <w:kern w:val="0"/>
      <w:szCs w:val="21"/>
    </w:rPr>
  </w:style>
  <w:style w:type="paragraph" w:customStyle="1" w:styleId="69">
    <w:name w:val="xl64"/>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pPr>
    <w:rPr>
      <w:rFonts w:ascii="宋体" w:hAnsi="宋体" w:eastAsia="宋体" w:cs="宋体"/>
      <w:b/>
      <w:bCs/>
      <w:kern w:val="0"/>
      <w:szCs w:val="21"/>
    </w:rPr>
  </w:style>
  <w:style w:type="paragraph" w:customStyle="1" w:styleId="70">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71">
    <w:name w:val="TOC 标题2"/>
    <w:basedOn w:val="2"/>
    <w:next w:val="1"/>
    <w:unhideWhenUsed/>
    <w:qFormat/>
    <w:uiPriority w:val="39"/>
    <w:pPr>
      <w:widowControl/>
      <w:spacing w:before="240" w:beforeLines="0" w:afterLines="0" w:line="259" w:lineRule="auto"/>
      <w:jc w:val="left"/>
      <w:outlineLvl w:val="9"/>
    </w:pPr>
    <w:rPr>
      <w:rFonts w:asciiTheme="majorHAnsi" w:hAnsiTheme="majorHAnsi" w:eastAsiaTheme="majorEastAsia" w:cstheme="majorBidi"/>
      <w:bCs w:val="0"/>
      <w:color w:val="376092" w:themeColor="accent1" w:themeShade="BF"/>
      <w:kern w:val="0"/>
      <w:szCs w:val="32"/>
    </w:rPr>
  </w:style>
  <w:style w:type="paragraph" w:customStyle="1" w:styleId="72">
    <w:name w:val="xl60"/>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73">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74">
    <w:name w:val="xl6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eastAsia="宋体" w:cs="宋体"/>
      <w:kern w:val="0"/>
      <w:sz w:val="24"/>
      <w:szCs w:val="24"/>
    </w:rPr>
  </w:style>
  <w:style w:type="paragraph" w:customStyle="1" w:styleId="75">
    <w:name w:val="列出段落1"/>
    <w:basedOn w:val="1"/>
    <w:qFormat/>
    <w:uiPriority w:val="34"/>
    <w:pPr>
      <w:ind w:firstLine="420" w:firstLineChars="200"/>
    </w:pPr>
  </w:style>
  <w:style w:type="paragraph" w:customStyle="1" w:styleId="76">
    <w:name w:val="表头"/>
    <w:basedOn w:val="1"/>
    <w:qFormat/>
    <w:uiPriority w:val="0"/>
    <w:pPr>
      <w:widowControl/>
      <w:spacing w:before="100" w:beforeAutospacing="1" w:after="100" w:afterAutospacing="1" w:line="240" w:lineRule="exact"/>
      <w:ind w:firstLine="200" w:firstLineChars="200"/>
      <w:jc w:val="center"/>
    </w:pPr>
    <w:rPr>
      <w:rFonts w:ascii="Times New Roman" w:hAnsi="Times New Roman" w:eastAsia="黑体" w:cs="宋体"/>
      <w:b/>
      <w:kern w:val="0"/>
      <w:szCs w:val="24"/>
    </w:rPr>
  </w:style>
  <w:style w:type="paragraph" w:styleId="77">
    <w:name w:val="No Spacing"/>
    <w:qFormat/>
    <w:uiPriority w:val="1"/>
    <w:pPr>
      <w:widowControl w:val="0"/>
      <w:jc w:val="center"/>
    </w:pPr>
    <w:rPr>
      <w:rFonts w:ascii="Times New Roman" w:hAnsi="Times New Roman" w:eastAsia="仿宋_GB2312" w:cstheme="minorBidi"/>
      <w:kern w:val="2"/>
      <w:sz w:val="22"/>
      <w:szCs w:val="22"/>
      <w:lang w:val="en-US" w:eastAsia="zh-CN" w:bidi="ar-SA"/>
    </w:rPr>
  </w:style>
  <w:style w:type="character" w:customStyle="1" w:styleId="78">
    <w:name w:val="标题 4 Char"/>
    <w:basedOn w:val="27"/>
    <w:link w:val="5"/>
    <w:qFormat/>
    <w:uiPriority w:val="9"/>
    <w:rPr>
      <w:rFonts w:asciiTheme="majorHAnsi" w:hAnsiTheme="majorHAnsi" w:eastAsiaTheme="majorEastAsia" w:cstheme="majorBidi"/>
      <w:b/>
      <w:bCs/>
      <w:kern w:val="2"/>
      <w:sz w:val="28"/>
      <w:szCs w:val="28"/>
    </w:rPr>
  </w:style>
  <w:style w:type="paragraph" w:customStyle="1" w:styleId="79">
    <w:name w:val="xl107"/>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0">
    <w:name w:val="xl108"/>
    <w:basedOn w:val="1"/>
    <w:qFormat/>
    <w:uiPriority w:val="0"/>
    <w:pPr>
      <w:widowControl/>
      <w:spacing w:before="100" w:beforeAutospacing="1" w:after="100" w:afterAutospacing="1"/>
      <w:jc w:val="left"/>
    </w:pPr>
    <w:rPr>
      <w:rFonts w:ascii="Times New Roman" w:hAnsi="Times New Roman" w:eastAsia="宋体" w:cs="Times New Roman"/>
      <w:kern w:val="0"/>
      <w:sz w:val="24"/>
      <w:szCs w:val="24"/>
    </w:rPr>
  </w:style>
  <w:style w:type="paragraph" w:customStyle="1" w:styleId="81">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82">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kern w:val="0"/>
      <w:sz w:val="24"/>
      <w:szCs w:val="24"/>
    </w:rPr>
  </w:style>
  <w:style w:type="paragraph" w:customStyle="1" w:styleId="83">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84">
    <w:name w:val="xl112"/>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5">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kern w:val="0"/>
      <w:sz w:val="24"/>
      <w:szCs w:val="24"/>
    </w:rPr>
  </w:style>
  <w:style w:type="paragraph" w:customStyle="1" w:styleId="86">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color w:val="000000"/>
      <w:kern w:val="0"/>
      <w:sz w:val="24"/>
      <w:szCs w:val="24"/>
    </w:rPr>
  </w:style>
  <w:style w:type="paragraph" w:customStyle="1" w:styleId="87">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kern w:val="0"/>
      <w:sz w:val="24"/>
      <w:szCs w:val="24"/>
    </w:rPr>
  </w:style>
  <w:style w:type="paragraph" w:customStyle="1" w:styleId="88">
    <w:name w:val="xl116"/>
    <w:basedOn w:val="1"/>
    <w:qFormat/>
    <w:uiPriority w:val="0"/>
    <w:pPr>
      <w:widowControl/>
      <w:spacing w:before="100" w:beforeAutospacing="1" w:after="100" w:afterAutospacing="1"/>
      <w:jc w:val="left"/>
    </w:pPr>
    <w:rPr>
      <w:rFonts w:ascii="Times New Roman" w:hAnsi="Times New Roman" w:eastAsia="宋体" w:cs="Times New Roman"/>
      <w:kern w:val="0"/>
      <w:sz w:val="24"/>
      <w:szCs w:val="24"/>
    </w:rPr>
  </w:style>
  <w:style w:type="paragraph" w:customStyle="1" w:styleId="89">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color w:val="000000"/>
      <w:kern w:val="0"/>
      <w:sz w:val="24"/>
      <w:szCs w:val="24"/>
    </w:rPr>
  </w:style>
  <w:style w:type="paragraph" w:customStyle="1" w:styleId="90">
    <w:name w:val="xl11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b/>
      <w:bCs/>
      <w:color w:val="000000"/>
      <w:kern w:val="0"/>
      <w:sz w:val="24"/>
      <w:szCs w:val="24"/>
    </w:rPr>
  </w:style>
  <w:style w:type="paragraph" w:customStyle="1" w:styleId="91">
    <w:name w:val="xl11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b/>
      <w:bCs/>
      <w:color w:val="000000"/>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5E5EBC-F26E-4A89-8691-2374E6F5A3F2}">
  <ds:schemaRefs/>
</ds:datastoreItem>
</file>

<file path=docProps/app.xml><?xml version="1.0" encoding="utf-8"?>
<Properties xmlns="http://schemas.openxmlformats.org/officeDocument/2006/extended-properties" xmlns:vt="http://schemas.openxmlformats.org/officeDocument/2006/docPropsVTypes">
  <Template>Normal.dotm</Template>
  <Company>Company</Company>
  <Pages>470</Pages>
  <Words>50700</Words>
  <Characters>288996</Characters>
  <Lines>2408</Lines>
  <Paragraphs>678</Paragraphs>
  <TotalTime>1</TotalTime>
  <ScaleCrop>false</ScaleCrop>
  <LinksUpToDate>false</LinksUpToDate>
  <CharactersWithSpaces>339018</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2021-01-11T11:19:00Z</dcterms:created>
  <dc:creator>Administrator</dc:creator>
  <cp:lastModifiedBy>Administrator</cp:lastModifiedBy>
  <cp:lastPrinted>2020-12-21T00:17:00Z</cp:lastPrinted>
  <dcterms:modified xsi:type="dcterms:W3CDTF">2021-10-09T06:54:01Z</dcterms:modified>
  <cp:revision>116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1561F41B77014EEC9B801EF3AEB0E281</vt:lpwstr>
  </property>
</Properties>
</file>