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8902D">
      <w:pPr>
        <w:rPr>
          <w:rFonts w:hint="eastAsia" w:ascii="Times New Roman" w:hAnsi="Times New Roman" w:eastAsia="仿宋_GB2312" w:cs="Times New Roman"/>
          <w:color w:val="auto"/>
          <w:sz w:val="36"/>
          <w:szCs w:val="36"/>
          <w:highlight w:val="none"/>
          <w:lang w:val="en-US" w:eastAsia="zh-CN"/>
        </w:rPr>
      </w:pPr>
    </w:p>
    <w:p w14:paraId="2765F080">
      <w:pPr>
        <w:rPr>
          <w:rFonts w:hint="default" w:ascii="Times New Roman" w:hAnsi="Times New Roman" w:eastAsia="仿宋_GB2312" w:cs="Times New Roman"/>
          <w:color w:val="auto"/>
          <w:sz w:val="36"/>
          <w:szCs w:val="36"/>
          <w:highlight w:val="none"/>
        </w:rPr>
      </w:pPr>
    </w:p>
    <w:p w14:paraId="3C16E65C">
      <w:pPr>
        <w:rPr>
          <w:rFonts w:hint="default" w:ascii="Times New Roman" w:hAnsi="Times New Roman" w:eastAsia="仿宋_GB2312" w:cs="Times New Roman"/>
          <w:color w:val="auto"/>
          <w:sz w:val="36"/>
          <w:szCs w:val="36"/>
          <w:highlight w:val="none"/>
        </w:rPr>
      </w:pPr>
    </w:p>
    <w:p w14:paraId="76BE5E90">
      <w:pPr>
        <w:rPr>
          <w:rFonts w:hint="default" w:ascii="Times New Roman" w:hAnsi="Times New Roman" w:eastAsia="仿宋_GB2312" w:cs="Times New Roman"/>
          <w:color w:val="auto"/>
          <w:sz w:val="36"/>
          <w:szCs w:val="36"/>
          <w:highlight w:val="none"/>
        </w:rPr>
      </w:pPr>
    </w:p>
    <w:p w14:paraId="6D5C1E7B">
      <w:pPr>
        <w:rPr>
          <w:rFonts w:hint="default" w:ascii="Times New Roman" w:hAnsi="Times New Roman" w:eastAsia="仿宋_GB2312" w:cs="Times New Roman"/>
          <w:color w:val="auto"/>
          <w:sz w:val="36"/>
          <w:szCs w:val="36"/>
          <w:highlight w:val="none"/>
        </w:rPr>
      </w:pPr>
    </w:p>
    <w:p w14:paraId="1302D7F0">
      <w:pPr>
        <w:adjustRightInd w:val="0"/>
        <w:snapToGrid w:val="0"/>
        <w:jc w:val="center"/>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2B8963D4">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2019A49A">
      <w:pPr>
        <w:adjustRightInd w:val="0"/>
        <w:snapToGrid w:val="0"/>
        <w:spacing w:line="288" w:lineRule="auto"/>
        <w:jc w:val="center"/>
        <w:rPr>
          <w:rFonts w:hint="default" w:ascii="Times New Roman" w:hAnsi="Times New Roman" w:eastAsia="华文仿宋" w:cs="Times New Roman"/>
          <w:color w:val="auto"/>
          <w:kern w:val="44"/>
          <w:sz w:val="44"/>
          <w:szCs w:val="44"/>
          <w:highlight w:val="none"/>
          <w:lang w:val="en-US" w:eastAsia="zh-CN"/>
        </w:rPr>
      </w:pPr>
    </w:p>
    <w:p w14:paraId="42BA8124">
      <w:pPr>
        <w:jc w:val="center"/>
        <w:rPr>
          <w:rFonts w:hint="default" w:ascii="Times New Roman" w:hAnsi="Times New Roman" w:eastAsia="仿宋" w:cs="Times New Roman"/>
          <w:color w:val="auto"/>
          <w:sz w:val="52"/>
          <w:szCs w:val="52"/>
          <w:highlight w:val="none"/>
        </w:rPr>
      </w:pPr>
    </w:p>
    <w:p w14:paraId="128691F6">
      <w:pPr>
        <w:ind w:firstLine="1040"/>
        <w:rPr>
          <w:rFonts w:hint="default" w:ascii="Times New Roman" w:hAnsi="Times New Roman" w:eastAsia="仿宋" w:cs="Times New Roman"/>
          <w:color w:val="auto"/>
          <w:sz w:val="44"/>
          <w:szCs w:val="44"/>
          <w:highlight w:val="none"/>
        </w:rPr>
      </w:pPr>
    </w:p>
    <w:p w14:paraId="0B2E0899">
      <w:pPr>
        <w:ind w:firstLine="1040"/>
        <w:rPr>
          <w:rFonts w:hint="default" w:ascii="Times New Roman" w:hAnsi="Times New Roman" w:eastAsia="仿宋" w:cs="Times New Roman"/>
          <w:color w:val="auto"/>
          <w:sz w:val="44"/>
          <w:szCs w:val="44"/>
          <w:highlight w:val="none"/>
        </w:rPr>
      </w:pPr>
    </w:p>
    <w:p w14:paraId="498C8A38">
      <w:pPr>
        <w:ind w:firstLine="1040"/>
        <w:rPr>
          <w:rFonts w:hint="default" w:ascii="Times New Roman" w:hAnsi="Times New Roman" w:eastAsia="仿宋" w:cs="Times New Roman"/>
          <w:color w:val="auto"/>
          <w:sz w:val="44"/>
          <w:szCs w:val="44"/>
          <w:highlight w:val="none"/>
        </w:rPr>
      </w:pPr>
    </w:p>
    <w:p w14:paraId="66FE57B6">
      <w:pPr>
        <w:ind w:firstLine="1040"/>
        <w:rPr>
          <w:rFonts w:hint="default" w:ascii="Times New Roman" w:hAnsi="Times New Roman" w:eastAsia="仿宋" w:cs="Times New Roman"/>
          <w:color w:val="auto"/>
          <w:sz w:val="44"/>
          <w:szCs w:val="44"/>
          <w:highlight w:val="none"/>
        </w:rPr>
      </w:pPr>
    </w:p>
    <w:p w14:paraId="58A4A6DB">
      <w:pPr>
        <w:adjustRightInd w:val="0"/>
        <w:snapToGrid w:val="0"/>
        <w:spacing w:line="288" w:lineRule="auto"/>
        <w:ind w:left="2877" w:leftChars="513" w:hanging="1800" w:hangingChars="500"/>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项目名称：</w:t>
      </w:r>
      <w:r>
        <w:rPr>
          <w:rFonts w:hint="eastAsia" w:eastAsia="仿宋_GB2312" w:cs="Times New Roman"/>
          <w:color w:val="auto"/>
          <w:sz w:val="36"/>
          <w:szCs w:val="36"/>
          <w:highlight w:val="none"/>
          <w:u w:val="single"/>
          <w:lang w:val="en-US" w:eastAsia="zh-CN"/>
        </w:rPr>
        <w:t xml:space="preserve">年产5000吨药用包装材料生产线项目   </w:t>
      </w:r>
    </w:p>
    <w:p w14:paraId="5889A164">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lang w:val="en-US"/>
        </w:rPr>
      </w:pPr>
      <w:r>
        <w:rPr>
          <w:rFonts w:hint="default" w:ascii="Times New Roman" w:hAnsi="Times New Roman" w:eastAsia="仿宋_GB2312" w:cs="Times New Roman"/>
          <w:color w:val="auto"/>
          <w:sz w:val="36"/>
          <w:szCs w:val="36"/>
          <w:highlight w:val="none"/>
        </w:rPr>
        <w:t>建设单位（盖章）：</w:t>
      </w:r>
      <w:r>
        <w:rPr>
          <w:rFonts w:hint="eastAsia" w:eastAsia="仿宋_GB2312" w:cs="Times New Roman"/>
          <w:color w:val="auto"/>
          <w:sz w:val="36"/>
          <w:szCs w:val="36"/>
          <w:highlight w:val="none"/>
          <w:u w:val="single"/>
          <w:lang w:val="en-US" w:eastAsia="zh-CN"/>
        </w:rPr>
        <w:t>湖南新五洲医药包装有限责任公司</w:t>
      </w:r>
      <w:r>
        <w:rPr>
          <w:rFonts w:hint="eastAsia" w:ascii="Times New Roman" w:hAnsi="Times New Roman" w:eastAsia="仿宋_GB2312" w:cs="Times New Roman"/>
          <w:color w:val="auto"/>
          <w:sz w:val="36"/>
          <w:szCs w:val="36"/>
          <w:highlight w:val="none"/>
          <w:u w:val="single"/>
          <w:lang w:val="en-US" w:eastAsia="zh-CN"/>
        </w:rPr>
        <w:t xml:space="preserve">   </w:t>
      </w:r>
    </w:p>
    <w:p w14:paraId="654227DA">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编制日期：</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202</w:t>
      </w:r>
      <w:r>
        <w:rPr>
          <w:rFonts w:hint="eastAsia" w:ascii="Times New Roman" w:hAnsi="Times New Roman" w:eastAsia="仿宋_GB2312" w:cs="Times New Roman"/>
          <w:color w:val="auto"/>
          <w:sz w:val="36"/>
          <w:szCs w:val="36"/>
          <w:highlight w:val="none"/>
          <w:u w:val="single"/>
          <w:lang w:val="en-US" w:eastAsia="zh-CN"/>
        </w:rPr>
        <w:t>6</w:t>
      </w:r>
      <w:r>
        <w:rPr>
          <w:rFonts w:hint="default" w:ascii="Times New Roman" w:hAnsi="Times New Roman" w:eastAsia="仿宋_GB2312" w:cs="Times New Roman"/>
          <w:color w:val="auto"/>
          <w:sz w:val="36"/>
          <w:szCs w:val="36"/>
          <w:highlight w:val="none"/>
          <w:u w:val="single"/>
        </w:rPr>
        <w:t>年</w:t>
      </w:r>
      <w:r>
        <w:rPr>
          <w:rFonts w:hint="eastAsia" w:eastAsia="仿宋_GB2312" w:cs="Times New Roman"/>
          <w:color w:val="auto"/>
          <w:sz w:val="36"/>
          <w:szCs w:val="36"/>
          <w:highlight w:val="none"/>
          <w:u w:val="single"/>
          <w:lang w:val="en-US" w:eastAsia="zh-CN"/>
        </w:rPr>
        <w:t>9</w:t>
      </w:r>
      <w:r>
        <w:rPr>
          <w:rFonts w:hint="default" w:ascii="Times New Roman" w:hAnsi="Times New Roman" w:eastAsia="仿宋_GB2312" w:cs="Times New Roman"/>
          <w:color w:val="auto"/>
          <w:sz w:val="36"/>
          <w:szCs w:val="36"/>
          <w:highlight w:val="none"/>
          <w:u w:val="single"/>
        </w:rPr>
        <w:t xml:space="preserve">月    </w:t>
      </w:r>
      <w:r>
        <w:rPr>
          <w:rFonts w:hint="eastAsia" w:ascii="Times New Roman" w:hAnsi="Times New Roman"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p>
    <w:p w14:paraId="34785B73">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bookmarkStart w:id="0" w:name="_Hlk57884087"/>
    </w:p>
    <w:p w14:paraId="7F8E6C84">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0DE71C03">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3560E5E8">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0A2AD36F">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1046FF11">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bookmarkEnd w:id="0"/>
    <w:p w14:paraId="75E2509F">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72C2C78E">
      <w:pPr>
        <w:adjustRightInd w:val="0"/>
        <w:snapToGrid w:val="0"/>
        <w:spacing w:line="288" w:lineRule="auto"/>
        <w:jc w:val="center"/>
        <w:rPr>
          <w:rFonts w:hint="default" w:ascii="Times New Roman" w:hAnsi="Times New Roman" w:eastAsia="楷体_GB2312" w:cs="Times New Roman"/>
          <w:color w:val="auto"/>
          <w:sz w:val="36"/>
          <w:szCs w:val="36"/>
          <w:highlight w:val="none"/>
        </w:rPr>
      </w:pPr>
    </w:p>
    <w:p w14:paraId="60A6A5B8">
      <w:pPr>
        <w:adjustRightInd w:val="0"/>
        <w:snapToGrid w:val="0"/>
        <w:spacing w:line="288" w:lineRule="auto"/>
        <w:jc w:val="center"/>
        <w:rPr>
          <w:rFonts w:hint="default" w:ascii="Times New Roman" w:hAnsi="Times New Roman" w:eastAsia="楷体_GB2312" w:cs="Times New Roman"/>
          <w:color w:val="auto"/>
          <w:sz w:val="36"/>
          <w:szCs w:val="36"/>
          <w:highlight w:val="none"/>
        </w:rPr>
      </w:pPr>
    </w:p>
    <w:p w14:paraId="0A4DBDEE">
      <w:pPr>
        <w:jc w:val="both"/>
        <w:rPr>
          <w:rFonts w:hint="eastAsia"/>
          <w:b w:val="0"/>
          <w:bCs w:val="0"/>
          <w:color w:val="auto"/>
          <w:sz w:val="28"/>
          <w:szCs w:val="28"/>
          <w:u w:val="single"/>
          <w:lang w:val="en-US" w:eastAsia="zh-CN"/>
        </w:rPr>
      </w:pPr>
    </w:p>
    <w:p w14:paraId="2EAD8C39">
      <w:pPr>
        <w:keepNext w:val="0"/>
        <w:keepLines w:val="0"/>
        <w:pageBreakBefore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default" w:ascii="Times New Roman" w:hAnsi="Times New Roman" w:eastAsia="黑体" w:cs="Times New Roman"/>
          <w:b w:val="0"/>
          <w:bCs w:val="0"/>
          <w:color w:val="auto"/>
          <w:sz w:val="30"/>
          <w:szCs w:val="30"/>
          <w:highlight w:val="none"/>
          <w:lang w:val="en-US" w:eastAsia="zh-CN"/>
        </w:rPr>
      </w:pPr>
      <w:r>
        <w:rPr>
          <w:rFonts w:hint="default" w:ascii="Times New Roman" w:hAnsi="Times New Roman" w:eastAsia="黑体" w:cs="Times New Roman"/>
          <w:b w:val="0"/>
          <w:bCs w:val="0"/>
          <w:color w:val="auto"/>
          <w:sz w:val="30"/>
          <w:szCs w:val="30"/>
          <w:highlight w:val="none"/>
          <w:lang w:val="en-US" w:eastAsia="zh-CN"/>
        </w:rPr>
        <w:t>目  录</w:t>
      </w:r>
    </w:p>
    <w:p w14:paraId="5063DBAD">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TOC \o "1-2" \h \u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_Toc28009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一、建设项目基本情况</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_Toc28009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2E5B5EF6">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_Toc24733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二、建设项目工程分析</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_Toc24733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13</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346F81C8">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_Toc2071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三、区域环境质量现状、环境保护目标及评价标准</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_Toc2071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29</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0480D3A6">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_Toc148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四、主要环境影响和保护措施</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_Toc148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35</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4111C3A3">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_Toc28805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五、环境保护措施监督检查清单</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_Toc28805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65</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0E31195C">
      <w:pPr>
        <w:pStyle w:val="36"/>
        <w:keepNext w:val="0"/>
        <w:keepLines w:val="0"/>
        <w:pageBreakBefore w:val="0"/>
        <w:widowControl w:val="0"/>
        <w:tabs>
          <w:tab w:val="right" w:leader="dot" w:pos="8844"/>
        </w:tabs>
        <w:kinsoku/>
        <w:wordWrap/>
        <w:overflowPunct/>
        <w:topLinePunct w:val="0"/>
        <w:autoSpaceDE/>
        <w:autoSpaceDN/>
        <w:bidi w:val="0"/>
        <w:snapToGrid/>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HYPERLINK \l _Toc25015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黑体" w:cs="Times New Roman"/>
          <w:snapToGrid w:val="0"/>
          <w:color w:val="auto"/>
          <w:sz w:val="24"/>
          <w:szCs w:val="24"/>
          <w:highlight w:val="none"/>
        </w:rPr>
        <w:t>六、结论</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PAGEREF _Toc25015 \h </w:instrText>
      </w:r>
      <w:r>
        <w:rPr>
          <w:rFonts w:hint="default" w:ascii="Times New Roman" w:hAnsi="Times New Roman" w:cs="Times New Roman"/>
          <w:color w:val="auto"/>
          <w:sz w:val="24"/>
          <w:szCs w:val="24"/>
          <w:highlight w:val="none"/>
        </w:rPr>
        <w:fldChar w:fldCharType="separate"/>
      </w:r>
      <w:r>
        <w:rPr>
          <w:rFonts w:hint="default" w:ascii="Times New Roman" w:hAnsi="Times New Roman" w:cs="Times New Roman"/>
          <w:color w:val="auto"/>
          <w:sz w:val="24"/>
          <w:szCs w:val="24"/>
          <w:highlight w:val="none"/>
        </w:rPr>
        <w:t>69</w:t>
      </w:r>
      <w:r>
        <w:rPr>
          <w:rFonts w:hint="default" w:ascii="Times New Roman" w:hAnsi="Times New Roman" w:cs="Times New Roman"/>
          <w:color w:val="auto"/>
          <w:sz w:val="24"/>
          <w:szCs w:val="24"/>
          <w:highlight w:val="none"/>
        </w:rPr>
        <w:fldChar w:fldCharType="end"/>
      </w:r>
      <w:r>
        <w:rPr>
          <w:rFonts w:hint="default" w:ascii="Times New Roman" w:hAnsi="Times New Roman" w:eastAsia="仿宋_GB2312" w:cs="Times New Roman"/>
          <w:color w:val="auto"/>
          <w:sz w:val="24"/>
          <w:szCs w:val="24"/>
          <w:highlight w:val="none"/>
        </w:rPr>
        <w:fldChar w:fldCharType="end"/>
      </w:r>
    </w:p>
    <w:p w14:paraId="3B5CD3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eastAsia="宋体" w:cs="Times New Roman"/>
          <w:b w:val="0"/>
          <w:bCs w:val="0"/>
          <w:color w:val="auto"/>
          <w:kern w:val="2"/>
          <w:sz w:val="24"/>
          <w:szCs w:val="24"/>
          <w:lang w:val="en-US" w:eastAsia="zh-CN" w:bidi="ar"/>
        </w:rPr>
      </w:pPr>
      <w:r>
        <w:rPr>
          <w:rFonts w:hint="default" w:ascii="Times New Roman" w:hAnsi="Times New Roman" w:eastAsia="仿宋_GB2312" w:cs="Times New Roman"/>
          <w:color w:val="auto"/>
          <w:sz w:val="24"/>
          <w:szCs w:val="24"/>
          <w:highlight w:val="none"/>
        </w:rPr>
        <w:fldChar w:fldCharType="end"/>
      </w:r>
    </w:p>
    <w:p w14:paraId="612EC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eastAsia="宋体" w:cs="Times New Roman"/>
          <w:b/>
          <w:bCs/>
          <w:color w:val="auto"/>
          <w:kern w:val="2"/>
          <w:sz w:val="24"/>
          <w:szCs w:val="24"/>
          <w:lang w:val="en-US" w:eastAsia="zh-CN" w:bidi="ar"/>
        </w:rPr>
      </w:pPr>
      <w:r>
        <w:rPr>
          <w:rFonts w:hint="default" w:ascii="Times New Roman" w:hAnsi="Times New Roman" w:eastAsia="宋体" w:cs="Times New Roman"/>
          <w:b/>
          <w:bCs/>
          <w:color w:val="auto"/>
          <w:kern w:val="2"/>
          <w:sz w:val="24"/>
          <w:szCs w:val="24"/>
          <w:lang w:val="en-US" w:eastAsia="zh-CN" w:bidi="ar"/>
        </w:rPr>
        <w:t>附图：</w:t>
      </w:r>
    </w:p>
    <w:p w14:paraId="71EEE9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sz w:val="24"/>
          <w:szCs w:val="24"/>
          <w:lang w:val="en-US"/>
        </w:rPr>
      </w:pPr>
      <w:r>
        <w:rPr>
          <w:rFonts w:hint="default" w:ascii="Times New Roman" w:hAnsi="Times New Roman" w:eastAsia="宋体" w:cs="Times New Roman"/>
          <w:b w:val="0"/>
          <w:bCs w:val="0"/>
          <w:color w:val="auto"/>
          <w:kern w:val="2"/>
          <w:sz w:val="24"/>
          <w:szCs w:val="24"/>
          <w:lang w:val="en-US" w:eastAsia="zh-CN" w:bidi="ar"/>
        </w:rPr>
        <w:t>附图1  项目地理位置图</w:t>
      </w:r>
    </w:p>
    <w:p w14:paraId="7E2FB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sz w:val="24"/>
          <w:szCs w:val="24"/>
          <w:lang w:val="en-US"/>
        </w:rPr>
      </w:pPr>
      <w:r>
        <w:rPr>
          <w:rFonts w:hint="default" w:ascii="Times New Roman" w:hAnsi="Times New Roman" w:eastAsia="宋体" w:cs="Times New Roman"/>
          <w:b w:val="0"/>
          <w:bCs w:val="0"/>
          <w:color w:val="auto"/>
          <w:kern w:val="2"/>
          <w:sz w:val="24"/>
          <w:szCs w:val="24"/>
          <w:lang w:val="en-US" w:eastAsia="zh-CN" w:bidi="ar"/>
        </w:rPr>
        <w:t xml:space="preserve">附图2  </w:t>
      </w:r>
      <w:r>
        <w:rPr>
          <w:rFonts w:hint="eastAsia" w:cs="Times New Roman"/>
          <w:b w:val="0"/>
          <w:bCs w:val="0"/>
          <w:color w:val="auto"/>
          <w:kern w:val="2"/>
          <w:sz w:val="24"/>
          <w:szCs w:val="24"/>
          <w:lang w:val="en-US" w:eastAsia="zh-CN" w:bidi="ar"/>
        </w:rPr>
        <w:t>厂区平面布置示意图</w:t>
      </w:r>
    </w:p>
    <w:p w14:paraId="15D45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
        </w:rPr>
      </w:pPr>
      <w:r>
        <w:rPr>
          <w:rFonts w:hint="default" w:ascii="Times New Roman" w:hAnsi="Times New Roman" w:eastAsia="宋体" w:cs="Times New Roman"/>
          <w:b w:val="0"/>
          <w:bCs w:val="0"/>
          <w:color w:val="auto"/>
          <w:kern w:val="2"/>
          <w:sz w:val="24"/>
          <w:szCs w:val="24"/>
          <w:lang w:val="en-US" w:eastAsia="zh-CN" w:bidi="ar"/>
        </w:rPr>
        <w:t>附图</w:t>
      </w:r>
      <w:r>
        <w:rPr>
          <w:rFonts w:hint="eastAsia" w:ascii="Times New Roman" w:hAnsi="Times New Roman" w:eastAsia="宋体" w:cs="Times New Roman"/>
          <w:b w:val="0"/>
          <w:bCs w:val="0"/>
          <w:color w:val="auto"/>
          <w:kern w:val="2"/>
          <w:sz w:val="24"/>
          <w:szCs w:val="24"/>
          <w:lang w:val="en-US" w:eastAsia="zh-CN" w:bidi="ar"/>
        </w:rPr>
        <w:t>3</w:t>
      </w:r>
      <w:r>
        <w:rPr>
          <w:rFonts w:hint="default" w:ascii="Times New Roman" w:hAnsi="Times New Roman" w:eastAsia="宋体" w:cs="Times New Roman"/>
          <w:b w:val="0"/>
          <w:bCs w:val="0"/>
          <w:color w:val="auto"/>
          <w:kern w:val="2"/>
          <w:sz w:val="24"/>
          <w:szCs w:val="24"/>
          <w:lang w:val="en-US" w:eastAsia="zh-CN" w:bidi="ar"/>
        </w:rPr>
        <w:t xml:space="preserve">  </w:t>
      </w:r>
      <w:r>
        <w:rPr>
          <w:rFonts w:hint="eastAsia" w:ascii="Times New Roman" w:hAnsi="Times New Roman" w:eastAsia="宋体" w:cs="Times New Roman"/>
          <w:b w:val="0"/>
          <w:bCs w:val="0"/>
          <w:color w:val="auto"/>
          <w:kern w:val="2"/>
          <w:sz w:val="24"/>
          <w:szCs w:val="24"/>
          <w:lang w:val="en-US" w:eastAsia="zh-CN" w:bidi="ar"/>
        </w:rPr>
        <w:t>项目大气引用数据点位图</w:t>
      </w:r>
    </w:p>
    <w:p w14:paraId="6E8A4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附图4  项目场地照片</w:t>
      </w:r>
    </w:p>
    <w:p w14:paraId="767AC4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 xml:space="preserve">附图5  </w:t>
      </w:r>
      <w:r>
        <w:rPr>
          <w:rFonts w:hint="default" w:ascii="Times New Roman" w:hAnsi="Times New Roman" w:eastAsia="宋体" w:cs="Times New Roman"/>
          <w:b w:val="0"/>
          <w:bCs w:val="0"/>
          <w:color w:val="auto"/>
          <w:kern w:val="2"/>
          <w:sz w:val="24"/>
          <w:szCs w:val="24"/>
          <w:lang w:val="en-US" w:eastAsia="zh-CN" w:bidi="ar"/>
        </w:rPr>
        <w:t>项目平面布置示意图项目环境保护目标</w:t>
      </w:r>
      <w:r>
        <w:rPr>
          <w:rFonts w:hint="eastAsia" w:ascii="Times New Roman" w:hAnsi="Times New Roman" w:eastAsia="宋体" w:cs="Times New Roman"/>
          <w:b w:val="0"/>
          <w:bCs w:val="0"/>
          <w:color w:val="auto"/>
          <w:kern w:val="2"/>
          <w:sz w:val="24"/>
          <w:szCs w:val="24"/>
          <w:lang w:val="en-US" w:eastAsia="zh-CN" w:bidi="ar"/>
        </w:rPr>
        <w:t>分布</w:t>
      </w:r>
      <w:r>
        <w:rPr>
          <w:rFonts w:hint="default" w:ascii="Times New Roman" w:hAnsi="Times New Roman" w:eastAsia="宋体" w:cs="Times New Roman"/>
          <w:b w:val="0"/>
          <w:bCs w:val="0"/>
          <w:color w:val="auto"/>
          <w:kern w:val="2"/>
          <w:sz w:val="24"/>
          <w:szCs w:val="24"/>
          <w:lang w:val="en-US" w:eastAsia="zh-CN" w:bidi="ar"/>
        </w:rPr>
        <w:t>图</w:t>
      </w:r>
    </w:p>
    <w:p w14:paraId="1C1D4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附图6  祁阳高新技术产业开发区</w:t>
      </w:r>
      <w:r>
        <w:rPr>
          <w:rFonts w:hint="eastAsia" w:cs="Times New Roman"/>
          <w:b w:val="0"/>
          <w:bCs w:val="0"/>
          <w:color w:val="auto"/>
          <w:kern w:val="2"/>
          <w:sz w:val="24"/>
          <w:szCs w:val="24"/>
          <w:lang w:val="en-US" w:eastAsia="zh-CN" w:bidi="ar"/>
        </w:rPr>
        <w:t>新区</w:t>
      </w:r>
      <w:r>
        <w:rPr>
          <w:rFonts w:hint="eastAsia" w:ascii="Times New Roman" w:hAnsi="Times New Roman" w:eastAsia="宋体" w:cs="Times New Roman"/>
          <w:b w:val="0"/>
          <w:bCs w:val="0"/>
          <w:color w:val="auto"/>
          <w:kern w:val="2"/>
          <w:sz w:val="24"/>
          <w:szCs w:val="24"/>
          <w:lang w:val="en-US" w:eastAsia="zh-CN" w:bidi="ar"/>
        </w:rPr>
        <w:t>片区控制性详细规划</w:t>
      </w:r>
    </w:p>
    <w:p w14:paraId="4719C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附图7  项目排水规划</w:t>
      </w:r>
      <w:r>
        <w:rPr>
          <w:rFonts w:hint="eastAsia" w:cs="Times New Roman"/>
          <w:b w:val="0"/>
          <w:bCs w:val="0"/>
          <w:color w:val="auto"/>
          <w:kern w:val="2"/>
          <w:sz w:val="24"/>
          <w:szCs w:val="24"/>
          <w:lang w:val="en-US" w:eastAsia="zh-CN" w:bidi="ar"/>
        </w:rPr>
        <w:t>路线</w:t>
      </w:r>
      <w:r>
        <w:rPr>
          <w:rFonts w:hint="eastAsia" w:ascii="Times New Roman" w:hAnsi="Times New Roman" w:eastAsia="宋体" w:cs="Times New Roman"/>
          <w:b w:val="0"/>
          <w:bCs w:val="0"/>
          <w:color w:val="auto"/>
          <w:kern w:val="2"/>
          <w:sz w:val="24"/>
          <w:szCs w:val="24"/>
          <w:lang w:val="en-US" w:eastAsia="zh-CN" w:bidi="ar"/>
        </w:rPr>
        <w:t>图</w:t>
      </w:r>
    </w:p>
    <w:p w14:paraId="73712FAF">
      <w:pPr>
        <w:pStyle w:val="2"/>
        <w:keepNext w:val="0"/>
        <w:keepLines w:val="0"/>
        <w:pageBreakBefore w:val="0"/>
        <w:kinsoku/>
        <w:wordWrap/>
        <w:overflowPunct/>
        <w:topLinePunct w:val="0"/>
        <w:autoSpaceDE/>
        <w:autoSpaceDN/>
        <w:bidi w:val="0"/>
        <w:adjustRightInd/>
        <w:snapToGrid/>
        <w:spacing w:line="360" w:lineRule="auto"/>
        <w:ind w:right="0"/>
        <w:textAlignment w:val="auto"/>
        <w:rPr>
          <w:rFonts w:hint="default" w:ascii="Times New Roman" w:hAnsi="Times New Roman" w:eastAsia="宋体" w:cs="Times New Roman"/>
          <w:b w:val="0"/>
          <w:bCs w:val="0"/>
          <w:color w:val="auto"/>
          <w:sz w:val="24"/>
          <w:szCs w:val="24"/>
          <w:highlight w:val="none"/>
        </w:rPr>
      </w:pPr>
    </w:p>
    <w:p w14:paraId="5D5E27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Times New Roman" w:hAnsi="Times New Roman" w:eastAsia="宋体" w:cs="Times New Roman"/>
          <w:b/>
          <w:bCs/>
          <w:color w:val="auto"/>
          <w:kern w:val="2"/>
          <w:sz w:val="24"/>
          <w:szCs w:val="24"/>
          <w:lang w:val="en-US" w:eastAsia="zh-CN" w:bidi="ar"/>
        </w:rPr>
      </w:pPr>
      <w:r>
        <w:rPr>
          <w:rFonts w:hint="default" w:ascii="Times New Roman" w:hAnsi="Times New Roman" w:eastAsia="宋体" w:cs="Times New Roman"/>
          <w:b/>
          <w:bCs/>
          <w:color w:val="auto"/>
          <w:kern w:val="2"/>
          <w:sz w:val="24"/>
          <w:szCs w:val="24"/>
          <w:lang w:val="en-US" w:eastAsia="zh-CN" w:bidi="ar"/>
        </w:rPr>
        <w:t>附件：</w:t>
      </w:r>
    </w:p>
    <w:p w14:paraId="2D043495">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sz w:val="24"/>
          <w:szCs w:val="24"/>
          <w:lang w:eastAsia="zh-CN"/>
        </w:rPr>
        <w:t>委托书</w:t>
      </w:r>
    </w:p>
    <w:p w14:paraId="3E4A500E">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sz w:val="24"/>
          <w:szCs w:val="24"/>
          <w:lang w:eastAsia="zh-CN"/>
        </w:rPr>
        <w:t>营业执照</w:t>
      </w:r>
    </w:p>
    <w:p w14:paraId="4E8D779B">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项目备案文件</w:t>
      </w:r>
    </w:p>
    <w:p w14:paraId="21502E27">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厂房租赁合同</w:t>
      </w:r>
    </w:p>
    <w:p w14:paraId="3B389DEB">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sz w:val="24"/>
          <w:szCs w:val="24"/>
          <w:lang w:eastAsia="zh-CN"/>
        </w:rPr>
        <w:t>工业园规划环评审查意见</w:t>
      </w:r>
    </w:p>
    <w:p w14:paraId="2B2BF4C2">
      <w:pPr>
        <w:pStyle w:val="92"/>
        <w:keepNext w:val="0"/>
        <w:keepLines w:val="0"/>
        <w:pageBreakBefore w:val="0"/>
        <w:widowControl/>
        <w:numPr>
          <w:ilvl w:val="0"/>
          <w:numId w:val="2"/>
        </w:numPr>
        <w:kinsoku/>
        <w:wordWrap/>
        <w:overflowPunct/>
        <w:topLinePunct w:val="0"/>
        <w:autoSpaceDE/>
        <w:autoSpaceDN/>
        <w:bidi w:val="0"/>
        <w:adjustRightInd/>
        <w:snapToGrid/>
        <w:spacing w:before="0" w:after="0" w:line="360" w:lineRule="auto"/>
        <w:ind w:left="0" w:firstLine="480" w:firstLineChars="200"/>
        <w:textAlignment w:val="auto"/>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原料MSDS资料</w:t>
      </w:r>
    </w:p>
    <w:p w14:paraId="5603CAB4">
      <w:pPr>
        <w:keepNext w:val="0"/>
        <w:keepLines w:val="0"/>
        <w:pageBreakBefore w:val="0"/>
        <w:kinsoku/>
        <w:wordWrap/>
        <w:overflowPunct/>
        <w:topLinePunct w:val="0"/>
        <w:autoSpaceDE/>
        <w:autoSpaceDN/>
        <w:bidi w:val="0"/>
        <w:adjustRightInd/>
        <w:snapToGrid/>
        <w:spacing w:line="240" w:lineRule="auto"/>
        <w:ind w:right="0"/>
        <w:textAlignment w:val="auto"/>
        <w:rPr>
          <w:rFonts w:hint="default" w:ascii="Times New Roman" w:hAnsi="Times New Roman" w:eastAsia="宋体" w:cs="Times New Roman"/>
          <w:b w:val="0"/>
          <w:bCs w:val="0"/>
          <w:color w:val="auto"/>
          <w:sz w:val="21"/>
          <w:szCs w:val="21"/>
          <w:u w:val="none"/>
        </w:rPr>
      </w:pPr>
    </w:p>
    <w:p w14:paraId="736D285C">
      <w:pPr>
        <w:keepNext w:val="0"/>
        <w:keepLines w:val="0"/>
        <w:pageBreakBefore w:val="0"/>
        <w:kinsoku/>
        <w:wordWrap/>
        <w:overflowPunct/>
        <w:topLinePunct w:val="0"/>
        <w:autoSpaceDE/>
        <w:autoSpaceDN/>
        <w:bidi w:val="0"/>
        <w:adjustRightInd/>
        <w:snapToGrid/>
        <w:spacing w:line="240" w:lineRule="auto"/>
        <w:ind w:right="0"/>
        <w:textAlignment w:val="auto"/>
        <w:rPr>
          <w:rFonts w:hint="default" w:ascii="Times New Roman" w:hAnsi="Times New Roman" w:eastAsia="宋体" w:cs="Times New Roman"/>
          <w:b w:val="0"/>
          <w:bCs w:val="0"/>
          <w:color w:val="auto"/>
          <w:sz w:val="21"/>
          <w:szCs w:val="21"/>
          <w:u w:val="none"/>
        </w:rPr>
        <w:sectPr>
          <w:footerReference r:id="rId3" w:type="default"/>
          <w:pgSz w:w="11906" w:h="16838"/>
          <w:pgMar w:top="1701" w:right="1020" w:bottom="1701" w:left="1020"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31D12F4C">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pPr>
      <w:bookmarkStart w:id="1" w:name="_Toc28009"/>
      <w:r>
        <w:rPr>
          <w:rFonts w:hint="default" w:ascii="Times New Roman" w:hAnsi="Times New Roman" w:eastAsia="黑体" w:cs="Times New Roman"/>
          <w:snapToGrid w:val="0"/>
          <w:color w:val="auto"/>
          <w:sz w:val="30"/>
          <w:szCs w:val="30"/>
          <w:highlight w:val="none"/>
        </w:rPr>
        <w:t>一、建设项目基本情况</w:t>
      </w:r>
      <w:bookmarkEnd w:id="1"/>
    </w:p>
    <w:tbl>
      <w:tblPr>
        <w:tblStyle w:val="44"/>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75"/>
        <w:gridCol w:w="2244"/>
        <w:gridCol w:w="2212"/>
        <w:gridCol w:w="2639"/>
      </w:tblGrid>
      <w:tr w14:paraId="25A7E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1775" w:type="dxa"/>
            <w:noWrap w:val="0"/>
            <w:tcMar>
              <w:top w:w="16" w:type="dxa"/>
              <w:left w:w="16" w:type="dxa"/>
              <w:right w:w="16" w:type="dxa"/>
            </w:tcMar>
            <w:vAlign w:val="center"/>
          </w:tcPr>
          <w:p w14:paraId="5F2A1587">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建设项目名称</w:t>
            </w:r>
          </w:p>
        </w:tc>
        <w:tc>
          <w:tcPr>
            <w:tcW w:w="7095" w:type="dxa"/>
            <w:gridSpan w:val="3"/>
            <w:noWrap w:val="0"/>
            <w:vAlign w:val="center"/>
          </w:tcPr>
          <w:p w14:paraId="70A36205">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年产5000吨药用包装材料生产线项目</w:t>
            </w:r>
          </w:p>
        </w:tc>
      </w:tr>
      <w:tr w14:paraId="3050A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1" w:hRule="atLeast"/>
          <w:jc w:val="center"/>
        </w:trPr>
        <w:tc>
          <w:tcPr>
            <w:tcW w:w="1775" w:type="dxa"/>
            <w:noWrap w:val="0"/>
            <w:tcMar>
              <w:top w:w="16" w:type="dxa"/>
              <w:left w:w="16" w:type="dxa"/>
              <w:right w:w="16" w:type="dxa"/>
            </w:tcMar>
            <w:vAlign w:val="center"/>
          </w:tcPr>
          <w:p w14:paraId="68F1E1BE">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项目代码</w:t>
            </w:r>
          </w:p>
        </w:tc>
        <w:tc>
          <w:tcPr>
            <w:tcW w:w="7095" w:type="dxa"/>
            <w:gridSpan w:val="3"/>
            <w:noWrap w:val="0"/>
            <w:vAlign w:val="center"/>
          </w:tcPr>
          <w:p w14:paraId="3EFD932B">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2608-431121-04-05-559304</w:t>
            </w:r>
          </w:p>
        </w:tc>
      </w:tr>
      <w:tr w14:paraId="2FA41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775" w:type="dxa"/>
            <w:noWrap w:val="0"/>
            <w:tcMar>
              <w:top w:w="16" w:type="dxa"/>
              <w:left w:w="16" w:type="dxa"/>
              <w:right w:w="16" w:type="dxa"/>
            </w:tcMar>
            <w:vAlign w:val="center"/>
          </w:tcPr>
          <w:p w14:paraId="79B0DA95">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建设单位联系人</w:t>
            </w:r>
          </w:p>
        </w:tc>
        <w:tc>
          <w:tcPr>
            <w:tcW w:w="2244" w:type="dxa"/>
            <w:noWrap w:val="0"/>
            <w:vAlign w:val="center"/>
          </w:tcPr>
          <w:p w14:paraId="38965A1E">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rPr>
              <w:t>范爱春</w:t>
            </w:r>
          </w:p>
        </w:tc>
        <w:tc>
          <w:tcPr>
            <w:tcW w:w="2212" w:type="dxa"/>
            <w:noWrap w:val="0"/>
            <w:vAlign w:val="center"/>
          </w:tcPr>
          <w:p w14:paraId="6E8E12F1">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2639" w:type="dxa"/>
            <w:noWrap w:val="0"/>
            <w:vAlign w:val="center"/>
          </w:tcPr>
          <w:p w14:paraId="67EA0379">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rPr>
              <w:t>188</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rPr>
              <w:t>6018</w:t>
            </w:r>
          </w:p>
        </w:tc>
      </w:tr>
      <w:tr w14:paraId="2C7E2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6" w:hRule="atLeast"/>
          <w:jc w:val="center"/>
        </w:trPr>
        <w:tc>
          <w:tcPr>
            <w:tcW w:w="1775" w:type="dxa"/>
            <w:noWrap w:val="0"/>
            <w:tcMar>
              <w:top w:w="16" w:type="dxa"/>
              <w:left w:w="16" w:type="dxa"/>
              <w:right w:w="16" w:type="dxa"/>
            </w:tcMar>
            <w:vAlign w:val="center"/>
          </w:tcPr>
          <w:p w14:paraId="5CEC917D">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7095" w:type="dxa"/>
            <w:gridSpan w:val="3"/>
            <w:noWrap w:val="0"/>
            <w:vAlign w:val="center"/>
          </w:tcPr>
          <w:p w14:paraId="0D4F8D1D">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val="en-US" w:eastAsia="zh-CN"/>
              </w:rPr>
              <w:t>湖南</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省</w:t>
            </w:r>
            <w:r>
              <w:rPr>
                <w:rFonts w:hint="default"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val="en-US" w:eastAsia="zh-CN"/>
              </w:rPr>
              <w:t>永州</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市</w:t>
            </w:r>
            <w:r>
              <w:rPr>
                <w:rFonts w:hint="default"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val="en-US" w:eastAsia="zh-CN"/>
              </w:rPr>
              <w:t>祁阳</w:t>
            </w:r>
            <w:r>
              <w:rPr>
                <w:rFonts w:hint="default"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lang w:val="en-US" w:eastAsia="zh-CN"/>
              </w:rPr>
              <w:t>市</w:t>
            </w:r>
            <w:r>
              <w:rPr>
                <w:rFonts w:hint="default" w:ascii="Times New Roman" w:hAnsi="Times New Roman" w:cs="Times New Roman"/>
                <w:color w:val="auto"/>
                <w:sz w:val="24"/>
                <w:szCs w:val="24"/>
                <w:highlight w:val="none"/>
                <w:u w:val="single"/>
              </w:rPr>
              <w:t xml:space="preserve"> </w:t>
            </w:r>
            <w:r>
              <w:rPr>
                <w:rFonts w:hint="eastAsia"/>
                <w:sz w:val="24"/>
                <w:szCs w:val="24"/>
                <w:u w:val="single"/>
                <w:lang w:val="en-US" w:eastAsia="zh-CN"/>
              </w:rPr>
              <w:t>祁阳高新技术产业开发区灯塔路152号祁阳五洲医药包装有限公司建设的二期联合厂房</w:t>
            </w:r>
            <w:r>
              <w:rPr>
                <w:rFonts w:hint="default" w:ascii="Times New Roman" w:hAnsi="Times New Roman" w:cs="Times New Roman"/>
                <w:color w:val="auto"/>
                <w:sz w:val="24"/>
                <w:szCs w:val="24"/>
                <w:highlight w:val="none"/>
                <w:u w:val="single"/>
              </w:rPr>
              <w:t xml:space="preserve"> </w:t>
            </w:r>
          </w:p>
        </w:tc>
      </w:tr>
      <w:tr w14:paraId="0E1FA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1775" w:type="dxa"/>
            <w:noWrap w:val="0"/>
            <w:tcMar>
              <w:top w:w="16" w:type="dxa"/>
              <w:left w:w="16" w:type="dxa"/>
              <w:right w:w="16" w:type="dxa"/>
            </w:tcMar>
            <w:vAlign w:val="center"/>
          </w:tcPr>
          <w:p w14:paraId="0645DE43">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地理坐标</w:t>
            </w:r>
          </w:p>
        </w:tc>
        <w:tc>
          <w:tcPr>
            <w:tcW w:w="7095" w:type="dxa"/>
            <w:gridSpan w:val="3"/>
            <w:noWrap w:val="0"/>
            <w:vAlign w:val="center"/>
          </w:tcPr>
          <w:p w14:paraId="33D95773">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u w:val="none"/>
              </w:rPr>
              <w:t>（</w:t>
            </w:r>
            <w:r>
              <w:rPr>
                <w:rFonts w:hint="default" w:ascii="Times New Roman" w:hAnsi="Times New Roman" w:cs="Times New Roman"/>
                <w:color w:val="auto"/>
                <w:sz w:val="24"/>
                <w:highlight w:val="none"/>
                <w:u w:val="none"/>
                <w:lang w:val="en-US" w:eastAsia="zh-CN"/>
              </w:rPr>
              <w:t>111</w:t>
            </w:r>
            <w:r>
              <w:rPr>
                <w:rFonts w:hint="default" w:ascii="Times New Roman" w:hAnsi="Times New Roman" w:cs="Times New Roman"/>
                <w:color w:val="auto"/>
                <w:sz w:val="24"/>
                <w:highlight w:val="none"/>
                <w:u w:val="none"/>
              </w:rPr>
              <w:t>度</w:t>
            </w:r>
            <w:r>
              <w:rPr>
                <w:rFonts w:hint="eastAsia" w:ascii="Times New Roman" w:hAnsi="Times New Roman" w:cs="Times New Roman"/>
                <w:color w:val="auto"/>
                <w:sz w:val="24"/>
                <w:highlight w:val="none"/>
                <w:u w:val="none"/>
                <w:lang w:val="en-US" w:eastAsia="zh-CN"/>
              </w:rPr>
              <w:t>51</w:t>
            </w:r>
            <w:r>
              <w:rPr>
                <w:rFonts w:hint="default" w:ascii="Times New Roman" w:hAnsi="Times New Roman" w:cs="Times New Roman"/>
                <w:color w:val="auto"/>
                <w:sz w:val="24"/>
                <w:highlight w:val="none"/>
                <w:u w:val="none"/>
              </w:rPr>
              <w:t>分</w:t>
            </w:r>
            <w:r>
              <w:rPr>
                <w:rFonts w:hint="eastAsia" w:ascii="Times New Roman" w:hAnsi="Times New Roman" w:cs="Times New Roman"/>
                <w:color w:val="auto"/>
                <w:sz w:val="24"/>
                <w:highlight w:val="none"/>
                <w:u w:val="none"/>
                <w:lang w:val="en-US" w:eastAsia="zh-CN"/>
              </w:rPr>
              <w:t>16.358</w:t>
            </w:r>
            <w:r>
              <w:rPr>
                <w:rFonts w:hint="default" w:ascii="Times New Roman" w:hAnsi="Times New Roman" w:cs="Times New Roman"/>
                <w:color w:val="auto"/>
                <w:sz w:val="24"/>
                <w:highlight w:val="none"/>
                <w:u w:val="none"/>
              </w:rPr>
              <w:t>秒，</w:t>
            </w:r>
            <w:r>
              <w:rPr>
                <w:rFonts w:hint="default" w:ascii="Times New Roman" w:hAnsi="Times New Roman" w:cs="Times New Roman"/>
                <w:color w:val="auto"/>
                <w:sz w:val="24"/>
                <w:highlight w:val="none"/>
                <w:u w:val="none"/>
                <w:lang w:val="en-US" w:eastAsia="zh-CN"/>
              </w:rPr>
              <w:t>26</w:t>
            </w:r>
            <w:r>
              <w:rPr>
                <w:rFonts w:hint="default" w:ascii="Times New Roman" w:hAnsi="Times New Roman" w:cs="Times New Roman"/>
                <w:color w:val="auto"/>
                <w:sz w:val="24"/>
                <w:highlight w:val="none"/>
                <w:u w:val="none"/>
              </w:rPr>
              <w:t>度</w:t>
            </w:r>
            <w:r>
              <w:rPr>
                <w:rFonts w:hint="eastAsia" w:ascii="Times New Roman" w:hAnsi="Times New Roman" w:cs="Times New Roman"/>
                <w:color w:val="auto"/>
                <w:sz w:val="24"/>
                <w:highlight w:val="none"/>
                <w:u w:val="none"/>
                <w:lang w:val="en-US" w:eastAsia="zh-CN"/>
              </w:rPr>
              <w:t>32</w:t>
            </w:r>
            <w:r>
              <w:rPr>
                <w:rFonts w:hint="default" w:ascii="Times New Roman" w:hAnsi="Times New Roman" w:cs="Times New Roman"/>
                <w:color w:val="auto"/>
                <w:sz w:val="24"/>
                <w:highlight w:val="none"/>
                <w:u w:val="none"/>
              </w:rPr>
              <w:t>分</w:t>
            </w:r>
            <w:r>
              <w:rPr>
                <w:rFonts w:hint="eastAsia" w:ascii="Times New Roman" w:hAnsi="Times New Roman" w:cs="Times New Roman"/>
                <w:color w:val="auto"/>
                <w:sz w:val="24"/>
                <w:highlight w:val="none"/>
                <w:u w:val="none"/>
                <w:lang w:val="en-US" w:eastAsia="zh-CN"/>
              </w:rPr>
              <w:t>56.895</w:t>
            </w:r>
            <w:r>
              <w:rPr>
                <w:rFonts w:hint="default" w:ascii="Times New Roman" w:hAnsi="Times New Roman" w:cs="Times New Roman"/>
                <w:color w:val="auto"/>
                <w:sz w:val="24"/>
                <w:highlight w:val="none"/>
                <w:u w:val="none"/>
              </w:rPr>
              <w:t>秒）</w:t>
            </w:r>
          </w:p>
        </w:tc>
      </w:tr>
      <w:tr w14:paraId="362A5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5" w:type="dxa"/>
            <w:noWrap w:val="0"/>
            <w:tcMar>
              <w:top w:w="16" w:type="dxa"/>
              <w:left w:w="16" w:type="dxa"/>
              <w:right w:w="16" w:type="dxa"/>
            </w:tcMar>
            <w:vAlign w:val="center"/>
          </w:tcPr>
          <w:p w14:paraId="3AAB24D9">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14:paraId="268A555E">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2244" w:type="dxa"/>
            <w:noWrap w:val="0"/>
            <w:vAlign w:val="center"/>
          </w:tcPr>
          <w:p w14:paraId="42285B3A">
            <w:pPr>
              <w:keepNext w:val="0"/>
              <w:keepLines w:val="0"/>
              <w:suppressLineNumbers w:val="0"/>
              <w:spacing w:before="0" w:beforeAutospacing="0" w:after="0" w:afterAutospacing="0" w:line="360" w:lineRule="auto"/>
              <w:ind w:left="0" w:right="0"/>
              <w:jc w:val="center"/>
              <w:rPr>
                <w:rFonts w:hint="default" w:ascii="Calibri" w:hAnsi="Calibri" w:cs="Times New Roman"/>
                <w:color w:val="auto"/>
                <w:kern w:val="0"/>
                <w:sz w:val="24"/>
                <w:szCs w:val="24"/>
                <w:highlight w:val="none"/>
                <w:u w:val="none"/>
                <w:lang w:val="en-US"/>
              </w:rPr>
            </w:pPr>
            <w:r>
              <w:rPr>
                <w:rFonts w:hint="default" w:ascii="Calibri" w:hAnsi="Calibri" w:cs="Times New Roman"/>
                <w:color w:val="auto"/>
                <w:kern w:val="0"/>
                <w:sz w:val="24"/>
                <w:szCs w:val="24"/>
                <w:highlight w:val="none"/>
                <w:u w:val="none"/>
                <w:lang w:val="en-US"/>
              </w:rPr>
              <w:t>C2319 包装装潢</w:t>
            </w:r>
            <w:bookmarkStart w:id="9" w:name="_GoBack"/>
            <w:bookmarkEnd w:id="9"/>
            <w:r>
              <w:rPr>
                <w:rFonts w:hint="default" w:ascii="Calibri" w:hAnsi="Calibri" w:cs="Times New Roman"/>
                <w:color w:val="auto"/>
                <w:kern w:val="0"/>
                <w:sz w:val="24"/>
                <w:szCs w:val="24"/>
                <w:highlight w:val="none"/>
                <w:u w:val="none"/>
                <w:lang w:val="en-US"/>
              </w:rPr>
              <w:t>及</w:t>
            </w:r>
          </w:p>
          <w:p w14:paraId="195FD153">
            <w:pPr>
              <w:keepNext w:val="0"/>
              <w:keepLines w:val="0"/>
              <w:suppressLineNumbers w:val="0"/>
              <w:spacing w:before="0" w:beforeAutospacing="0" w:after="0" w:afterAutospacing="0" w:line="360" w:lineRule="auto"/>
              <w:ind w:left="0" w:right="0"/>
              <w:jc w:val="center"/>
              <w:rPr>
                <w:rFonts w:hint="default" w:ascii="Calibri" w:hAnsi="Calibri" w:cs="Times New Roman"/>
                <w:color w:val="auto"/>
                <w:kern w:val="0"/>
                <w:sz w:val="24"/>
                <w:szCs w:val="24"/>
                <w:highlight w:val="none"/>
                <w:u w:val="none"/>
                <w:lang w:val="en-US"/>
              </w:rPr>
            </w:pPr>
            <w:r>
              <w:rPr>
                <w:rFonts w:hint="default" w:ascii="Calibri" w:hAnsi="Calibri" w:cs="Times New Roman"/>
                <w:color w:val="auto"/>
                <w:kern w:val="0"/>
                <w:sz w:val="24"/>
                <w:szCs w:val="24"/>
                <w:highlight w:val="none"/>
                <w:u w:val="none"/>
                <w:lang w:val="en-US"/>
              </w:rPr>
              <w:t>其他印刷</w:t>
            </w:r>
          </w:p>
          <w:p w14:paraId="6B2CD161">
            <w:pPr>
              <w:keepNext w:val="0"/>
              <w:keepLines w:val="0"/>
              <w:suppressLineNumbers w:val="0"/>
              <w:spacing w:before="0" w:beforeAutospacing="0" w:after="0" w:afterAutospacing="0" w:line="360" w:lineRule="auto"/>
              <w:ind w:left="0" w:right="0"/>
              <w:jc w:val="center"/>
              <w:rPr>
                <w:rFonts w:hint="default"/>
              </w:rPr>
            </w:pPr>
            <w:r>
              <w:rPr>
                <w:rFonts w:hint="eastAsia" w:ascii="Calibri" w:hAnsi="Calibri" w:cs="Times New Roman"/>
                <w:color w:val="auto"/>
                <w:kern w:val="0"/>
                <w:sz w:val="24"/>
                <w:szCs w:val="24"/>
                <w:highlight w:val="none"/>
                <w:u w:val="none"/>
                <w:lang w:val="en-US" w:eastAsia="zh-CN"/>
              </w:rPr>
              <w:t>C</w:t>
            </w:r>
            <w:r>
              <w:rPr>
                <w:rFonts w:hint="default" w:ascii="Calibri" w:hAnsi="Calibri" w:cs="Times New Roman"/>
                <w:color w:val="auto"/>
                <w:kern w:val="0"/>
                <w:sz w:val="24"/>
                <w:szCs w:val="24"/>
                <w:highlight w:val="none"/>
                <w:u w:val="none"/>
                <w:lang w:val="en-US"/>
              </w:rPr>
              <w:t>2921塑料薄膜制造</w:t>
            </w:r>
          </w:p>
        </w:tc>
        <w:tc>
          <w:tcPr>
            <w:tcW w:w="2212" w:type="dxa"/>
            <w:noWrap w:val="0"/>
            <w:vAlign w:val="center"/>
          </w:tcPr>
          <w:p w14:paraId="6223F4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shd w:val="clear" w:color="auto" w:fill="FFFFFF"/>
              </w:rPr>
            </w:pPr>
            <w:r>
              <w:rPr>
                <w:rFonts w:hint="eastAsia" w:ascii="Times New Roman" w:hAnsi="Times New Roman" w:cs="Times New Roman"/>
                <w:color w:val="auto"/>
                <w:sz w:val="24"/>
                <w:szCs w:val="24"/>
                <w:highlight w:val="none"/>
                <w:u w:val="none"/>
                <w:shd w:val="clear" w:color="auto" w:fill="FFFFFF"/>
              </w:rPr>
              <w:t>建设项目</w:t>
            </w:r>
          </w:p>
          <w:p w14:paraId="5B56B9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u w:val="none"/>
                <w:shd w:val="clear" w:color="auto" w:fill="FFFFFF"/>
              </w:rPr>
              <w:t>行业类别</w:t>
            </w:r>
          </w:p>
        </w:tc>
        <w:tc>
          <w:tcPr>
            <w:tcW w:w="2639" w:type="dxa"/>
            <w:noWrap w:val="0"/>
            <w:vAlign w:val="center"/>
          </w:tcPr>
          <w:p w14:paraId="5AFC4065">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u w:val="none"/>
                <w:shd w:val="clear" w:color="auto" w:fill="FFFFFF"/>
                <w:lang w:eastAsia="zh-CN"/>
              </w:rPr>
              <w:t>二十、印刷和记录媒介复制业 23 中“39印刷 231”中的“其他（激光印刷除外；年用低VOCs 含量油墨10吨以下的印刷除外）”</w:t>
            </w:r>
            <w:r>
              <w:rPr>
                <w:rFonts w:hint="eastAsia" w:cs="Times New Roman"/>
                <w:color w:val="auto"/>
                <w:sz w:val="24"/>
                <w:szCs w:val="24"/>
                <w:highlight w:val="none"/>
                <w:u w:val="none"/>
                <w:shd w:val="clear" w:color="auto" w:fill="FFFFFF"/>
                <w:lang w:eastAsia="zh-CN"/>
              </w:rPr>
              <w:t>；</w:t>
            </w:r>
            <w:r>
              <w:rPr>
                <w:rFonts w:hint="eastAsia" w:ascii="Times New Roman" w:hAnsi="Times New Roman" w:eastAsia="宋体" w:cs="Times New Roman"/>
                <w:color w:val="auto"/>
                <w:sz w:val="24"/>
                <w:szCs w:val="24"/>
                <w:highlight w:val="none"/>
                <w:lang w:val="en-US" w:eastAsia="zh-CN"/>
              </w:rPr>
              <w:t>二十六、橡胶和塑料制品业-53 塑料制品业 292-其他（年用非溶剂型低 VOCs 含量涂料 10 吨以下的除外）</w:t>
            </w:r>
          </w:p>
        </w:tc>
      </w:tr>
      <w:tr w14:paraId="38E8C3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5" w:type="dxa"/>
            <w:noWrap w:val="0"/>
            <w:tcMar>
              <w:top w:w="16" w:type="dxa"/>
              <w:left w:w="16" w:type="dxa"/>
              <w:right w:w="16" w:type="dxa"/>
            </w:tcMar>
            <w:vAlign w:val="center"/>
          </w:tcPr>
          <w:p w14:paraId="0A0BD40A">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p>
        </w:tc>
        <w:tc>
          <w:tcPr>
            <w:tcW w:w="2244" w:type="dxa"/>
            <w:noWrap w:val="0"/>
            <w:vAlign w:val="center"/>
          </w:tcPr>
          <w:p w14:paraId="6A4FB370">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52"/>
            </w:r>
            <w:r>
              <w:rPr>
                <w:rFonts w:hint="default" w:ascii="Times New Roman" w:hAnsi="Times New Roman" w:cs="Times New Roman"/>
                <w:color w:val="auto"/>
                <w:sz w:val="24"/>
                <w:szCs w:val="24"/>
                <w:highlight w:val="none"/>
              </w:rPr>
              <w:t>新建（迁建）</w:t>
            </w:r>
          </w:p>
          <w:p w14:paraId="470107C0">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□改建</w:t>
            </w:r>
          </w:p>
          <w:p w14:paraId="1A0211AD">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□扩建</w:t>
            </w:r>
          </w:p>
          <w:p w14:paraId="44FFF322">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□技术改造</w:t>
            </w:r>
          </w:p>
        </w:tc>
        <w:tc>
          <w:tcPr>
            <w:tcW w:w="2212" w:type="dxa"/>
            <w:noWrap w:val="0"/>
            <w:vAlign w:val="center"/>
          </w:tcPr>
          <w:p w14:paraId="7779C71A">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7C8675B6">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申报情形</w:t>
            </w:r>
          </w:p>
        </w:tc>
        <w:tc>
          <w:tcPr>
            <w:tcW w:w="2639" w:type="dxa"/>
            <w:noWrap w:val="0"/>
            <w:vAlign w:val="center"/>
          </w:tcPr>
          <w:p w14:paraId="5F7CC75D">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52"/>
            </w:r>
            <w:r>
              <w:rPr>
                <w:rFonts w:hint="default" w:ascii="Times New Roman" w:hAnsi="Times New Roman" w:cs="Times New Roman"/>
                <w:color w:val="auto"/>
                <w:sz w:val="24"/>
                <w:szCs w:val="24"/>
                <w:highlight w:val="none"/>
              </w:rPr>
              <w:t xml:space="preserve">首次申报项目             </w:t>
            </w:r>
          </w:p>
          <w:p w14:paraId="5F6BD0EC">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□不予批准后再次申报项目</w:t>
            </w:r>
          </w:p>
          <w:p w14:paraId="13618F85">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□超五年重新审核项目     </w:t>
            </w:r>
          </w:p>
          <w:p w14:paraId="1E716308">
            <w:pPr>
              <w:keepNext w:val="0"/>
              <w:keepLines w:val="0"/>
              <w:pageBreakBefore w:val="0"/>
              <w:widowControl w:val="0"/>
              <w:suppressLineNumbers w:val="0"/>
              <w:kinsoku/>
              <w:wordWrap/>
              <w:overflowPunct/>
              <w:topLinePunct w:val="0"/>
              <w:bidi w:val="0"/>
              <w:snapToGrid/>
              <w:spacing w:before="0" w:beforeAutospacing="0" w:after="0" w:afterAutospacing="0"/>
              <w:ind w:left="0" w:right="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□重大变动重新报批项目</w:t>
            </w:r>
          </w:p>
        </w:tc>
      </w:tr>
      <w:tr w14:paraId="4EF5D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5" w:type="dxa"/>
            <w:noWrap w:val="0"/>
            <w:tcMar>
              <w:top w:w="16" w:type="dxa"/>
              <w:left w:w="16" w:type="dxa"/>
              <w:right w:w="16" w:type="dxa"/>
            </w:tcMar>
            <w:vAlign w:val="center"/>
          </w:tcPr>
          <w:p w14:paraId="62C21587">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39948F08">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备案）部门（选填）</w:t>
            </w:r>
          </w:p>
        </w:tc>
        <w:tc>
          <w:tcPr>
            <w:tcW w:w="2244" w:type="dxa"/>
            <w:noWrap w:val="0"/>
            <w:vAlign w:val="center"/>
          </w:tcPr>
          <w:p w14:paraId="3D140EF1">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祁阳市发展和改革局</w:t>
            </w:r>
          </w:p>
        </w:tc>
        <w:tc>
          <w:tcPr>
            <w:tcW w:w="2212" w:type="dxa"/>
            <w:noWrap w:val="0"/>
            <w:vAlign w:val="center"/>
          </w:tcPr>
          <w:p w14:paraId="5D074B19">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项目审批（核准/</w:t>
            </w:r>
          </w:p>
          <w:p w14:paraId="690DC159">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备案）文号（选填）</w:t>
            </w:r>
          </w:p>
        </w:tc>
        <w:tc>
          <w:tcPr>
            <w:tcW w:w="2639" w:type="dxa"/>
            <w:noWrap w:val="0"/>
            <w:vAlign w:val="center"/>
          </w:tcPr>
          <w:p w14:paraId="636861EE">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祁发改备【2026】148号</w:t>
            </w:r>
          </w:p>
        </w:tc>
      </w:tr>
      <w:tr w14:paraId="2DF20E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775" w:type="dxa"/>
            <w:noWrap w:val="0"/>
            <w:tcMar>
              <w:top w:w="16" w:type="dxa"/>
              <w:left w:w="16" w:type="dxa"/>
              <w:right w:w="16" w:type="dxa"/>
            </w:tcMar>
            <w:vAlign w:val="center"/>
          </w:tcPr>
          <w:p w14:paraId="6D732986">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总投资（万元）</w:t>
            </w:r>
          </w:p>
        </w:tc>
        <w:tc>
          <w:tcPr>
            <w:tcW w:w="2244" w:type="dxa"/>
            <w:noWrap w:val="0"/>
            <w:vAlign w:val="center"/>
          </w:tcPr>
          <w:p w14:paraId="4D8E046E">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2000</w:t>
            </w:r>
          </w:p>
        </w:tc>
        <w:tc>
          <w:tcPr>
            <w:tcW w:w="2212" w:type="dxa"/>
            <w:noWrap w:val="0"/>
            <w:tcMar>
              <w:top w:w="16" w:type="dxa"/>
              <w:left w:w="16" w:type="dxa"/>
              <w:right w:w="16" w:type="dxa"/>
            </w:tcMar>
            <w:vAlign w:val="center"/>
          </w:tcPr>
          <w:p w14:paraId="78C39217">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环保投资（万元）</w:t>
            </w:r>
          </w:p>
        </w:tc>
        <w:tc>
          <w:tcPr>
            <w:tcW w:w="2639" w:type="dxa"/>
            <w:noWrap w:val="0"/>
            <w:vAlign w:val="center"/>
          </w:tcPr>
          <w:p w14:paraId="104B5D82">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216</w:t>
            </w:r>
          </w:p>
        </w:tc>
      </w:tr>
      <w:tr w14:paraId="58BC7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5" w:type="dxa"/>
            <w:noWrap w:val="0"/>
            <w:tcMar>
              <w:top w:w="16" w:type="dxa"/>
              <w:left w:w="16" w:type="dxa"/>
              <w:right w:w="16" w:type="dxa"/>
            </w:tcMar>
            <w:vAlign w:val="center"/>
          </w:tcPr>
          <w:p w14:paraId="20A1272D">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p>
        </w:tc>
        <w:tc>
          <w:tcPr>
            <w:tcW w:w="2244" w:type="dxa"/>
            <w:noWrap w:val="0"/>
            <w:vAlign w:val="center"/>
          </w:tcPr>
          <w:p w14:paraId="2399FBD7">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10.8</w:t>
            </w:r>
          </w:p>
        </w:tc>
        <w:tc>
          <w:tcPr>
            <w:tcW w:w="2212" w:type="dxa"/>
            <w:noWrap w:val="0"/>
            <w:tcMar>
              <w:top w:w="16" w:type="dxa"/>
              <w:left w:w="16" w:type="dxa"/>
              <w:right w:w="16" w:type="dxa"/>
            </w:tcMar>
            <w:vAlign w:val="center"/>
          </w:tcPr>
          <w:p w14:paraId="16A4E360">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2639" w:type="dxa"/>
            <w:noWrap w:val="0"/>
            <w:vAlign w:val="center"/>
          </w:tcPr>
          <w:p w14:paraId="2C6435F6">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3个月</w:t>
            </w:r>
          </w:p>
        </w:tc>
      </w:tr>
      <w:tr w14:paraId="2716A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775" w:type="dxa"/>
            <w:noWrap w:val="0"/>
            <w:tcMar>
              <w:top w:w="16" w:type="dxa"/>
              <w:left w:w="16" w:type="dxa"/>
              <w:right w:w="16" w:type="dxa"/>
            </w:tcMar>
            <w:vAlign w:val="center"/>
          </w:tcPr>
          <w:p w14:paraId="797E5FE2">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是否开工建设</w:t>
            </w:r>
          </w:p>
        </w:tc>
        <w:tc>
          <w:tcPr>
            <w:tcW w:w="2244" w:type="dxa"/>
            <w:noWrap w:val="0"/>
            <w:vAlign w:val="center"/>
          </w:tcPr>
          <w:p w14:paraId="4E2A7D8D">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52"/>
            </w:r>
            <w:r>
              <w:rPr>
                <w:rFonts w:hint="default" w:ascii="Times New Roman" w:hAnsi="Times New Roman" w:cs="Times New Roman"/>
                <w:color w:val="auto"/>
                <w:sz w:val="24"/>
                <w:szCs w:val="24"/>
                <w:highlight w:val="none"/>
              </w:rPr>
              <w:t>否</w:t>
            </w:r>
          </w:p>
          <w:p w14:paraId="6FECFF59">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是：</w:t>
            </w:r>
            <w:r>
              <w:rPr>
                <w:rFonts w:hint="default" w:ascii="Times New Roman" w:hAnsi="Times New Roman" w:cs="Times New Roman"/>
                <w:color w:val="auto"/>
                <w:sz w:val="24"/>
                <w:szCs w:val="24"/>
                <w:highlight w:val="none"/>
                <w:u w:val="single"/>
              </w:rPr>
              <w:t xml:space="preserve">             </w:t>
            </w:r>
          </w:p>
        </w:tc>
        <w:tc>
          <w:tcPr>
            <w:tcW w:w="2212" w:type="dxa"/>
            <w:noWrap w:val="0"/>
            <w:tcMar>
              <w:top w:w="16" w:type="dxa"/>
              <w:left w:w="16" w:type="dxa"/>
              <w:right w:w="16" w:type="dxa"/>
            </w:tcMar>
            <w:vAlign w:val="center"/>
          </w:tcPr>
          <w:p w14:paraId="30A45FE7">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rPr>
              <w:t>用地（用海）</w:t>
            </w:r>
          </w:p>
          <w:p w14:paraId="20567104">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6"/>
                <w:sz w:val="24"/>
                <w:szCs w:val="24"/>
                <w:highlight w:val="none"/>
              </w:rPr>
              <w:t>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2639" w:type="dxa"/>
            <w:noWrap w:val="0"/>
            <w:vAlign w:val="center"/>
          </w:tcPr>
          <w:p w14:paraId="7CFC0C58">
            <w:pPr>
              <w:keepNext w:val="0"/>
              <w:keepLines w:val="0"/>
              <w:pageBreakBefore w:val="0"/>
              <w:widowControl w:val="0"/>
              <w:suppressLineNumbers w:val="0"/>
              <w:kinsoku/>
              <w:wordWrap/>
              <w:overflowPunct/>
              <w:topLinePunct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0000FF"/>
                <w:sz w:val="24"/>
                <w:szCs w:val="24"/>
                <w:highlight w:val="none"/>
                <w:lang w:val="en-US" w:eastAsia="zh-CN"/>
              </w:rPr>
            </w:pPr>
            <w:r>
              <w:rPr>
                <w:rFonts w:hint="eastAsia" w:cs="Times New Roman"/>
                <w:color w:val="auto"/>
                <w:sz w:val="24"/>
                <w:szCs w:val="24"/>
                <w:highlight w:val="none"/>
                <w:u w:val="none"/>
                <w:lang w:val="en-US" w:eastAsia="zh-CN"/>
              </w:rPr>
              <w:t>5000</w:t>
            </w:r>
          </w:p>
        </w:tc>
      </w:tr>
      <w:tr w14:paraId="3EC29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775" w:type="dxa"/>
            <w:noWrap w:val="0"/>
            <w:vAlign w:val="center"/>
          </w:tcPr>
          <w:p w14:paraId="18BBE11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专项评价设置情况</w:t>
            </w:r>
          </w:p>
        </w:tc>
        <w:tc>
          <w:tcPr>
            <w:tcW w:w="7095" w:type="dxa"/>
            <w:gridSpan w:val="3"/>
            <w:noWrap w:val="0"/>
            <w:vAlign w:val="center"/>
          </w:tcPr>
          <w:p w14:paraId="61F39FD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无</w:t>
            </w:r>
          </w:p>
        </w:tc>
      </w:tr>
      <w:tr w14:paraId="53B98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775" w:type="dxa"/>
            <w:noWrap w:val="0"/>
            <w:vAlign w:val="center"/>
          </w:tcPr>
          <w:p w14:paraId="5A855BB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规划情况</w:t>
            </w:r>
          </w:p>
        </w:tc>
        <w:tc>
          <w:tcPr>
            <w:tcW w:w="7095" w:type="dxa"/>
            <w:gridSpan w:val="3"/>
            <w:noWrap w:val="0"/>
            <w:vAlign w:val="center"/>
          </w:tcPr>
          <w:p w14:paraId="1AB0BCCA">
            <w:pPr>
              <w:keepNext w:val="0"/>
              <w:keepLines w:val="0"/>
              <w:suppressLineNumbers w:val="0"/>
              <w:autoSpaceDE w:val="0"/>
              <w:autoSpaceDN w:val="0"/>
              <w:spacing w:before="0" w:beforeAutospacing="0" w:after="0" w:afterAutospacing="0" w:line="360" w:lineRule="auto"/>
              <w:ind w:left="0" w:right="0"/>
              <w:jc w:val="left"/>
              <w:rPr>
                <w:rFonts w:hint="default"/>
                <w:color w:val="000000"/>
                <w:kern w:val="2"/>
                <w:sz w:val="24"/>
                <w:szCs w:val="24"/>
                <w:lang w:val="en-US" w:eastAsia="zh-CN" w:bidi="ar-SA"/>
              </w:rPr>
            </w:pPr>
            <w:r>
              <w:rPr>
                <w:rFonts w:hint="default"/>
                <w:color w:val="000000"/>
                <w:kern w:val="2"/>
                <w:sz w:val="24"/>
                <w:szCs w:val="24"/>
                <w:lang w:val="en-US" w:eastAsia="zh-CN" w:bidi="ar-SA"/>
              </w:rPr>
              <w:t>规划名称：</w:t>
            </w:r>
            <w:r>
              <w:rPr>
                <w:rFonts w:hint="eastAsia" w:ascii="Times New Roman" w:hAnsi="Times New Roman" w:eastAsia="宋体" w:cs="Times New Roman"/>
                <w:color w:val="auto"/>
                <w:sz w:val="24"/>
                <w:szCs w:val="24"/>
                <w:highlight w:val="none"/>
                <w:lang w:val="en-US" w:eastAsia="zh-CN"/>
              </w:rPr>
              <w:t>祁阳高新技术产业开发区调区扩区规划</w:t>
            </w:r>
            <w:r>
              <w:rPr>
                <w:rFonts w:hint="default"/>
                <w:color w:val="000000"/>
                <w:kern w:val="2"/>
                <w:sz w:val="24"/>
                <w:szCs w:val="24"/>
                <w:lang w:val="en-US" w:eastAsia="zh-CN" w:bidi="ar-SA"/>
              </w:rPr>
              <w:t>；</w:t>
            </w:r>
          </w:p>
          <w:p w14:paraId="24820174">
            <w:pPr>
              <w:keepNext w:val="0"/>
              <w:keepLines w:val="0"/>
              <w:suppressLineNumbers w:val="0"/>
              <w:autoSpaceDE w:val="0"/>
              <w:autoSpaceDN w:val="0"/>
              <w:spacing w:before="0" w:beforeAutospacing="0" w:after="0" w:afterAutospacing="0" w:line="360" w:lineRule="auto"/>
              <w:ind w:left="0" w:right="0"/>
              <w:jc w:val="left"/>
              <w:rPr>
                <w:rFonts w:hint="eastAsia" w:ascii="Times New Roman" w:hAnsi="Times New Roman" w:eastAsia="宋体" w:cs="Times New Roman"/>
                <w:color w:val="auto"/>
                <w:sz w:val="24"/>
                <w:szCs w:val="24"/>
                <w:highlight w:val="none"/>
                <w:lang w:val="en-US" w:eastAsia="zh-CN"/>
              </w:rPr>
            </w:pPr>
            <w:r>
              <w:rPr>
                <w:rFonts w:hint="default"/>
                <w:color w:val="000000"/>
                <w:kern w:val="2"/>
                <w:sz w:val="24"/>
                <w:szCs w:val="24"/>
                <w:lang w:val="en-US" w:eastAsia="zh-CN" w:bidi="ar-SA"/>
              </w:rPr>
              <w:t>审批机关：祁阳市人民政府；</w:t>
            </w:r>
          </w:p>
        </w:tc>
      </w:tr>
      <w:tr w14:paraId="5D347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775" w:type="dxa"/>
            <w:noWrap w:val="0"/>
            <w:vAlign w:val="center"/>
          </w:tcPr>
          <w:p w14:paraId="5E15952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规划环境影响</w:t>
            </w:r>
          </w:p>
          <w:p w14:paraId="49050A4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评价情况</w:t>
            </w:r>
          </w:p>
        </w:tc>
        <w:tc>
          <w:tcPr>
            <w:tcW w:w="7095" w:type="dxa"/>
            <w:gridSpan w:val="3"/>
            <w:noWrap w:val="0"/>
            <w:vAlign w:val="center"/>
          </w:tcPr>
          <w:p w14:paraId="37DF36C6">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规划环境影响评价文件：</w:t>
            </w:r>
            <w:r>
              <w:rPr>
                <w:rFonts w:hint="eastAsia" w:ascii="Times New Roman" w:hAnsi="Times New Roman" w:eastAsia="宋体" w:cs="Times New Roman"/>
                <w:color w:val="auto"/>
                <w:sz w:val="24"/>
                <w:szCs w:val="24"/>
                <w:highlight w:val="none"/>
                <w:lang w:val="en-US" w:eastAsia="zh-CN"/>
              </w:rPr>
              <w:t>《祁阳高新技术产业开发区调区扩区规划环境影响报告书》</w:t>
            </w:r>
          </w:p>
          <w:p w14:paraId="7752EF75">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召集审查机关：湖南省</w:t>
            </w:r>
            <w:r>
              <w:rPr>
                <w:rFonts w:hint="eastAsia" w:ascii="Times New Roman" w:hAnsi="Times New Roman" w:eastAsia="宋体" w:cs="Times New Roman"/>
                <w:color w:val="auto"/>
                <w:sz w:val="24"/>
                <w:szCs w:val="24"/>
                <w:highlight w:val="none"/>
                <w:lang w:val="en-US" w:eastAsia="zh-CN"/>
              </w:rPr>
              <w:t>生态环境厅</w:t>
            </w:r>
            <w:r>
              <w:rPr>
                <w:rFonts w:hint="default" w:ascii="Times New Roman" w:hAnsi="Times New Roman" w:eastAsia="宋体" w:cs="Times New Roman"/>
                <w:color w:val="auto"/>
                <w:sz w:val="24"/>
                <w:szCs w:val="24"/>
                <w:highlight w:val="none"/>
                <w:lang w:val="en-US" w:eastAsia="zh-CN"/>
              </w:rPr>
              <w:t>；</w:t>
            </w:r>
          </w:p>
          <w:p w14:paraId="7697F405">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审查文号：《</w:t>
            </w:r>
            <w:r>
              <w:rPr>
                <w:rFonts w:hint="eastAsia" w:ascii="Times New Roman" w:hAnsi="Times New Roman" w:eastAsia="宋体" w:cs="Times New Roman"/>
                <w:color w:val="auto"/>
                <w:sz w:val="24"/>
                <w:szCs w:val="24"/>
                <w:highlight w:val="none"/>
                <w:lang w:val="en-US" w:eastAsia="zh-CN"/>
              </w:rPr>
              <w:t>祁阳高新技术产业开发区调区扩区规划环境影响报告书</w:t>
            </w:r>
            <w:r>
              <w:rPr>
                <w:rFonts w:hint="default" w:ascii="Times New Roman" w:hAnsi="Times New Roman" w:eastAsia="宋体" w:cs="Times New Roman"/>
                <w:color w:val="auto"/>
                <w:sz w:val="24"/>
                <w:szCs w:val="24"/>
                <w:highlight w:val="none"/>
                <w:lang w:val="en-US" w:eastAsia="zh-CN"/>
              </w:rPr>
              <w:t>审查意见的函》(湘环评函[20</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29</w:t>
            </w:r>
            <w:r>
              <w:rPr>
                <w:rFonts w:hint="default" w:ascii="Times New Roman" w:hAnsi="Times New Roman" w:eastAsia="宋体" w:cs="Times New Roman"/>
                <w:color w:val="auto"/>
                <w:sz w:val="24"/>
                <w:szCs w:val="24"/>
                <w:highlight w:val="none"/>
                <w:lang w:val="en-US" w:eastAsia="zh-CN"/>
              </w:rPr>
              <w:t>号)</w:t>
            </w:r>
          </w:p>
        </w:tc>
      </w:tr>
      <w:tr w14:paraId="61A4E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4" w:hRule="atLeast"/>
          <w:jc w:val="center"/>
        </w:trPr>
        <w:tc>
          <w:tcPr>
            <w:tcW w:w="1775" w:type="dxa"/>
            <w:noWrap w:val="0"/>
            <w:vAlign w:val="center"/>
          </w:tcPr>
          <w:p w14:paraId="2F22357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规划及规划环境影响评价符合性分析</w:t>
            </w:r>
          </w:p>
        </w:tc>
        <w:tc>
          <w:tcPr>
            <w:tcW w:w="7095" w:type="dxa"/>
            <w:gridSpan w:val="3"/>
            <w:noWrap w:val="0"/>
            <w:vAlign w:val="center"/>
          </w:tcPr>
          <w:p w14:paraId="59874BEA">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1、与园区规划相符性分析</w:t>
            </w:r>
          </w:p>
          <w:p w14:paraId="0E180CF2">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本项目位于</w:t>
            </w:r>
            <w:r>
              <w:rPr>
                <w:rFonts w:hint="eastAsia" w:cs="Times New Roman"/>
                <w:color w:val="auto"/>
                <w:sz w:val="24"/>
                <w:szCs w:val="24"/>
                <w:highlight w:val="none"/>
                <w:lang w:val="en-US" w:eastAsia="zh-CN"/>
              </w:rPr>
              <w:t>祁阳高新技术产业开发区灯塔路152号祁阳五洲医药包装有限公司建设的二期联合厂房</w:t>
            </w:r>
            <w:r>
              <w:rPr>
                <w:rFonts w:hint="eastAsia" w:ascii="Times New Roman" w:hAnsi="Times New Roman" w:eastAsia="宋体" w:cs="Times New Roman"/>
                <w:color w:val="auto"/>
                <w:sz w:val="24"/>
                <w:szCs w:val="24"/>
                <w:highlight w:val="none"/>
                <w:lang w:val="en-US" w:eastAsia="zh-CN"/>
              </w:rPr>
              <w:t>，根据《湖南祁阳工业园区新区总体规划-新区片区土地利用规划图》（2016-2020）、《祁阳高新技术开发区调区扩区规划环境影响报告书》（湘环评函（2024）29 号），新区片区主要发展装备制造、轻工纺织（服装服饰业、制鞋业、文体用品制造业等）、食品生物医药、新能源新材料（锂电池制造、特种陶瓷制造等）为主导产业，辅助发展高端服务业。本项目占地为工业用地，项目生产属于包装装潢及其他印刷，不属于祁阳高新技术产业开发区（新区片区）产业准入清单中限制、禁止引入企业（祁阳高新技术产业开发区规划后续实施产业准入清单详见表 1-1），因此，本项目符合祁阳高新技术产业开发区新区片区规划建设要求。</w:t>
            </w:r>
          </w:p>
          <w:p w14:paraId="7D79FBA0">
            <w:pPr>
              <w:pStyle w:val="43"/>
              <w:keepNext w:val="0"/>
              <w:keepLines w:val="0"/>
              <w:suppressLineNumbers w:val="0"/>
              <w:spacing w:before="0" w:beforeAutospacing="0" w:afterAutospacing="0"/>
              <w:ind w:left="0" w:leftChars="0" w:right="0" w:firstLine="0" w:firstLineChars="0"/>
              <w:jc w:val="center"/>
              <w:rPr>
                <w:rFonts w:hint="eastAsia"/>
                <w:b/>
                <w:bCs/>
                <w:sz w:val="21"/>
                <w:szCs w:val="21"/>
                <w:lang w:val="en-US" w:eastAsia="zh-CN"/>
              </w:rPr>
            </w:pPr>
            <w:r>
              <w:rPr>
                <w:rFonts w:hint="eastAsia"/>
                <w:b/>
                <w:bCs/>
                <w:sz w:val="21"/>
                <w:szCs w:val="21"/>
                <w:lang w:val="en-US" w:eastAsia="zh-CN"/>
              </w:rPr>
              <w:t>表 1-1 祁阳高新技术产业开发区规划后续实施产业准入清单</w:t>
            </w:r>
          </w:p>
          <w:tbl>
            <w:tblPr>
              <w:tblStyle w:val="44"/>
              <w:tblW w:w="4999"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54"/>
              <w:gridCol w:w="794"/>
              <w:gridCol w:w="5330"/>
            </w:tblGrid>
            <w:tr w14:paraId="08F5F6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48" w:type="pct"/>
                  <w:tcBorders>
                    <w:tl2br w:val="nil"/>
                    <w:tr2bl w:val="nil"/>
                  </w:tcBorders>
                  <w:noWrap w:val="0"/>
                  <w:vAlign w:val="center"/>
                </w:tcPr>
                <w:p w14:paraId="736A5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片区</w:t>
                  </w:r>
                </w:p>
              </w:tc>
              <w:tc>
                <w:tcPr>
                  <w:tcW w:w="577" w:type="pct"/>
                  <w:tcBorders>
                    <w:tl2br w:val="nil"/>
                    <w:tr2bl w:val="nil"/>
                  </w:tcBorders>
                  <w:noWrap w:val="0"/>
                  <w:vAlign w:val="center"/>
                </w:tcPr>
                <w:p w14:paraId="00C6C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类别</w:t>
                  </w:r>
                </w:p>
              </w:tc>
              <w:tc>
                <w:tcPr>
                  <w:tcW w:w="3873" w:type="pct"/>
                  <w:tcBorders>
                    <w:tl2br w:val="nil"/>
                    <w:tr2bl w:val="nil"/>
                  </w:tcBorders>
                  <w:noWrap w:val="0"/>
                  <w:vAlign w:val="center"/>
                </w:tcPr>
                <w:p w14:paraId="437916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相关要求</w:t>
                  </w:r>
                </w:p>
              </w:tc>
            </w:tr>
            <w:tr w14:paraId="0D5E6D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48" w:type="pct"/>
                  <w:vMerge w:val="restart"/>
                  <w:tcBorders>
                    <w:tl2br w:val="nil"/>
                    <w:tr2bl w:val="nil"/>
                  </w:tcBorders>
                  <w:noWrap w:val="0"/>
                  <w:vAlign w:val="center"/>
                </w:tcPr>
                <w:p w14:paraId="71852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新区</w:t>
                  </w:r>
                  <w:r>
                    <w:rPr>
                      <w:rFonts w:hint="default" w:ascii="Times New Roman" w:hAnsi="Times New Roman" w:eastAsia="宋体" w:cs="Times New Roman"/>
                      <w:i w:val="0"/>
                      <w:iCs w:val="0"/>
                      <w:color w:val="000000"/>
                      <w:kern w:val="0"/>
                      <w:sz w:val="21"/>
                      <w:szCs w:val="21"/>
                      <w:u w:val="none"/>
                      <w:lang w:val="en-US" w:eastAsia="zh-CN" w:bidi="ar"/>
                    </w:rPr>
                    <w:t>片区</w:t>
                  </w:r>
                </w:p>
              </w:tc>
              <w:tc>
                <w:tcPr>
                  <w:tcW w:w="577" w:type="pct"/>
                  <w:tcBorders>
                    <w:tl2br w:val="nil"/>
                    <w:tr2bl w:val="nil"/>
                  </w:tcBorders>
                  <w:noWrap w:val="0"/>
                  <w:vAlign w:val="center"/>
                </w:tcPr>
                <w:p w14:paraId="5E89D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产业定位</w:t>
                  </w:r>
                </w:p>
              </w:tc>
              <w:tc>
                <w:tcPr>
                  <w:tcW w:w="3873" w:type="pct"/>
                  <w:tcBorders>
                    <w:tl2br w:val="nil"/>
                    <w:tr2bl w:val="nil"/>
                  </w:tcBorders>
                  <w:noWrap w:val="0"/>
                  <w:vAlign w:val="center"/>
                </w:tcPr>
                <w:p w14:paraId="261D7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主要发展装备制造、轻工纺织（服装服饰业、制鞋业、文体用品制造业等）、食品生物医药、新能源新材料（锂电池制造、特种陶瓷制造等）为主导产业，辅助发展高端服务业</w:t>
                  </w:r>
                  <w:r>
                    <w:rPr>
                      <w:rFonts w:hint="default" w:ascii="Times New Roman" w:hAnsi="Times New Roman" w:eastAsia="宋体" w:cs="Times New Roman"/>
                      <w:i w:val="0"/>
                      <w:iCs w:val="0"/>
                      <w:color w:val="000000"/>
                      <w:kern w:val="0"/>
                      <w:sz w:val="21"/>
                      <w:szCs w:val="21"/>
                      <w:u w:val="none"/>
                      <w:lang w:val="en-US" w:eastAsia="zh-CN" w:bidi="ar"/>
                    </w:rPr>
                    <w:t>。</w:t>
                  </w:r>
                </w:p>
              </w:tc>
            </w:tr>
            <w:tr w14:paraId="598789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48" w:type="pct"/>
                  <w:vMerge w:val="continue"/>
                  <w:tcBorders>
                    <w:tl2br w:val="nil"/>
                    <w:tr2bl w:val="nil"/>
                  </w:tcBorders>
                  <w:noWrap w:val="0"/>
                  <w:vAlign w:val="center"/>
                </w:tcPr>
                <w:p w14:paraId="3C048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577" w:type="pct"/>
                  <w:tcBorders>
                    <w:tl2br w:val="nil"/>
                    <w:tr2bl w:val="nil"/>
                  </w:tcBorders>
                  <w:noWrap w:val="0"/>
                  <w:vAlign w:val="center"/>
                </w:tcPr>
                <w:p w14:paraId="36940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限制类</w:t>
                  </w:r>
                </w:p>
              </w:tc>
              <w:tc>
                <w:tcPr>
                  <w:tcW w:w="3873" w:type="pct"/>
                  <w:tcBorders>
                    <w:tl2br w:val="nil"/>
                    <w:tr2bl w:val="nil"/>
                  </w:tcBorders>
                  <w:noWrap w:val="0"/>
                  <w:vAlign w:val="center"/>
                </w:tcPr>
                <w:p w14:paraId="4A062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属于《产业结构调整指导目录(2024年本)》限制类工艺技术、装备及产品。</w:t>
                  </w:r>
                </w:p>
              </w:tc>
            </w:tr>
            <w:tr w14:paraId="0426DA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48" w:type="pct"/>
                  <w:vMerge w:val="continue"/>
                  <w:tcBorders>
                    <w:tl2br w:val="nil"/>
                    <w:tr2bl w:val="nil"/>
                  </w:tcBorders>
                  <w:noWrap w:val="0"/>
                  <w:vAlign w:val="center"/>
                </w:tcPr>
                <w:p w14:paraId="3A421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577" w:type="pct"/>
                  <w:tcBorders>
                    <w:tl2br w:val="nil"/>
                    <w:tr2bl w:val="nil"/>
                  </w:tcBorders>
                  <w:noWrap w:val="0"/>
                  <w:vAlign w:val="center"/>
                </w:tcPr>
                <w:p w14:paraId="2B66F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禁止类</w:t>
                  </w:r>
                </w:p>
              </w:tc>
              <w:tc>
                <w:tcPr>
                  <w:tcW w:w="3873" w:type="pct"/>
                  <w:tcBorders>
                    <w:tl2br w:val="nil"/>
                    <w:tr2bl w:val="nil"/>
                  </w:tcBorders>
                  <w:noWrap w:val="0"/>
                  <w:vAlign w:val="center"/>
                </w:tcPr>
                <w:p w14:paraId="4C2706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装备制造：使用涉及重金属的电镀工艺；</w:t>
                  </w:r>
                </w:p>
                <w:p w14:paraId="3CF77D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根据国、省政策要求，须强制进入化工园区发展的项目。</w:t>
                  </w:r>
                </w:p>
                <w:p w14:paraId="219E4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《产业结构调整指导目录（2024 年本）》淘汰类的工艺技术、装备及产品。</w:t>
                  </w:r>
                </w:p>
              </w:tc>
            </w:tr>
          </w:tbl>
          <w:p w14:paraId="39158954">
            <w:pPr>
              <w:keepNext w:val="0"/>
              <w:keepLines w:val="0"/>
              <w:pageBreakBefore w:val="0"/>
              <w:suppressLineNumbers w:val="0"/>
              <w:kinsoku/>
              <w:wordWrap/>
              <w:overflowPunct/>
              <w:topLinePunct w:val="0"/>
              <w:autoSpaceDE w:val="0"/>
              <w:autoSpaceDN w:val="0"/>
              <w:bidi w:val="0"/>
              <w:adjustRightInd/>
              <w:snapToGrid/>
              <w:spacing w:before="159" w:beforeLines="5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根据《祁阳高新技术开发区调区扩区规划环境影响报告书》批复（湘环评函（2024）29 号）（见附件），本项目与批复内容相符性分析如下：</w:t>
            </w:r>
          </w:p>
          <w:p w14:paraId="4B9A2451">
            <w:pPr>
              <w:pStyle w:val="43"/>
              <w:keepNext w:val="0"/>
              <w:keepLines w:val="0"/>
              <w:suppressLineNumbers w:val="0"/>
              <w:spacing w:before="0" w:beforeAutospacing="0" w:afterAutospacing="0"/>
              <w:ind w:left="0" w:leftChars="0" w:right="0" w:firstLine="0" w:firstLineChars="0"/>
              <w:jc w:val="center"/>
              <w:rPr>
                <w:rFonts w:hint="eastAsia" w:ascii="宋体" w:hAnsi="Times New Roman" w:eastAsia="宋体" w:cs="Times New Roman"/>
                <w:b/>
                <w:bCs/>
                <w:sz w:val="21"/>
                <w:szCs w:val="21"/>
                <w:lang w:val="en-US" w:eastAsia="zh-CN"/>
              </w:rPr>
            </w:pPr>
            <w:r>
              <w:rPr>
                <w:rFonts w:hint="eastAsia" w:ascii="宋体" w:hAnsi="Times New Roman" w:eastAsia="宋体" w:cs="Times New Roman"/>
                <w:b/>
                <w:bCs/>
                <w:sz w:val="21"/>
                <w:szCs w:val="21"/>
                <w:lang w:val="en-US" w:eastAsia="zh-CN"/>
              </w:rPr>
              <w:t>表 1-2 与祁阳高新技术开发区调区扩区规划环境影响报告书批复相符性分析表</w:t>
            </w:r>
          </w:p>
          <w:tbl>
            <w:tblPr>
              <w:tblStyle w:val="4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19"/>
              <w:gridCol w:w="1949"/>
              <w:gridCol w:w="611"/>
            </w:tblGrid>
            <w:tr w14:paraId="3AD701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71412A6E">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sz w:val="21"/>
                      <w:szCs w:val="21"/>
                      <w:vertAlign w:val="baseline"/>
                      <w:lang w:val="en-US" w:eastAsia="zh-CN"/>
                    </w:rPr>
                  </w:pPr>
                  <w:r>
                    <w:rPr>
                      <w:rFonts w:hint="eastAsia" w:ascii="Times New Roman" w:hAnsi="Times New Roman" w:eastAsia="宋体" w:cs="Times New Roman"/>
                      <w:b/>
                      <w:bCs/>
                      <w:sz w:val="21"/>
                      <w:szCs w:val="21"/>
                      <w:vertAlign w:val="baseline"/>
                      <w:lang w:val="en-US" w:eastAsia="zh-CN"/>
                    </w:rPr>
                    <w:t>《祁阳高新技术开发区调区扩区规划环境影响报告书批复》园区后续规划发展建设应做好以下工作：</w:t>
                  </w:r>
                </w:p>
              </w:tc>
              <w:tc>
                <w:tcPr>
                  <w:tcW w:w="1416" w:type="pct"/>
                  <w:tcBorders>
                    <w:tl2br w:val="nil"/>
                    <w:tr2bl w:val="nil"/>
                  </w:tcBorders>
                  <w:noWrap w:val="0"/>
                  <w:vAlign w:val="center"/>
                </w:tcPr>
                <w:p w14:paraId="01FEAAF0">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sz w:val="21"/>
                      <w:szCs w:val="21"/>
                      <w:vertAlign w:val="baseline"/>
                      <w:lang w:val="en-US" w:eastAsia="zh-CN"/>
                    </w:rPr>
                  </w:pPr>
                  <w:r>
                    <w:rPr>
                      <w:rFonts w:hint="eastAsia" w:ascii="Times New Roman" w:hAnsi="Times New Roman" w:eastAsia="宋体" w:cs="Times New Roman"/>
                      <w:b/>
                      <w:bCs/>
                      <w:sz w:val="21"/>
                      <w:szCs w:val="21"/>
                      <w:vertAlign w:val="baseline"/>
                      <w:lang w:val="en-US" w:eastAsia="zh-CN"/>
                    </w:rPr>
                    <w:t>本项目实际情况</w:t>
                  </w:r>
                </w:p>
              </w:tc>
              <w:tc>
                <w:tcPr>
                  <w:tcW w:w="444" w:type="pct"/>
                  <w:tcBorders>
                    <w:tl2br w:val="nil"/>
                    <w:tr2bl w:val="nil"/>
                  </w:tcBorders>
                  <w:noWrap w:val="0"/>
                  <w:vAlign w:val="center"/>
                </w:tcPr>
                <w:p w14:paraId="15596BFF">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sz w:val="21"/>
                      <w:szCs w:val="21"/>
                      <w:vertAlign w:val="baseline"/>
                      <w:lang w:val="en-US" w:eastAsia="zh-CN"/>
                    </w:rPr>
                  </w:pPr>
                  <w:r>
                    <w:rPr>
                      <w:rFonts w:hint="eastAsia" w:ascii="Times New Roman" w:hAnsi="Times New Roman" w:eastAsia="宋体" w:cs="Times New Roman"/>
                      <w:b/>
                      <w:bCs/>
                      <w:color w:val="000000"/>
                      <w:kern w:val="0"/>
                      <w:sz w:val="21"/>
                      <w:szCs w:val="21"/>
                      <w:lang w:val="en-US" w:eastAsia="zh-CN" w:bidi="ar"/>
                    </w:rPr>
                    <w:t>是否相符</w:t>
                  </w:r>
                </w:p>
              </w:tc>
            </w:tr>
            <w:tr w14:paraId="5DB259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4BBEB85C">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一）做好功能布局，严格执行准入要求。园区应从规划层面提升环境相容性，以减小工业开发对城市居住及社会服务功能的影响。新区（区块二）部分区域现状已与集中居住区交错布局在紧邻集中居住区的位置应限制新引入噪声大、以气型污染为主的工业企业，并加强对已有气型污染企业的污染控制，园区涉电镀工艺的项目应向黎家坪片区（片区一）集中，园区纺织相关产业应不断提升清洁生产水平以减少废水排放量。产业引进应落实园区生态分区环境管控要求，执行《报告书》提出的产业定位和产业生态环境准入清单，对于《长江经济带发展负面清单指南》《湖南省湘江保护条例》（最新修订版）提出的相关禁止性、限制性要求应予以落实。</w:t>
                  </w:r>
                </w:p>
              </w:tc>
              <w:tc>
                <w:tcPr>
                  <w:tcW w:w="1416" w:type="pct"/>
                  <w:tcBorders>
                    <w:tl2br w:val="nil"/>
                    <w:tr2bl w:val="nil"/>
                  </w:tcBorders>
                  <w:noWrap w:val="0"/>
                  <w:vAlign w:val="center"/>
                </w:tcPr>
                <w:p w14:paraId="4F872786">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本项目位于区块二，不属于噪声大的工业企业，项目废气经</w:t>
                  </w:r>
                  <w:r>
                    <w:rPr>
                      <w:rFonts w:hint="eastAsia" w:cs="Times New Roman"/>
                      <w:sz w:val="21"/>
                      <w:szCs w:val="21"/>
                      <w:vertAlign w:val="baseline"/>
                      <w:lang w:val="en-US" w:eastAsia="zh-CN"/>
                    </w:rPr>
                    <w:t>高效设施</w:t>
                  </w:r>
                  <w:r>
                    <w:rPr>
                      <w:rFonts w:hint="eastAsia" w:ascii="Times New Roman" w:hAnsi="Times New Roman" w:eastAsia="宋体" w:cs="Times New Roman"/>
                      <w:sz w:val="21"/>
                      <w:szCs w:val="21"/>
                      <w:vertAlign w:val="baseline"/>
                      <w:lang w:val="en-US" w:eastAsia="zh-CN"/>
                    </w:rPr>
                    <w:t>处理后达标排放，符合《报告书》提出的产业定位和产业生态环境准入清单，不涉及长江经济带发展负面清单指南》《湖南省湘江保护条例》（最新修订版）禁止性、限制性要求。</w:t>
                  </w:r>
                </w:p>
              </w:tc>
              <w:tc>
                <w:tcPr>
                  <w:tcW w:w="444" w:type="pct"/>
                  <w:tcBorders>
                    <w:tl2br w:val="nil"/>
                    <w:tr2bl w:val="nil"/>
                  </w:tcBorders>
                  <w:noWrap w:val="0"/>
                  <w:vAlign w:val="center"/>
                </w:tcPr>
                <w:p w14:paraId="490B3ED6">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r w14:paraId="3B8626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3CB28183">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二）落实管控措施，加强园区污染治理。园区应切实抓好污水处理设施及配套管网的建设和运维，做好雨污分流、污污分流，确保园区各片区生产生活废水应收尽收，按要求完成环保督察指出的污水处理厂超标排放问题的整改。各片区污水处理厂应具备针对该片区产业特征污染物的处置能力，确保污水处理设施及管网与建设项目同步规划、同步建设、同步投入运营。做好黎家坪片区（区块一）工业污水处理厂与园区表面处理中心污水处理设施的统筹设计布局，确保重金属排放因子按相关规定要求达标排放，黎家坪片区工业污水处理厂规划期内排放规模按 2 万吨/天控制，尾水应达到《城镇污水处理厂污染物排放标准》一级 A 标准，新区（区块二）的白竹污水处理厂规划期内排放规模按 5 万吨/天控制，尾水应达到《城镇污水处理厂污染物排放标准》一级 A 标准；白水片区（区块三）的科技工业园污水处理厂规划期内排放规模按 2.5 万吨/天控制，尾水化学需氧量、氨氮、总氮和总磷应达到《湖南省城镇污水处理厂主要水污染物排放标准》（DB43/T1546-2018）表1二级标准、二氧化氯、硫化物、总磷等特征污染物达到《纺织染整工业水污染物排放标准》（GB4287-2012）直接排放标准、其他污染因子达到《城镇污水处理厂污染物排放标准》一级 A 标准。园区应加强大气污染防治，控制相关特征污染物的无组织排放，加大VOCs排放的整治力度，对重点排放企业予以严格监管，确保其处理设施稳妥、持续有效运行，严格落实大气污染防治特护期的相关减排要求。做好工业固体废物和生活垃圾的分类收集、转运、综合利用和无害化处理，建立完善的固废管理体系。对危险废物应严格按照国家有关规定综合利用或妥善处置，对危险废物产生企业和经营单位，应强化日常环境监管。园区须严格落实排污许可制度和污染物排放总量控制，推动入园企业按规定要求开展清洁生产审核，减少污染物的排放量。园区应落实第三方环境治理工作相关政策要求，强化对园区重点产排污企业的监管与服务。</w:t>
                  </w:r>
                </w:p>
              </w:tc>
              <w:tc>
                <w:tcPr>
                  <w:tcW w:w="1416" w:type="pct"/>
                  <w:tcBorders>
                    <w:tl2br w:val="nil"/>
                    <w:tr2bl w:val="nil"/>
                  </w:tcBorders>
                  <w:noWrap w:val="0"/>
                  <w:vAlign w:val="center"/>
                </w:tcPr>
                <w:p w14:paraId="72252615">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位于新区片区（区块二），项目无生产废水外排；生活污水经化粪池处理达标后排入园区污水处理厂；项目生产废气经处理后达标排放；厂区生活垃圾委托环卫部门处理，固废经分类收集综合利用，危险固废委托有资质单位处理。</w:t>
                  </w:r>
                </w:p>
              </w:tc>
              <w:tc>
                <w:tcPr>
                  <w:tcW w:w="444" w:type="pct"/>
                  <w:tcBorders>
                    <w:tl2br w:val="nil"/>
                    <w:tr2bl w:val="nil"/>
                  </w:tcBorders>
                  <w:noWrap w:val="0"/>
                  <w:vAlign w:val="center"/>
                </w:tcPr>
                <w:p w14:paraId="6EF5186A">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r w14:paraId="716F70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6FB7CB3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sz w:val="21"/>
                      <w:szCs w:val="21"/>
                    </w:rPr>
                  </w:pPr>
                  <w:r>
                    <w:rPr>
                      <w:rFonts w:hint="eastAsia" w:ascii="Times New Roman" w:hAnsi="Times New Roman" w:eastAsia="宋体" w:cs="Times New Roman"/>
                      <w:color w:val="000000"/>
                      <w:kern w:val="0"/>
                      <w:sz w:val="21"/>
                      <w:szCs w:val="21"/>
                      <w:lang w:val="en-US" w:eastAsia="zh-CN" w:bidi="ar"/>
                    </w:rPr>
                    <w:t>（三）完善监测体系，监控环境质量变化状况。园区应按照《报告书》提出的跟踪监测方案落实相关工作，建立健全各环境要素的监控体系。园区应加强对涉重金属排放企业、园区污水处理厂的监督性监测，并覆盖相关特征排放因子，严防企业废水废气偷排漏排或污染治理措施不正常运行。</w:t>
                  </w:r>
                </w:p>
                <w:p w14:paraId="3BEB36B6">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p>
              </w:tc>
              <w:tc>
                <w:tcPr>
                  <w:tcW w:w="1416" w:type="pct"/>
                  <w:tcBorders>
                    <w:tl2br w:val="nil"/>
                    <w:tr2bl w:val="nil"/>
                  </w:tcBorders>
                  <w:noWrap w:val="0"/>
                  <w:vAlign w:val="center"/>
                </w:tcPr>
                <w:p w14:paraId="6BDD79FA">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color w:val="000000"/>
                      <w:kern w:val="0"/>
                      <w:sz w:val="21"/>
                      <w:szCs w:val="21"/>
                      <w:lang w:val="en-US" w:eastAsia="zh-CN" w:bidi="ar"/>
                    </w:rPr>
                    <w:t>本项目不涉及重金属排放，无生产废水外排。</w:t>
                  </w:r>
                </w:p>
              </w:tc>
              <w:tc>
                <w:tcPr>
                  <w:tcW w:w="444" w:type="pct"/>
                  <w:tcBorders>
                    <w:tl2br w:val="nil"/>
                    <w:tr2bl w:val="nil"/>
                  </w:tcBorders>
                  <w:noWrap w:val="0"/>
                  <w:vAlign w:val="center"/>
                </w:tcPr>
                <w:p w14:paraId="5C2934EE">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r w14:paraId="395B92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27A4856C">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四）强化风险管控，严防园区环境事故。建立健全园区环境风险管理工作长效机制，加强园区环境风险防控、预警和应急体系建设。涉重金属废水的收集输送管路应逐步改造为地上明管或架空管路，完善涉重金属排放企业事故应急池的设计与建设，加强对园区污水管网的日常监管、巡管，杜绝污水管网的泄漏。</w:t>
                  </w:r>
                </w:p>
              </w:tc>
              <w:tc>
                <w:tcPr>
                  <w:tcW w:w="1416" w:type="pct"/>
                  <w:tcBorders>
                    <w:tl2br w:val="nil"/>
                    <w:tr2bl w:val="nil"/>
                  </w:tcBorders>
                  <w:noWrap w:val="0"/>
                  <w:vAlign w:val="center"/>
                </w:tcPr>
                <w:p w14:paraId="0920ED66">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本项目不涉及重金属废水排放。</w:t>
                  </w:r>
                </w:p>
              </w:tc>
              <w:tc>
                <w:tcPr>
                  <w:tcW w:w="444" w:type="pct"/>
                  <w:tcBorders>
                    <w:tl2br w:val="nil"/>
                    <w:tr2bl w:val="nil"/>
                  </w:tcBorders>
                  <w:noWrap w:val="0"/>
                  <w:vAlign w:val="center"/>
                </w:tcPr>
                <w:p w14:paraId="49DFB35C">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r w14:paraId="3BF631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5F6F44F4">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五）做好周边控规，落实搬迁安置计划。园区管委会与地方政府应共同做好控规，杜绝在规划的工业用地上新增环境敏感目标，确保园区开发过程中的居民搬迁安置到位，防止发生居民再次安置和次生环境问题，对于具体项目环评设置防护距离和提出搬迁要求的，要确保予以落实，未落实的，园区应确保相关新建项目不得投产。</w:t>
                  </w:r>
                </w:p>
              </w:tc>
              <w:tc>
                <w:tcPr>
                  <w:tcW w:w="1416" w:type="pct"/>
                  <w:tcBorders>
                    <w:tl2br w:val="nil"/>
                    <w:tr2bl w:val="nil"/>
                  </w:tcBorders>
                  <w:noWrap w:val="0"/>
                  <w:vAlign w:val="center"/>
                </w:tcPr>
                <w:p w14:paraId="68213D9F">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本项目不涉及防护距离和居民拆迁。</w:t>
                  </w:r>
                </w:p>
              </w:tc>
              <w:tc>
                <w:tcPr>
                  <w:tcW w:w="444" w:type="pct"/>
                  <w:tcBorders>
                    <w:tl2br w:val="nil"/>
                    <w:tr2bl w:val="nil"/>
                  </w:tcBorders>
                  <w:noWrap w:val="0"/>
                  <w:vAlign w:val="center"/>
                </w:tcPr>
                <w:p w14:paraId="604A7DC9">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r w14:paraId="0E3D8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8" w:type="pct"/>
                  <w:tcBorders>
                    <w:tl2br w:val="nil"/>
                    <w:tr2bl w:val="nil"/>
                  </w:tcBorders>
                  <w:noWrap w:val="0"/>
                  <w:vAlign w:val="center"/>
                </w:tcPr>
                <w:p w14:paraId="274F1717">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（六）做好园区建设期生态保护。尽可能保留自然水体，施工期对土石方开挖、堆存及回填要实施围挡、护坡等措施，裸露地及时恢复植被，杜绝施工建设对地表水体的污染。</w:t>
                  </w:r>
                </w:p>
              </w:tc>
              <w:tc>
                <w:tcPr>
                  <w:tcW w:w="1416" w:type="pct"/>
                  <w:tcBorders>
                    <w:tl2br w:val="nil"/>
                    <w:tr2bl w:val="nil"/>
                  </w:tcBorders>
                  <w:noWrap w:val="0"/>
                  <w:vAlign w:val="center"/>
                </w:tcPr>
                <w:p w14:paraId="5A70C8BE">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本项目施工期不涉及土石方开挖，不会对地表水体造成污染。</w:t>
                  </w:r>
                </w:p>
              </w:tc>
              <w:tc>
                <w:tcPr>
                  <w:tcW w:w="444" w:type="pct"/>
                  <w:tcBorders>
                    <w:tl2br w:val="nil"/>
                    <w:tr2bl w:val="nil"/>
                  </w:tcBorders>
                  <w:noWrap w:val="0"/>
                  <w:vAlign w:val="center"/>
                </w:tcPr>
                <w:p w14:paraId="3F7984A3">
                  <w:pPr>
                    <w:keepNext w:val="0"/>
                    <w:keepLines w:val="0"/>
                    <w:suppressLineNumbers w:val="0"/>
                    <w:spacing w:before="0" w:beforeAutospacing="0" w:after="0" w:afterAutospacing="0"/>
                    <w:ind w:left="0" w:right="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符合</w:t>
                  </w:r>
                </w:p>
              </w:tc>
            </w:tr>
          </w:tbl>
          <w:p w14:paraId="392472D4">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cs="Times New Roman"/>
                <w:lang w:val="en-US" w:eastAsia="zh-CN"/>
              </w:rPr>
            </w:pPr>
            <w:r>
              <w:rPr>
                <w:rFonts w:hint="eastAsia" w:ascii="Times New Roman" w:hAnsi="Times New Roman" w:eastAsia="宋体" w:cs="Times New Roman"/>
                <w:color w:val="auto"/>
                <w:sz w:val="24"/>
                <w:szCs w:val="24"/>
                <w:highlight w:val="none"/>
                <w:lang w:val="en-US" w:eastAsia="zh-CN"/>
              </w:rPr>
              <w:t>综上分析，本项目符合《祁阳高新技术开发区调区扩区规划环境影响报告书批复》相关要求。</w:t>
            </w:r>
          </w:p>
        </w:tc>
      </w:tr>
      <w:tr w14:paraId="78200F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57" w:hRule="atLeast"/>
          <w:jc w:val="center"/>
        </w:trPr>
        <w:tc>
          <w:tcPr>
            <w:tcW w:w="1775" w:type="dxa"/>
            <w:noWrap w:val="0"/>
            <w:vAlign w:val="center"/>
          </w:tcPr>
          <w:p w14:paraId="1F57D80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其他符合性分析</w:t>
            </w:r>
          </w:p>
        </w:tc>
        <w:tc>
          <w:tcPr>
            <w:tcW w:w="7095" w:type="dxa"/>
            <w:gridSpan w:val="3"/>
            <w:noWrap w:val="0"/>
            <w:vAlign w:val="center"/>
          </w:tcPr>
          <w:p w14:paraId="78517BB7">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1、产业政策相符性分析</w:t>
            </w:r>
          </w:p>
          <w:p w14:paraId="5CA78660">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本项目属于《国民经济行业分类》(GB/T4754-2017)</w:t>
            </w:r>
            <w:r>
              <w:rPr>
                <w:rFonts w:hint="eastAsia" w:ascii="Times New Roman" w:hAnsi="Times New Roman" w:cs="Times New Roman"/>
                <w:color w:val="auto"/>
                <w:sz w:val="24"/>
                <w:szCs w:val="24"/>
                <w:highlight w:val="none"/>
                <w:lang w:val="en-US" w:eastAsia="zh-CN"/>
              </w:rPr>
              <w:t>（按第1号修改单修订）</w:t>
            </w:r>
            <w:r>
              <w:rPr>
                <w:rFonts w:hint="default" w:ascii="Times New Roman" w:hAnsi="Times New Roman" w:cs="Times New Roman"/>
                <w:color w:val="auto"/>
                <w:sz w:val="24"/>
                <w:szCs w:val="24"/>
                <w:highlight w:val="none"/>
                <w:lang w:val="en-US" w:eastAsia="zh-CN"/>
              </w:rPr>
              <w:t>中C2319 包装装潢及其他印刷，不属于《产业结构调整指导目录（2024年本）》中淘汰类和限制类，视为允许类，本项目的生产工艺、设备及产品不在该名录中。因此，本项目符合国家现行产业政策要求</w:t>
            </w:r>
            <w:r>
              <w:rPr>
                <w:rFonts w:hint="eastAsia" w:ascii="Times New Roman" w:hAnsi="Times New Roman" w:cs="Times New Roman"/>
                <w:color w:val="auto"/>
                <w:sz w:val="24"/>
                <w:szCs w:val="24"/>
                <w:highlight w:val="none"/>
                <w:lang w:val="en-US" w:eastAsia="zh-CN"/>
              </w:rPr>
              <w:t>。</w:t>
            </w:r>
          </w:p>
          <w:p w14:paraId="337EF6F1">
            <w:pPr>
              <w:keepNext w:val="0"/>
              <w:keepLines w:val="0"/>
              <w:suppressLineNumbers w:val="0"/>
              <w:autoSpaceDE w:val="0"/>
              <w:autoSpaceDN w:val="0"/>
              <w:spacing w:before="0" w:beforeAutospacing="0" w:after="0" w:afterAutospacing="0" w:line="360" w:lineRule="auto"/>
              <w:ind w:left="0" w:right="0"/>
              <w:jc w:val="left"/>
              <w:rPr>
                <w:rFonts w:hint="eastAsia" w:ascii="Times New Roman" w:hAnsi="Times New Roman" w:cs="Times New Roman"/>
                <w:b/>
                <w:bCs/>
                <w:color w:val="auto"/>
                <w:sz w:val="24"/>
                <w:szCs w:val="24"/>
                <w:highlight w:val="none"/>
                <w:u w:val="none"/>
                <w:lang w:eastAsia="zh-CN"/>
              </w:rPr>
            </w:pPr>
            <w:r>
              <w:rPr>
                <w:rFonts w:hint="default" w:ascii="Times New Roman" w:hAnsi="Times New Roman" w:cs="Times New Roman"/>
                <w:b/>
                <w:bCs/>
                <w:color w:val="auto"/>
                <w:sz w:val="24"/>
                <w:szCs w:val="24"/>
                <w:highlight w:val="none"/>
              </w:rPr>
              <w:t>2</w:t>
            </w:r>
            <w:r>
              <w:rPr>
                <w:rFonts w:hint="eastAsia" w:ascii="Times New Roman" w:hAnsi="Times New Roman" w:cs="Times New Roman"/>
                <w:b/>
                <w:bCs/>
                <w:color w:val="auto"/>
                <w:sz w:val="24"/>
                <w:szCs w:val="24"/>
                <w:highlight w:val="none"/>
                <w:u w:val="none"/>
                <w:lang w:eastAsia="zh-CN"/>
              </w:rPr>
              <w:t>、选址合理性分析</w:t>
            </w:r>
          </w:p>
          <w:p w14:paraId="4E6624B8">
            <w:pPr>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本项目位于</w:t>
            </w:r>
            <w:r>
              <w:rPr>
                <w:rFonts w:hint="eastAsia" w:cs="Times New Roman"/>
                <w:color w:val="auto"/>
                <w:sz w:val="24"/>
                <w:szCs w:val="24"/>
                <w:highlight w:val="none"/>
                <w:u w:val="none"/>
                <w:lang w:eastAsia="zh-CN"/>
              </w:rPr>
              <w:t>祁阳高新技术产业开发区灯塔路152号祁阳五洲医药包装有限公司建设的二期联合厂房</w:t>
            </w:r>
            <w:r>
              <w:rPr>
                <w:rFonts w:hint="eastAsia" w:ascii="Times New Roman" w:hAnsi="Times New Roman" w:cs="Times New Roman"/>
                <w:color w:val="auto"/>
                <w:sz w:val="24"/>
                <w:szCs w:val="24"/>
                <w:highlight w:val="none"/>
                <w:u w:val="none"/>
                <w:lang w:eastAsia="zh-CN"/>
              </w:rPr>
              <w:t>，根据《祁阳高新技术开发区调区扩区规划环境影响报告书》批复（湘环评函（2024）29 号）批复详见附件），祁阳高新技术开发区</w:t>
            </w:r>
            <w:r>
              <w:rPr>
                <w:rFonts w:hint="eastAsia" w:ascii="Times New Roman" w:hAnsi="Times New Roman" w:cs="Times New Roman"/>
                <w:color w:val="auto"/>
                <w:sz w:val="24"/>
                <w:szCs w:val="24"/>
                <w:highlight w:val="none"/>
                <w:u w:val="none"/>
                <w:lang w:val="en-US" w:eastAsia="zh-CN"/>
              </w:rPr>
              <w:t>新区</w:t>
            </w:r>
            <w:r>
              <w:rPr>
                <w:rFonts w:hint="eastAsia" w:ascii="Times New Roman" w:hAnsi="Times New Roman" w:cs="Times New Roman"/>
                <w:color w:val="auto"/>
                <w:sz w:val="24"/>
                <w:szCs w:val="24"/>
                <w:highlight w:val="none"/>
                <w:u w:val="none"/>
                <w:lang w:eastAsia="zh-CN"/>
              </w:rPr>
              <w:t>片区主要发展装备制造、轻工纺织（服装服饰业、制鞋业、文体用品制造业等）、食品生物医药、新能源新材料（锂电池制造、特种陶瓷制造等）为主导产业，辅助发展高端服务业。本项目为包装装潢及其他印刷，不属于祁阳高新技术开发区（</w:t>
            </w:r>
            <w:r>
              <w:rPr>
                <w:rFonts w:hint="eastAsia" w:ascii="Times New Roman" w:hAnsi="Times New Roman" w:cs="Times New Roman"/>
                <w:color w:val="auto"/>
                <w:sz w:val="24"/>
                <w:szCs w:val="24"/>
                <w:highlight w:val="none"/>
                <w:u w:val="none"/>
                <w:lang w:val="en-US" w:eastAsia="zh-CN"/>
              </w:rPr>
              <w:t>新区</w:t>
            </w:r>
            <w:r>
              <w:rPr>
                <w:rFonts w:hint="eastAsia" w:ascii="Times New Roman" w:hAnsi="Times New Roman" w:cs="Times New Roman"/>
                <w:color w:val="auto"/>
                <w:sz w:val="24"/>
                <w:szCs w:val="24"/>
                <w:highlight w:val="none"/>
                <w:u w:val="none"/>
                <w:lang w:eastAsia="zh-CN"/>
              </w:rPr>
              <w:t>片区）产业准入清单中限制类和禁止类引入企业，因此，本项目建设符合祁阳高新技术开发区产业准入要求。</w:t>
            </w:r>
          </w:p>
          <w:p w14:paraId="1499948E">
            <w:pPr>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项目</w:t>
            </w:r>
            <w:r>
              <w:rPr>
                <w:rFonts w:hint="eastAsia" w:ascii="Times New Roman" w:hAnsi="Times New Roman" w:cs="Times New Roman"/>
                <w:color w:val="auto"/>
                <w:sz w:val="24"/>
                <w:szCs w:val="24"/>
                <w:highlight w:val="none"/>
                <w:u w:val="none"/>
                <w:lang w:val="en-US" w:eastAsia="zh-CN"/>
              </w:rPr>
              <w:t>北</w:t>
            </w:r>
            <w:r>
              <w:rPr>
                <w:rFonts w:hint="eastAsia" w:ascii="Times New Roman" w:hAnsi="Times New Roman" w:cs="Times New Roman"/>
                <w:color w:val="auto"/>
                <w:sz w:val="24"/>
                <w:szCs w:val="24"/>
                <w:highlight w:val="none"/>
                <w:u w:val="none"/>
                <w:lang w:eastAsia="zh-CN"/>
              </w:rPr>
              <w:t>面为</w:t>
            </w:r>
            <w:r>
              <w:rPr>
                <w:rFonts w:hint="eastAsia" w:ascii="Times New Roman" w:hAnsi="Times New Roman" w:cs="Times New Roman"/>
                <w:color w:val="auto"/>
                <w:sz w:val="24"/>
                <w:szCs w:val="24"/>
                <w:highlight w:val="none"/>
                <w:u w:val="none"/>
                <w:lang w:val="en-US" w:eastAsia="zh-CN"/>
              </w:rPr>
              <w:t>灯塔</w:t>
            </w:r>
            <w:r>
              <w:rPr>
                <w:rFonts w:hint="eastAsia" w:ascii="Times New Roman" w:hAnsi="Times New Roman" w:cs="Times New Roman"/>
                <w:color w:val="auto"/>
                <w:sz w:val="24"/>
                <w:szCs w:val="24"/>
                <w:highlight w:val="none"/>
                <w:u w:val="none"/>
                <w:lang w:eastAsia="zh-CN"/>
              </w:rPr>
              <w:t>路，交通便利，地理位置优越。电力供应和水源供应均能保障，根据《祁阳高新技术</w:t>
            </w:r>
            <w:r>
              <w:rPr>
                <w:rFonts w:hint="eastAsia" w:ascii="Times New Roman" w:hAnsi="Times New Roman" w:cs="Times New Roman"/>
                <w:color w:val="auto"/>
                <w:sz w:val="24"/>
                <w:szCs w:val="24"/>
                <w:highlight w:val="none"/>
                <w:u w:val="none"/>
                <w:lang w:val="en-US" w:eastAsia="zh-CN"/>
              </w:rPr>
              <w:t>产业</w:t>
            </w:r>
            <w:r>
              <w:rPr>
                <w:rFonts w:hint="eastAsia" w:ascii="Times New Roman" w:hAnsi="Times New Roman" w:cs="Times New Roman"/>
                <w:color w:val="auto"/>
                <w:sz w:val="24"/>
                <w:szCs w:val="24"/>
                <w:highlight w:val="none"/>
                <w:u w:val="none"/>
                <w:lang w:eastAsia="zh-CN"/>
              </w:rPr>
              <w:t>开发区</w:t>
            </w:r>
            <w:r>
              <w:rPr>
                <w:rFonts w:hint="eastAsia" w:ascii="Times New Roman" w:hAnsi="Times New Roman" w:cs="Times New Roman"/>
                <w:color w:val="auto"/>
                <w:sz w:val="24"/>
                <w:szCs w:val="24"/>
                <w:highlight w:val="none"/>
                <w:u w:val="none"/>
                <w:lang w:val="en-US" w:eastAsia="zh-CN"/>
              </w:rPr>
              <w:t>控制性详细</w:t>
            </w:r>
            <w:r>
              <w:rPr>
                <w:rFonts w:hint="eastAsia" w:ascii="Times New Roman" w:hAnsi="Times New Roman" w:cs="Times New Roman"/>
                <w:color w:val="auto"/>
                <w:sz w:val="24"/>
                <w:szCs w:val="24"/>
                <w:highlight w:val="none"/>
                <w:u w:val="none"/>
                <w:lang w:eastAsia="zh-CN"/>
              </w:rPr>
              <w:t>规划-</w:t>
            </w:r>
            <w:r>
              <w:rPr>
                <w:rFonts w:hint="eastAsia" w:ascii="Times New Roman" w:hAnsi="Times New Roman" w:cs="Times New Roman"/>
                <w:color w:val="auto"/>
                <w:sz w:val="24"/>
                <w:szCs w:val="24"/>
                <w:highlight w:val="none"/>
                <w:u w:val="none"/>
                <w:lang w:val="en-US" w:eastAsia="zh-CN"/>
              </w:rPr>
              <w:t>新区</w:t>
            </w:r>
            <w:r>
              <w:rPr>
                <w:rFonts w:hint="eastAsia" w:ascii="Times New Roman" w:hAnsi="Times New Roman" w:cs="Times New Roman"/>
                <w:color w:val="auto"/>
                <w:sz w:val="24"/>
                <w:szCs w:val="24"/>
                <w:highlight w:val="none"/>
                <w:u w:val="none"/>
                <w:lang w:eastAsia="zh-CN"/>
              </w:rPr>
              <w:t>片区土地利用规划图》，项目拟建地属于可建设用地中的工业用地，用地不占用基本农田、周边风景旅游区以及水源保护区。</w:t>
            </w:r>
          </w:p>
          <w:p w14:paraId="471B4D19">
            <w:pPr>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根据现场勘察，项目位于工业园内，在实施了本报告提出的环保措施的前提下，</w:t>
            </w:r>
            <w:r>
              <w:rPr>
                <w:rFonts w:hint="eastAsia" w:ascii="Times New Roman" w:hAnsi="Times New Roman" w:cs="Times New Roman"/>
                <w:color w:val="auto"/>
                <w:sz w:val="24"/>
                <w:szCs w:val="24"/>
                <w:highlight w:val="none"/>
                <w:u w:val="none"/>
                <w:lang w:val="en-US" w:eastAsia="zh-CN"/>
              </w:rPr>
              <w:t>污染物</w:t>
            </w:r>
            <w:r>
              <w:rPr>
                <w:rFonts w:hint="eastAsia" w:ascii="Times New Roman" w:hAnsi="Times New Roman" w:cs="Times New Roman"/>
                <w:color w:val="auto"/>
                <w:sz w:val="24"/>
                <w:szCs w:val="24"/>
                <w:highlight w:val="none"/>
                <w:u w:val="none"/>
                <w:lang w:eastAsia="zh-CN"/>
              </w:rPr>
              <w:t>实现达标排放、生产固废实现综合利用。</w:t>
            </w:r>
          </w:p>
          <w:p w14:paraId="24A1CD49">
            <w:pPr>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总体而言，项目选址具有良好的区位优势，在落实本评价提出的环境保护措施的前提下，本项目建设对周边环境影响较小。</w:t>
            </w:r>
          </w:p>
          <w:p w14:paraId="0242A8A8">
            <w:pPr>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szCs w:val="24"/>
                <w:highlight w:val="none"/>
                <w:u w:val="none"/>
                <w:lang w:eastAsia="zh-CN"/>
              </w:rPr>
            </w:pPr>
            <w:r>
              <w:rPr>
                <w:rFonts w:hint="eastAsia" w:ascii="Times New Roman" w:hAnsi="Times New Roman" w:cs="Times New Roman"/>
                <w:color w:val="auto"/>
                <w:sz w:val="24"/>
                <w:szCs w:val="24"/>
                <w:highlight w:val="none"/>
                <w:u w:val="none"/>
                <w:lang w:eastAsia="zh-CN"/>
              </w:rPr>
              <w:t>因此，从环保的角度考虑，项目的选址是合理的。</w:t>
            </w:r>
          </w:p>
          <w:p w14:paraId="5F0896DD">
            <w:pPr>
              <w:keepNext w:val="0"/>
              <w:keepLines w:val="0"/>
              <w:suppressLineNumbers w:val="0"/>
              <w:autoSpaceDE w:val="0"/>
              <w:autoSpaceDN w:val="0"/>
              <w:adjustRightInd w:val="0"/>
              <w:spacing w:before="0" w:beforeAutospacing="0" w:after="0" w:afterAutospacing="0" w:line="360" w:lineRule="auto"/>
              <w:ind w:left="0" w:right="0"/>
              <w:rPr>
                <w:rFonts w:hint="default" w:ascii="Times New Roman" w:hAnsi="Times New Roman" w:cs="Times New Roman"/>
                <w:b/>
                <w:color w:val="auto"/>
                <w:kern w:val="0"/>
                <w:sz w:val="24"/>
                <w:u w:val="none"/>
              </w:rPr>
            </w:pPr>
            <w:r>
              <w:rPr>
                <w:rFonts w:hint="eastAsia" w:ascii="Times New Roman" w:hAnsi="Times New Roman" w:cs="Times New Roman"/>
                <w:b/>
                <w:bCs/>
                <w:color w:val="auto"/>
                <w:sz w:val="24"/>
                <w:szCs w:val="24"/>
                <w:highlight w:val="none"/>
                <w:lang w:val="en-US" w:eastAsia="zh-CN"/>
              </w:rPr>
              <w:t>3</w:t>
            </w:r>
            <w:r>
              <w:rPr>
                <w:rFonts w:hint="eastAsia" w:ascii="Times New Roman" w:hAnsi="Times New Roman" w:cs="Times New Roman"/>
                <w:b/>
                <w:bCs/>
                <w:color w:val="auto"/>
                <w:sz w:val="24"/>
                <w:szCs w:val="24"/>
                <w:highlight w:val="none"/>
                <w:lang w:eastAsia="zh-CN"/>
              </w:rPr>
              <w:t>、</w:t>
            </w:r>
            <w:r>
              <w:rPr>
                <w:rFonts w:hint="default" w:ascii="Times New Roman" w:hAnsi="Times New Roman" w:cs="Times New Roman"/>
                <w:b/>
                <w:color w:val="auto"/>
                <w:kern w:val="0"/>
                <w:sz w:val="24"/>
                <w:u w:val="none"/>
              </w:rPr>
              <w:t>与生态环境</w:t>
            </w:r>
            <w:r>
              <w:rPr>
                <w:rFonts w:hint="eastAsia" w:ascii="Times New Roman" w:hAnsi="Times New Roman" w:cs="Times New Roman"/>
                <w:b/>
                <w:color w:val="auto"/>
                <w:kern w:val="0"/>
                <w:sz w:val="24"/>
                <w:u w:val="none"/>
                <w:lang w:val="en-US" w:eastAsia="zh-CN"/>
              </w:rPr>
              <w:t>分区管控符合性</w:t>
            </w:r>
            <w:r>
              <w:rPr>
                <w:rFonts w:hint="default" w:ascii="Times New Roman" w:hAnsi="Times New Roman" w:cs="Times New Roman"/>
                <w:b/>
                <w:color w:val="auto"/>
                <w:kern w:val="0"/>
                <w:sz w:val="24"/>
                <w:u w:val="none"/>
              </w:rPr>
              <w:t>分析</w:t>
            </w:r>
          </w:p>
          <w:p w14:paraId="34CF7DF4">
            <w:pPr>
              <w:keepNext w:val="0"/>
              <w:keepLines w:val="0"/>
              <w:suppressLineNumbers w:val="0"/>
              <w:autoSpaceDE w:val="0"/>
              <w:autoSpaceDN w:val="0"/>
              <w:adjustRightInd w:val="0"/>
              <w:spacing w:before="0" w:beforeAutospacing="0" w:after="0" w:afterAutospacing="0" w:line="360" w:lineRule="auto"/>
              <w:ind w:left="0" w:right="0"/>
              <w:rPr>
                <w:rFonts w:hint="default" w:ascii="Times New Roman" w:hAnsi="Times New Roman" w:eastAsia="宋体" w:cs="Times New Roman"/>
                <w:b/>
                <w:bCs/>
                <w:color w:val="auto"/>
                <w:kern w:val="0"/>
                <w:sz w:val="24"/>
                <w:u w:val="none"/>
                <w:lang w:val="en-US" w:eastAsia="zh-CN"/>
              </w:rPr>
            </w:pPr>
            <w:r>
              <w:rPr>
                <w:rFonts w:hint="eastAsia" w:cs="Times New Roman"/>
                <w:b/>
                <w:bCs/>
                <w:color w:val="auto"/>
                <w:kern w:val="0"/>
                <w:sz w:val="24"/>
                <w:u w:val="none"/>
                <w:lang w:val="en-US" w:eastAsia="zh-CN"/>
              </w:rPr>
              <w:t>3</w:t>
            </w:r>
            <w:r>
              <w:rPr>
                <w:rFonts w:hint="default" w:ascii="Times New Roman" w:hAnsi="Times New Roman" w:cs="Times New Roman"/>
                <w:b/>
                <w:bCs/>
                <w:color w:val="auto"/>
                <w:kern w:val="0"/>
                <w:sz w:val="24"/>
                <w:u w:val="none"/>
                <w:lang w:val="en-US" w:eastAsia="zh-CN"/>
              </w:rPr>
              <w:t>.1、生态红线</w:t>
            </w:r>
          </w:p>
          <w:p w14:paraId="31F068DD">
            <w:pPr>
              <w:pStyle w:val="2"/>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eastAsia="zh-CN"/>
              </w:rPr>
              <w:t>根据《湖南省人民政府关于印发&lt;湖南省生态保护红线&gt;的通知》（湘政发〔2018〕20号），湖南省生态保护红线划定面积为4.28万平方公里，占全省国土面积的20.23%，全省生态保护红线空间格局为“一湖三山四水”。</w:t>
            </w:r>
            <w:r>
              <w:rPr>
                <w:rFonts w:hint="default" w:ascii="Times New Roman" w:hAnsi="Times New Roman" w:cs="Times New Roman"/>
                <w:color w:val="auto"/>
                <w:kern w:val="0"/>
                <w:sz w:val="24"/>
                <w:u w:val="none"/>
              </w:rPr>
              <w:t>本项目位于</w:t>
            </w:r>
            <w:r>
              <w:rPr>
                <w:rFonts w:hint="eastAsia" w:ascii="Times New Roman" w:hAnsi="Times New Roman" w:cs="Times New Roman"/>
                <w:color w:val="auto"/>
                <w:kern w:val="0"/>
                <w:sz w:val="24"/>
                <w:u w:val="none"/>
                <w:lang w:val="en-US" w:eastAsia="zh-CN"/>
              </w:rPr>
              <w:t>永州市祁阳高新技术产业开发区新区片区</w:t>
            </w:r>
            <w:r>
              <w:rPr>
                <w:rFonts w:hint="default" w:ascii="Times New Roman" w:hAnsi="Times New Roman" w:cs="Times New Roman"/>
                <w:color w:val="auto"/>
                <w:kern w:val="0"/>
                <w:sz w:val="24"/>
                <w:u w:val="none"/>
              </w:rPr>
              <w:t>，</w:t>
            </w:r>
            <w:r>
              <w:rPr>
                <w:rFonts w:hint="eastAsia" w:ascii="Times New Roman" w:hAnsi="Times New Roman" w:cs="Times New Roman"/>
                <w:color w:val="auto"/>
                <w:sz w:val="24"/>
                <w:u w:val="none"/>
                <w:lang w:val="en-US" w:eastAsia="zh-CN"/>
              </w:rPr>
              <w:t>不在湖南省生态保护红线范围内。</w:t>
            </w:r>
          </w:p>
          <w:p w14:paraId="01DF01D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因此</w:t>
            </w:r>
            <w:r>
              <w:rPr>
                <w:rFonts w:hint="eastAsia" w:ascii="Times New Roman" w:hAnsi="Times New Roman" w:cs="Times New Roman"/>
                <w:color w:val="auto"/>
                <w:kern w:val="0"/>
                <w:sz w:val="24"/>
                <w:u w:val="none"/>
                <w:lang w:eastAsia="zh-CN"/>
              </w:rPr>
              <w:t>，</w:t>
            </w:r>
            <w:r>
              <w:rPr>
                <w:rFonts w:hint="default" w:ascii="Times New Roman" w:hAnsi="Times New Roman" w:cs="Times New Roman"/>
                <w:color w:val="auto"/>
                <w:kern w:val="0"/>
                <w:sz w:val="24"/>
                <w:u w:val="none"/>
              </w:rPr>
              <w:t>项目建设符合生态红线要求。</w:t>
            </w:r>
          </w:p>
          <w:p w14:paraId="5E8ABB17">
            <w:pPr>
              <w:pStyle w:val="2"/>
              <w:keepNext w:val="0"/>
              <w:keepLines w:val="0"/>
              <w:pageBreakBefore w:val="0"/>
              <w:suppressLineNumbers w:val="0"/>
              <w:kinsoku/>
              <w:wordWrap/>
              <w:overflowPunct/>
              <w:topLinePunct w:val="0"/>
              <w:bidi w:val="0"/>
              <w:spacing w:before="0" w:beforeAutospacing="0" w:after="0" w:afterAutospacing="0" w:line="360" w:lineRule="auto"/>
              <w:ind w:left="0" w:right="0"/>
              <w:textAlignment w:val="auto"/>
              <w:rPr>
                <w:rFonts w:hint="default" w:ascii="Times New Roman" w:hAnsi="Times New Roman" w:cs="Times New Roman"/>
                <w:b/>
                <w:bCs/>
                <w:color w:val="auto"/>
                <w:sz w:val="24"/>
                <w:szCs w:val="24"/>
                <w:u w:val="none"/>
              </w:rPr>
            </w:pPr>
            <w:r>
              <w:rPr>
                <w:rFonts w:hint="eastAsia" w:cs="Times New Roman"/>
                <w:b/>
                <w:bCs/>
                <w:color w:val="auto"/>
                <w:sz w:val="24"/>
                <w:szCs w:val="24"/>
                <w:u w:val="none"/>
                <w:lang w:val="en-US" w:eastAsia="zh-CN"/>
              </w:rPr>
              <w:t>3</w:t>
            </w:r>
            <w:r>
              <w:rPr>
                <w:rFonts w:hint="eastAsia" w:ascii="Times New Roman" w:hAnsi="Times New Roman" w:cs="Times New Roman"/>
                <w:b/>
                <w:bCs/>
                <w:color w:val="auto"/>
                <w:sz w:val="24"/>
                <w:szCs w:val="24"/>
                <w:u w:val="none"/>
                <w:lang w:val="en-US" w:eastAsia="zh-CN"/>
              </w:rPr>
              <w:t>.2、</w:t>
            </w:r>
            <w:r>
              <w:rPr>
                <w:rFonts w:hint="default" w:ascii="Times New Roman" w:hAnsi="Times New Roman" w:cs="Times New Roman"/>
                <w:b/>
                <w:bCs/>
                <w:color w:val="auto"/>
                <w:sz w:val="24"/>
                <w:szCs w:val="24"/>
                <w:u w:val="none"/>
              </w:rPr>
              <w:t>环境质量底线</w:t>
            </w:r>
          </w:p>
          <w:p w14:paraId="70159F1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bCs/>
                <w:color w:val="auto"/>
                <w:sz w:val="24"/>
                <w:szCs w:val="24"/>
                <w:u w:val="none"/>
                <w:lang w:val="en-US" w:eastAsia="zh-CN"/>
              </w:rPr>
            </w:pPr>
            <w:r>
              <w:rPr>
                <w:rFonts w:hint="eastAsia" w:ascii="Times New Roman" w:hAnsi="Times New Roman" w:cs="Times New Roman"/>
                <w:bCs/>
                <w:color w:val="auto"/>
                <w:sz w:val="24"/>
                <w:szCs w:val="24"/>
                <w:u w:val="none"/>
                <w:lang w:val="en-US" w:eastAsia="zh-CN"/>
              </w:rPr>
              <w:t>本项目所在地环境空气质量需</w:t>
            </w:r>
            <w:r>
              <w:rPr>
                <w:rFonts w:hint="eastAsia" w:ascii="Times New Roman" w:hAnsi="Times New Roman" w:cs="Times New Roman"/>
                <w:color w:val="auto"/>
                <w:sz w:val="24"/>
              </w:rPr>
              <w:t>满足《环境空气质量标准》（GB3096-20</w:t>
            </w:r>
            <w:r>
              <w:rPr>
                <w:rFonts w:hint="eastAsia" w:ascii="Times New Roman" w:hAnsi="Times New Roman" w:cs="Times New Roman"/>
                <w:color w:val="auto"/>
                <w:sz w:val="24"/>
                <w:lang w:val="en-US" w:eastAsia="zh-CN"/>
              </w:rPr>
              <w:t>26</w:t>
            </w:r>
            <w:r>
              <w:rPr>
                <w:rFonts w:hint="eastAsia" w:ascii="Times New Roman" w:hAnsi="Times New Roman" w:cs="Times New Roman"/>
                <w:color w:val="auto"/>
                <w:sz w:val="24"/>
              </w:rPr>
              <w:t>）中二级标准要求</w:t>
            </w:r>
            <w:r>
              <w:rPr>
                <w:rFonts w:hint="eastAsia" w:ascii="Times New Roman" w:hAnsi="Times New Roman" w:cs="Times New Roman"/>
                <w:color w:val="auto"/>
                <w:sz w:val="24"/>
                <w:lang w:eastAsia="zh-CN"/>
              </w:rPr>
              <w:t>。</w:t>
            </w:r>
            <w:r>
              <w:rPr>
                <w:rFonts w:hint="eastAsia" w:ascii="Times New Roman" w:hAnsi="Times New Roman" w:cs="Times New Roman"/>
                <w:bCs/>
                <w:color w:val="auto"/>
                <w:sz w:val="24"/>
                <w:szCs w:val="24"/>
                <w:u w:val="none"/>
                <w:lang w:val="en-US" w:eastAsia="zh-CN"/>
              </w:rPr>
              <w:t>地表水环境质量为《地表水环境质量标准》（GB3838-2002）Ⅲ类，声环境质量为《声环境质量标准》（GB3096-2008）3 类。本项目产生的三废均能有效处理，采取相应治理措施后可达标排放。因此本项目建设不会对当地环境质量底线造成冲击，环境质量可以保持现有水平，因此符合环境质量底线要求。</w:t>
            </w:r>
          </w:p>
          <w:p w14:paraId="6B840973">
            <w:pPr>
              <w:pStyle w:val="2"/>
              <w:keepNext w:val="0"/>
              <w:keepLines w:val="0"/>
              <w:pageBreakBefore w:val="0"/>
              <w:suppressLineNumbers w:val="0"/>
              <w:kinsoku/>
              <w:wordWrap/>
              <w:overflowPunct/>
              <w:topLinePunct w:val="0"/>
              <w:bidi w:val="0"/>
              <w:spacing w:before="0" w:beforeAutospacing="0" w:after="0" w:afterAutospacing="0" w:line="360" w:lineRule="auto"/>
              <w:ind w:left="0" w:right="0"/>
              <w:textAlignment w:val="auto"/>
              <w:rPr>
                <w:rFonts w:hint="eastAsia" w:ascii="Times New Roman" w:hAnsi="Times New Roman" w:eastAsia="宋体" w:cs="Times New Roman"/>
                <w:b/>
                <w:bCs/>
                <w:color w:val="auto"/>
                <w:sz w:val="24"/>
                <w:szCs w:val="24"/>
                <w:u w:val="none"/>
                <w:lang w:eastAsia="zh-CN"/>
              </w:rPr>
            </w:pPr>
            <w:r>
              <w:rPr>
                <w:rFonts w:hint="eastAsia" w:cs="Times New Roman"/>
                <w:b/>
                <w:bCs/>
                <w:color w:val="auto"/>
                <w:sz w:val="24"/>
                <w:szCs w:val="24"/>
                <w:u w:val="none"/>
                <w:lang w:val="en-US" w:eastAsia="zh-CN"/>
              </w:rPr>
              <w:t>3</w:t>
            </w:r>
            <w:r>
              <w:rPr>
                <w:rFonts w:hint="eastAsia" w:ascii="Times New Roman" w:hAnsi="Times New Roman" w:cs="Times New Roman"/>
                <w:b/>
                <w:bCs/>
                <w:color w:val="auto"/>
                <w:sz w:val="24"/>
                <w:szCs w:val="24"/>
                <w:u w:val="none"/>
                <w:lang w:val="en-US" w:eastAsia="zh-CN"/>
              </w:rPr>
              <w:t>.3、</w:t>
            </w:r>
            <w:r>
              <w:rPr>
                <w:rFonts w:hint="default" w:ascii="Times New Roman" w:hAnsi="Times New Roman" w:cs="Times New Roman"/>
                <w:b/>
                <w:bCs/>
                <w:color w:val="auto"/>
                <w:sz w:val="24"/>
                <w:szCs w:val="24"/>
                <w:u w:val="none"/>
              </w:rPr>
              <w:t>资源利用上</w:t>
            </w:r>
            <w:r>
              <w:rPr>
                <w:rFonts w:hint="eastAsia" w:ascii="Times New Roman" w:hAnsi="Times New Roman" w:cs="Times New Roman"/>
                <w:b/>
                <w:bCs/>
                <w:color w:val="auto"/>
                <w:sz w:val="24"/>
                <w:szCs w:val="24"/>
                <w:u w:val="none"/>
                <w:lang w:val="en-US" w:eastAsia="zh-CN"/>
              </w:rPr>
              <w:t>线</w:t>
            </w:r>
          </w:p>
          <w:p w14:paraId="6365FCA2">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本项目营运过程中消耗一定量的电能、水等资源，主要为办公人员办公、生活过程中产生，相对区域资源来看，本项目使用水、电量少，不会达到资源利用上线。本项目建设符合资源利用上线要求。</w:t>
            </w:r>
          </w:p>
          <w:p w14:paraId="5FFCB32B">
            <w:pPr>
              <w:pStyle w:val="2"/>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jc w:val="left"/>
              <w:textAlignment w:val="auto"/>
              <w:rPr>
                <w:rFonts w:hint="default" w:ascii="Times New Roman" w:hAnsi="Times New Roman" w:cs="Times New Roman"/>
                <w:b/>
                <w:bCs/>
                <w:color w:val="auto"/>
                <w:sz w:val="24"/>
                <w:szCs w:val="24"/>
                <w:highlight w:val="none"/>
                <w:u w:val="none"/>
                <w:lang w:val="en-US" w:eastAsia="zh-CN"/>
              </w:rPr>
            </w:pPr>
            <w:r>
              <w:rPr>
                <w:rFonts w:hint="eastAsia" w:cs="Times New Roman"/>
                <w:b/>
                <w:bCs/>
                <w:color w:val="auto"/>
                <w:sz w:val="24"/>
                <w:szCs w:val="24"/>
                <w:u w:val="none"/>
                <w:lang w:val="en-US" w:eastAsia="zh-CN"/>
              </w:rPr>
              <w:t>3</w:t>
            </w:r>
            <w:r>
              <w:rPr>
                <w:rFonts w:hint="eastAsia" w:ascii="Times New Roman" w:hAnsi="Times New Roman" w:cs="Times New Roman"/>
                <w:b/>
                <w:bCs/>
                <w:color w:val="auto"/>
                <w:sz w:val="24"/>
                <w:szCs w:val="24"/>
                <w:u w:val="none"/>
                <w:lang w:val="en-US" w:eastAsia="zh-CN"/>
              </w:rPr>
              <w:t>.4、</w:t>
            </w:r>
            <w:r>
              <w:rPr>
                <w:rFonts w:hint="default" w:ascii="Times New Roman" w:hAnsi="Times New Roman" w:cs="Times New Roman"/>
                <w:b/>
                <w:bCs/>
                <w:color w:val="auto"/>
                <w:sz w:val="24"/>
                <w:szCs w:val="24"/>
                <w:highlight w:val="none"/>
                <w:u w:val="none"/>
                <w:lang w:val="en-US" w:eastAsia="zh-CN"/>
              </w:rPr>
              <w:t>与</w:t>
            </w:r>
            <w:r>
              <w:rPr>
                <w:rFonts w:hint="eastAsia" w:ascii="Times New Roman" w:hAnsi="Times New Roman" w:cs="Times New Roman"/>
                <w:b/>
                <w:bCs/>
                <w:color w:val="auto"/>
                <w:sz w:val="24"/>
                <w:szCs w:val="24"/>
                <w:highlight w:val="none"/>
                <w:u w:val="none"/>
                <w:lang w:val="en-US" w:eastAsia="zh-CN"/>
              </w:rPr>
              <w:t>生态环境准入清单</w:t>
            </w:r>
            <w:r>
              <w:rPr>
                <w:rFonts w:hint="default" w:ascii="Times New Roman" w:hAnsi="Times New Roman" w:cs="Times New Roman"/>
                <w:b/>
                <w:bCs/>
                <w:color w:val="auto"/>
                <w:sz w:val="24"/>
                <w:szCs w:val="24"/>
                <w:highlight w:val="none"/>
                <w:u w:val="none"/>
                <w:lang w:val="en-US" w:eastAsia="zh-CN"/>
              </w:rPr>
              <w:t>相符性分析</w:t>
            </w:r>
          </w:p>
          <w:p w14:paraId="75FC6156">
            <w:pPr>
              <w:pStyle w:val="2"/>
              <w:keepNext w:val="0"/>
              <w:keepLines w:val="0"/>
              <w:pageBreakBefore w:val="0"/>
              <w:suppressLineNumbers w:val="0"/>
              <w:kinsoku/>
              <w:wordWrap/>
              <w:overflowPunct/>
              <w:topLinePunct w:val="0"/>
              <w:bidi w:val="0"/>
              <w:adjustRightInd/>
              <w:snapToGrid/>
              <w:spacing w:before="0" w:beforeAutospacing="0" w:after="0" w:afterAutospacing="0" w:line="360" w:lineRule="auto"/>
              <w:ind w:left="0" w:right="0" w:firstLine="472" w:firstLineChars="200"/>
              <w:jc w:val="left"/>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color w:val="auto"/>
                <w:spacing w:val="-2"/>
                <w:sz w:val="24"/>
                <w:highlight w:val="none"/>
                <w:u w:val="none" w:color="auto"/>
              </w:rPr>
              <w:t>根据《</w:t>
            </w:r>
            <w:r>
              <w:rPr>
                <w:rFonts w:hint="eastAsia" w:ascii="Times New Roman" w:hAnsi="Times New Roman" w:eastAsia="宋体" w:cs="Times New Roman"/>
                <w:color w:val="auto"/>
                <w:spacing w:val="-2"/>
                <w:sz w:val="24"/>
                <w:highlight w:val="none"/>
                <w:u w:val="none" w:color="auto"/>
              </w:rPr>
              <w:t>湖南省生态环境分区管控总体管控要求暨省级以上产业园区生态环境准入清单</w:t>
            </w:r>
            <w:r>
              <w:rPr>
                <w:rFonts w:hint="default" w:ascii="Times New Roman" w:hAnsi="Times New Roman" w:eastAsia="宋体" w:cs="Times New Roman"/>
                <w:color w:val="auto"/>
                <w:spacing w:val="-2"/>
                <w:sz w:val="24"/>
                <w:highlight w:val="none"/>
                <w:u w:val="none" w:color="auto"/>
              </w:rPr>
              <w:t>》</w:t>
            </w:r>
            <w:r>
              <w:rPr>
                <w:rFonts w:hint="eastAsia" w:ascii="Times New Roman" w:hAnsi="Times New Roman" w:eastAsia="宋体" w:cs="Times New Roman"/>
                <w:color w:val="auto"/>
                <w:spacing w:val="-2"/>
                <w:sz w:val="24"/>
                <w:highlight w:val="none"/>
                <w:u w:val="none" w:color="auto"/>
              </w:rPr>
              <w:t>(2023版)</w:t>
            </w:r>
            <w:r>
              <w:rPr>
                <w:rFonts w:hint="default" w:ascii="Times New Roman" w:hAnsi="Times New Roman" w:eastAsia="宋体" w:cs="Times New Roman"/>
                <w:color w:val="auto"/>
                <w:spacing w:val="-2"/>
                <w:sz w:val="24"/>
                <w:highlight w:val="none"/>
                <w:u w:val="none" w:color="auto"/>
              </w:rPr>
              <w:t>，项目所在区属于重点管控单元</w:t>
            </w:r>
            <w:r>
              <w:rPr>
                <w:rFonts w:hint="default" w:ascii="Times New Roman" w:hAnsi="Times New Roman" w:cs="Times New Roman"/>
                <w:color w:val="auto"/>
                <w:spacing w:val="-2"/>
                <w:sz w:val="24"/>
                <w:highlight w:val="none"/>
                <w:u w:val="none" w:color="auto"/>
                <w:lang w:eastAsia="zh-CN"/>
              </w:rPr>
              <w:t>（环境管控单元编码为：ZH4311</w:t>
            </w:r>
            <w:r>
              <w:rPr>
                <w:rFonts w:hint="eastAsia" w:ascii="Times New Roman" w:hAnsi="Times New Roman" w:cs="Times New Roman"/>
                <w:color w:val="auto"/>
                <w:spacing w:val="-2"/>
                <w:sz w:val="24"/>
                <w:highlight w:val="none"/>
                <w:u w:val="none" w:color="auto"/>
                <w:lang w:val="en-US" w:eastAsia="zh-CN"/>
              </w:rPr>
              <w:t>2120003）</w:t>
            </w:r>
            <w:r>
              <w:rPr>
                <w:rFonts w:hint="default" w:ascii="Times New Roman" w:hAnsi="Times New Roman" w:eastAsia="宋体" w:cs="Times New Roman"/>
                <w:color w:val="auto"/>
                <w:spacing w:val="-2"/>
                <w:sz w:val="24"/>
                <w:highlight w:val="none"/>
                <w:u w:val="none" w:color="auto"/>
              </w:rPr>
              <w:t>。</w:t>
            </w:r>
            <w:r>
              <w:rPr>
                <w:rFonts w:hint="default" w:ascii="Times New Roman" w:hAnsi="Times New Roman" w:eastAsia="宋体" w:cs="Times New Roman"/>
                <w:color w:val="auto"/>
                <w:kern w:val="0"/>
                <w:sz w:val="24"/>
                <w:szCs w:val="24"/>
                <w:u w:val="none"/>
              </w:rPr>
              <w:t>项目相符性见下表</w:t>
            </w:r>
            <w:r>
              <w:rPr>
                <w:rFonts w:hint="default" w:ascii="Times New Roman" w:hAnsi="Times New Roman" w:eastAsia="宋体" w:cs="Times New Roman"/>
                <w:color w:val="auto"/>
                <w:kern w:val="0"/>
                <w:sz w:val="24"/>
                <w:szCs w:val="24"/>
                <w:u w:val="none"/>
                <w:lang w:eastAsia="zh-CN"/>
              </w:rPr>
              <w:t>：</w:t>
            </w:r>
          </w:p>
          <w:p w14:paraId="307F272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1"/>
                <w:szCs w:val="21"/>
                <w:highlight w:val="none"/>
                <w:u w:val="none"/>
              </w:rPr>
            </w:pPr>
            <w:r>
              <w:rPr>
                <w:rFonts w:hint="default" w:ascii="Times New Roman" w:hAnsi="Times New Roman" w:eastAsia="宋体" w:cs="Times New Roman"/>
                <w:b/>
                <w:bCs/>
                <w:color w:val="auto"/>
                <w:sz w:val="21"/>
                <w:szCs w:val="21"/>
                <w:highlight w:val="none"/>
                <w:u w:val="none"/>
              </w:rPr>
              <w:t>表1-</w:t>
            </w:r>
            <w:r>
              <w:rPr>
                <w:rFonts w:hint="eastAsia" w:ascii="Times New Roman" w:hAnsi="Times New Roman" w:eastAsia="宋体" w:cs="Times New Roman"/>
                <w:b/>
                <w:bCs/>
                <w:color w:val="auto"/>
                <w:sz w:val="21"/>
                <w:szCs w:val="21"/>
                <w:highlight w:val="none"/>
                <w:u w:val="none"/>
                <w:lang w:val="en-US" w:eastAsia="zh-CN"/>
              </w:rPr>
              <w:t>1</w:t>
            </w:r>
            <w:r>
              <w:rPr>
                <w:rFonts w:hint="default" w:ascii="Times New Roman" w:hAnsi="Times New Roman" w:eastAsia="宋体" w:cs="Times New Roman"/>
                <w:b/>
                <w:bCs/>
                <w:color w:val="auto"/>
                <w:sz w:val="21"/>
                <w:szCs w:val="21"/>
                <w:highlight w:val="none"/>
                <w:u w:val="none"/>
              </w:rPr>
              <w:t xml:space="preserve"> </w:t>
            </w:r>
            <w:r>
              <w:rPr>
                <w:rFonts w:hint="default" w:ascii="Times New Roman" w:hAnsi="Times New Roman" w:eastAsia="宋体" w:cs="Times New Roman"/>
                <w:b/>
                <w:bCs/>
                <w:color w:val="auto"/>
                <w:sz w:val="21"/>
                <w:szCs w:val="21"/>
                <w:highlight w:val="none"/>
                <w:u w:val="none"/>
                <w:lang w:val="en-US" w:eastAsia="zh-CN"/>
              </w:rPr>
              <w:t xml:space="preserve"> 与</w:t>
            </w:r>
            <w:r>
              <w:rPr>
                <w:rFonts w:hint="default" w:ascii="Times New Roman" w:hAnsi="Times New Roman" w:eastAsia="宋体" w:cs="Times New Roman"/>
                <w:b/>
                <w:bCs/>
                <w:color w:val="auto"/>
                <w:sz w:val="21"/>
                <w:szCs w:val="21"/>
                <w:highlight w:val="none"/>
                <w:u w:val="none"/>
              </w:rPr>
              <w:t>《湖南省生态环境分区管控总体管控要求暨省级以上产业园区生态环境准入清单（2023版）》相符性分析</w:t>
            </w:r>
          </w:p>
          <w:tbl>
            <w:tblPr>
              <w:tblStyle w:val="44"/>
              <w:tblpPr w:leftFromText="180" w:rightFromText="180" w:vertAnchor="text" w:horzAnchor="page" w:tblpX="277" w:tblpY="293"/>
              <w:tblOverlap w:val="never"/>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4163"/>
              <w:gridCol w:w="1332"/>
              <w:gridCol w:w="743"/>
            </w:tblGrid>
            <w:tr w14:paraId="0DE301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5" w:type="pct"/>
                  <w:noWrap w:val="0"/>
                  <w:vAlign w:val="center"/>
                </w:tcPr>
                <w:p w14:paraId="77CFD28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bCs/>
                      <w:color w:val="auto"/>
                      <w:kern w:val="0"/>
                      <w:szCs w:val="21"/>
                      <w:highlight w:val="none"/>
                      <w:u w:val="none"/>
                      <w:lang w:val="en-US" w:eastAsia="zh-CN"/>
                    </w:rPr>
                  </w:pPr>
                  <w:r>
                    <w:rPr>
                      <w:rFonts w:hint="default" w:ascii="Times New Roman" w:hAnsi="Times New Roman" w:cs="Times New Roman"/>
                      <w:b/>
                      <w:bCs/>
                      <w:color w:val="auto"/>
                      <w:kern w:val="0"/>
                      <w:szCs w:val="21"/>
                      <w:highlight w:val="none"/>
                      <w:u w:val="none"/>
                      <w:lang w:val="en-US" w:eastAsia="zh-CN"/>
                    </w:rPr>
                    <w:t>管控类别</w:t>
                  </w:r>
                </w:p>
              </w:tc>
              <w:tc>
                <w:tcPr>
                  <w:tcW w:w="3026" w:type="pct"/>
                  <w:noWrap w:val="0"/>
                  <w:vAlign w:val="center"/>
                </w:tcPr>
                <w:p w14:paraId="13980F5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b/>
                      <w:bCs/>
                      <w:color w:val="auto"/>
                      <w:kern w:val="0"/>
                      <w:szCs w:val="21"/>
                      <w:highlight w:val="none"/>
                      <w:u w:val="none"/>
                    </w:rPr>
                  </w:pPr>
                  <w:r>
                    <w:rPr>
                      <w:rFonts w:hint="default" w:ascii="Times New Roman" w:hAnsi="Times New Roman" w:cs="Times New Roman"/>
                      <w:b/>
                      <w:bCs/>
                      <w:color w:val="auto"/>
                      <w:kern w:val="0"/>
                      <w:szCs w:val="21"/>
                      <w:highlight w:val="none"/>
                      <w:u w:val="none"/>
                      <w:lang w:val="en-US" w:eastAsia="zh-CN"/>
                    </w:rPr>
                    <w:t>重点管控要求</w:t>
                  </w:r>
                </w:p>
              </w:tc>
              <w:tc>
                <w:tcPr>
                  <w:tcW w:w="968" w:type="pct"/>
                  <w:noWrap w:val="0"/>
                  <w:vAlign w:val="center"/>
                </w:tcPr>
                <w:p w14:paraId="1F52333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bCs/>
                      <w:color w:val="auto"/>
                      <w:kern w:val="0"/>
                      <w:szCs w:val="21"/>
                      <w:highlight w:val="none"/>
                      <w:u w:val="none"/>
                      <w:lang w:val="en-US" w:eastAsia="zh-CN"/>
                    </w:rPr>
                  </w:pPr>
                  <w:r>
                    <w:rPr>
                      <w:rFonts w:hint="default" w:ascii="Times New Roman" w:hAnsi="Times New Roman" w:cs="Times New Roman"/>
                      <w:b/>
                      <w:bCs/>
                      <w:color w:val="auto"/>
                      <w:kern w:val="0"/>
                      <w:szCs w:val="21"/>
                      <w:highlight w:val="none"/>
                      <w:u w:val="none"/>
                      <w:lang w:val="en-US" w:eastAsia="zh-CN"/>
                    </w:rPr>
                    <w:t>本项目情况</w:t>
                  </w:r>
                </w:p>
              </w:tc>
              <w:tc>
                <w:tcPr>
                  <w:tcW w:w="540" w:type="pct"/>
                  <w:noWrap w:val="0"/>
                  <w:vAlign w:val="center"/>
                </w:tcPr>
                <w:p w14:paraId="014A418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b/>
                      <w:bCs/>
                      <w:color w:val="auto"/>
                      <w:kern w:val="0"/>
                      <w:szCs w:val="21"/>
                      <w:highlight w:val="none"/>
                      <w:u w:val="none"/>
                      <w:lang w:eastAsia="zh-CN"/>
                    </w:rPr>
                  </w:pPr>
                  <w:r>
                    <w:rPr>
                      <w:rFonts w:hint="default" w:ascii="Times New Roman" w:hAnsi="Times New Roman" w:cs="Times New Roman"/>
                      <w:b/>
                      <w:bCs/>
                      <w:color w:val="auto"/>
                      <w:kern w:val="0"/>
                      <w:szCs w:val="21"/>
                      <w:highlight w:val="none"/>
                      <w:u w:val="none"/>
                      <w:lang w:val="en-US" w:eastAsia="zh-CN"/>
                    </w:rPr>
                    <w:t>相符性</w:t>
                  </w:r>
                </w:p>
              </w:tc>
            </w:tr>
            <w:tr w14:paraId="0ED83A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5" w:type="pct"/>
                  <w:noWrap w:val="0"/>
                  <w:vAlign w:val="center"/>
                </w:tcPr>
                <w:p w14:paraId="31F1205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kern w:val="0"/>
                      <w:szCs w:val="21"/>
                      <w:highlight w:val="none"/>
                      <w:u w:val="none"/>
                      <w:lang w:val="en-US" w:eastAsia="zh-CN"/>
                    </w:rPr>
                  </w:pPr>
                  <w:r>
                    <w:rPr>
                      <w:rFonts w:hint="default" w:ascii="Times New Roman" w:hAnsi="Times New Roman" w:cs="Times New Roman"/>
                      <w:color w:val="auto"/>
                      <w:kern w:val="0"/>
                      <w:szCs w:val="21"/>
                      <w:highlight w:val="none"/>
                      <w:u w:val="none"/>
                      <w:lang w:val="en-US" w:eastAsia="zh-CN"/>
                    </w:rPr>
                    <w:t>空间布局约束</w:t>
                  </w:r>
                </w:p>
              </w:tc>
              <w:tc>
                <w:tcPr>
                  <w:tcW w:w="3026" w:type="pct"/>
                  <w:noWrap w:val="0"/>
                  <w:vAlign w:val="center"/>
                </w:tcPr>
                <w:p w14:paraId="75C676B6">
                  <w:pPr>
                    <w:keepNext w:val="0"/>
                    <w:keepLines w:val="0"/>
                    <w:suppressLineNumbers w:val="0"/>
                    <w:spacing w:before="0" w:beforeAutospacing="0" w:after="0" w:afterAutospacing="0"/>
                    <w:ind w:left="0" w:right="0"/>
                    <w:rPr>
                      <w:rFonts w:hint="default" w:ascii="Times New Roman" w:hAnsi="Times New Roman" w:cs="Times New Roman"/>
                      <w:color w:val="auto"/>
                      <w:highlight w:val="none"/>
                      <w:u w:val="none" w:color="auto"/>
                      <w:lang w:eastAsia="zh-CN"/>
                    </w:rPr>
                  </w:pPr>
                  <w:r>
                    <w:rPr>
                      <w:rFonts w:hint="default" w:ascii="Times New Roman" w:hAnsi="Times New Roman" w:cs="Times New Roman"/>
                      <w:color w:val="auto"/>
                      <w:highlight w:val="none"/>
                      <w:u w:val="none" w:color="auto"/>
                      <w:lang w:eastAsia="zh-CN"/>
                    </w:rPr>
                    <w:t>(1.1)禁止引进造纸、制革等水型污染重、排水涉持久性有机污染物的项目。</w:t>
                  </w:r>
                </w:p>
                <w:p w14:paraId="4A1930F6">
                  <w:pPr>
                    <w:keepNext w:val="0"/>
                    <w:keepLines w:val="0"/>
                    <w:suppressLineNumbers w:val="0"/>
                    <w:spacing w:before="0" w:beforeAutospacing="0" w:after="0" w:afterAutospacing="0"/>
                    <w:ind w:left="0" w:right="0"/>
                    <w:rPr>
                      <w:rFonts w:hint="default" w:ascii="Times New Roman" w:hAnsi="Times New Roman" w:cs="Times New Roman"/>
                      <w:color w:val="auto"/>
                      <w:highlight w:val="none"/>
                      <w:u w:val="none" w:color="auto"/>
                      <w:lang w:eastAsia="zh-CN"/>
                    </w:rPr>
                  </w:pPr>
                  <w:r>
                    <w:rPr>
                      <w:rFonts w:hint="default" w:ascii="Times New Roman" w:hAnsi="Times New Roman" w:cs="Times New Roman"/>
                      <w:color w:val="auto"/>
                      <w:highlight w:val="none"/>
                      <w:u w:val="none" w:color="auto"/>
                      <w:lang w:eastAsia="zh-CN"/>
                    </w:rPr>
                    <w:t xml:space="preserve">区块二(新区) </w:t>
                  </w:r>
                  <w:r>
                    <w:rPr>
                      <w:rFonts w:hint="eastAsia" w:ascii="Times New Roman" w:hAnsi="Times New Roman" w:cs="Times New Roman"/>
                      <w:color w:val="auto"/>
                      <w:highlight w:val="none"/>
                      <w:u w:val="none" w:color="auto"/>
                      <w:lang w:eastAsia="zh-CN"/>
                    </w:rPr>
                    <w:t>：</w:t>
                  </w:r>
                </w:p>
                <w:p w14:paraId="7B9A8973">
                  <w:pPr>
                    <w:keepNext w:val="0"/>
                    <w:keepLines w:val="0"/>
                    <w:suppressLineNumbers w:val="0"/>
                    <w:spacing w:before="0" w:beforeAutospacing="0" w:after="0" w:afterAutospacing="0"/>
                    <w:ind w:left="0" w:right="0"/>
                    <w:rPr>
                      <w:rFonts w:hint="default" w:ascii="Times New Roman" w:hAnsi="Times New Roman" w:cs="Times New Roman"/>
                      <w:color w:val="auto"/>
                      <w:highlight w:val="none"/>
                      <w:u w:val="none" w:color="auto"/>
                      <w:lang w:eastAsia="zh-CN"/>
                    </w:rPr>
                  </w:pPr>
                  <w:r>
                    <w:rPr>
                      <w:rFonts w:hint="default" w:ascii="Times New Roman" w:hAnsi="Times New Roman" w:cs="Times New Roman"/>
                      <w:color w:val="auto"/>
                      <w:highlight w:val="none"/>
                      <w:u w:val="none" w:color="auto"/>
                      <w:lang w:eastAsia="zh-CN"/>
                    </w:rPr>
                    <w:t>(1.2) 原则上不得新建涉三类工业用地企业项目。</w:t>
                  </w:r>
                </w:p>
                <w:p w14:paraId="0C919F8E">
                  <w:pPr>
                    <w:keepNext w:val="0"/>
                    <w:keepLines w:val="0"/>
                    <w:suppressLineNumbers w:val="0"/>
                    <w:spacing w:before="0" w:beforeAutospacing="0" w:after="0" w:afterAutospacing="0"/>
                    <w:ind w:left="0" w:right="0"/>
                    <w:rPr>
                      <w:rFonts w:hint="default" w:ascii="Times New Roman" w:hAnsi="Times New Roman" w:cs="Times New Roman"/>
                      <w:color w:val="auto"/>
                      <w:highlight w:val="none"/>
                      <w:u w:val="none" w:color="auto"/>
                      <w:lang w:eastAsia="zh-CN"/>
                    </w:rPr>
                  </w:pPr>
                  <w:r>
                    <w:rPr>
                      <w:rFonts w:hint="default" w:ascii="Times New Roman" w:hAnsi="Times New Roman" w:cs="Times New Roman"/>
                      <w:color w:val="auto"/>
                      <w:highlight w:val="none"/>
                      <w:u w:val="none" w:color="auto"/>
                      <w:lang w:eastAsia="zh-CN"/>
                    </w:rPr>
                    <w:t>区块三(白水片区)</w:t>
                  </w:r>
                  <w:r>
                    <w:rPr>
                      <w:rFonts w:hint="eastAsia" w:ascii="Times New Roman" w:hAnsi="Times New Roman" w:cs="Times New Roman"/>
                      <w:color w:val="auto"/>
                      <w:highlight w:val="none"/>
                      <w:u w:val="none" w:color="auto"/>
                      <w:lang w:eastAsia="zh-CN"/>
                    </w:rPr>
                    <w:t>：</w:t>
                  </w:r>
                </w:p>
                <w:p w14:paraId="6B7AA7F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left"/>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highlight w:val="none"/>
                      <w:u w:val="none" w:color="auto"/>
                      <w:lang w:eastAsia="zh-CN"/>
                    </w:rPr>
                    <w:t>(1.3)原则上不得新建涉三类工业用地企业项目。</w:t>
                  </w:r>
                </w:p>
              </w:tc>
              <w:tc>
                <w:tcPr>
                  <w:tcW w:w="968" w:type="pct"/>
                  <w:noWrap w:val="0"/>
                  <w:vAlign w:val="center"/>
                </w:tcPr>
                <w:p w14:paraId="4E41F77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u w:val="none"/>
                      <w:lang w:val="en-US" w:eastAsia="zh-CN"/>
                    </w:rPr>
                  </w:pPr>
                  <w:r>
                    <w:rPr>
                      <w:rFonts w:hint="eastAsia" w:ascii="Times New Roman" w:hAnsi="Times New Roman" w:eastAsia="宋体" w:cs="Times New Roman"/>
                      <w:color w:val="auto"/>
                      <w:kern w:val="0"/>
                      <w:szCs w:val="21"/>
                      <w:highlight w:val="none"/>
                      <w:u w:val="none"/>
                      <w:lang w:val="en-US" w:eastAsia="zh-CN"/>
                    </w:rPr>
                    <w:t>本项目不属于造纸、制革等水型污染重、排水涉及持久性有机污染物的项目，项目不属于三类工业用地企业项目。</w:t>
                  </w:r>
                </w:p>
              </w:tc>
              <w:tc>
                <w:tcPr>
                  <w:tcW w:w="540" w:type="pct"/>
                  <w:noWrap w:val="0"/>
                  <w:vAlign w:val="center"/>
                </w:tcPr>
                <w:p w14:paraId="2C837C5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kern w:val="0"/>
                      <w:szCs w:val="21"/>
                      <w:highlight w:val="none"/>
                      <w:u w:val="none"/>
                    </w:rPr>
                    <w:t>符合</w:t>
                  </w:r>
                </w:p>
              </w:tc>
            </w:tr>
            <w:tr w14:paraId="3A127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5" w:type="pct"/>
                  <w:noWrap w:val="0"/>
                  <w:vAlign w:val="center"/>
                </w:tcPr>
                <w:p w14:paraId="21441C81">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kern w:val="0"/>
                      <w:szCs w:val="21"/>
                      <w:highlight w:val="none"/>
                      <w:u w:val="none"/>
                      <w:lang w:val="en-US" w:eastAsia="zh-CN"/>
                    </w:rPr>
                  </w:pPr>
                  <w:r>
                    <w:rPr>
                      <w:rFonts w:hint="default" w:ascii="Times New Roman" w:hAnsi="Times New Roman" w:cs="Times New Roman"/>
                      <w:color w:val="auto"/>
                      <w:kern w:val="0"/>
                      <w:szCs w:val="21"/>
                      <w:highlight w:val="none"/>
                      <w:u w:val="none"/>
                      <w:lang w:val="en-US" w:eastAsia="zh-CN"/>
                    </w:rPr>
                    <w:t>污染物排放管控</w:t>
                  </w:r>
                </w:p>
              </w:tc>
              <w:tc>
                <w:tcPr>
                  <w:tcW w:w="3026" w:type="pct"/>
                  <w:noWrap w:val="0"/>
                  <w:vAlign w:val="center"/>
                </w:tcPr>
                <w:p w14:paraId="761B8E70">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(2.1)废水：开发区排水实施雨污分流。各片区雨水就近排入附近自然水体或现有排洪渠。</w:t>
                  </w:r>
                </w:p>
                <w:p w14:paraId="5F32A7CF">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区块一(黎家坪片区) :</w:t>
                  </w:r>
                </w:p>
                <w:p w14:paraId="2F3A6DBA">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(2.1.1) 废污水依托黎家坪镇污水处理厂处理达标后排入祁水，适时对该污水处理厂进行提质改造；海螺水泥公司水泥生产区的初期雨水经隔油池、沉淀池处理后排入祁水。</w:t>
                  </w:r>
                </w:p>
                <w:p w14:paraId="59F8CAA0">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区块二(新区) :</w:t>
                  </w:r>
                </w:p>
                <w:p w14:paraId="71C57CF3">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(2.1.2) 废污水经白竹污水处理厂处理达标后排入湘江。</w:t>
                  </w:r>
                </w:p>
                <w:p w14:paraId="7F906F55">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区块三(白水片区) :</w:t>
                  </w:r>
                </w:p>
                <w:p w14:paraId="74EBEF26">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(2.1.3) 废污水经</w:t>
                  </w:r>
                  <w:r>
                    <w:rPr>
                      <w:rFonts w:hint="eastAsia" w:cs="Times New Roman"/>
                      <w:color w:val="auto"/>
                      <w:highlight w:val="none"/>
                      <w:u w:val="none" w:color="auto"/>
                      <w:lang w:eastAsia="zh-CN"/>
                    </w:rPr>
                    <w:t>祁阳白竹污水处理厂</w:t>
                  </w:r>
                  <w:r>
                    <w:rPr>
                      <w:rFonts w:hint="eastAsia" w:ascii="Times New Roman" w:hAnsi="Times New Roman" w:eastAsia="宋体" w:cs="Times New Roman"/>
                      <w:color w:val="auto"/>
                      <w:highlight w:val="none"/>
                      <w:u w:val="none" w:color="auto"/>
                      <w:lang w:eastAsia="zh-CN"/>
                    </w:rPr>
                    <w:t>处理达标后排入湘江。</w:t>
                  </w:r>
                </w:p>
                <w:p w14:paraId="446522D1">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(2.2)废气：</w:t>
                  </w:r>
                </w:p>
                <w:p w14:paraId="712653B3">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(2.2.1)对各企业有工艺废气产污节点，应配置废气收集与处理净化裝置，做到达标排放;采取有效措施，减少工艺废气的无组织排放。</w:t>
                  </w:r>
                </w:p>
                <w:p w14:paraId="31F3676F">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(2.2.2)新、改、扩建涉及VOCs排放项目，从原辅材料和工艺过程大力推广使用低(无)VOCs含量的涂料、有机溶剂、胶黏剂、油墨等原辅材料，配套改进生产工艺。</w:t>
                  </w:r>
                </w:p>
                <w:p w14:paraId="65EEE165">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eastAsia" w:ascii="Times New Roman" w:hAnsi="Times New Roman" w:eastAsia="宋体" w:cs="Times New Roman"/>
                      <w:color w:val="auto"/>
                      <w:highlight w:val="none"/>
                      <w:u w:val="none" w:color="auto"/>
                      <w:lang w:eastAsia="zh-CN"/>
                    </w:rPr>
                    <w:t>(2.2.3) 开发区内水泥等行业大气污染物排放应满足《湖南省生态环境厅关于执行污染物特别排放限值(第一批)的公告》中的要求。特定企业特护期按要求实施错峰生产。</w:t>
                  </w:r>
                </w:p>
                <w:p w14:paraId="1C890F2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left"/>
                    <w:textAlignment w:val="auto"/>
                    <w:rPr>
                      <w:rFonts w:hint="default" w:ascii="Times New Roman" w:hAnsi="Times New Roman" w:cs="Times New Roman"/>
                      <w:color w:val="auto"/>
                      <w:kern w:val="0"/>
                      <w:szCs w:val="21"/>
                      <w:highlight w:val="none"/>
                      <w:u w:val="none"/>
                    </w:rPr>
                  </w:pPr>
                  <w:r>
                    <w:rPr>
                      <w:rFonts w:hint="eastAsia" w:ascii="Times New Roman" w:hAnsi="Times New Roman" w:eastAsia="宋体" w:cs="Times New Roman"/>
                      <w:color w:val="auto"/>
                      <w:highlight w:val="none"/>
                      <w:u w:val="none" w:color="auto"/>
                      <w:lang w:eastAsia="zh-CN"/>
                    </w:rPr>
                    <w:t>(2.3) 固废:做好高新区工业固体废物和生活垃圾的分类收集、转运、综合利用和无害化处理，建立统一的固废收集、贮存、运输、综合利用和安全处置的运营管理体系。推行清洁生产，减少固体废物产生量；加强固体废物和危险废物的资源化进程、提高综合利用率，规范固体废物处理措施，对工业企业的固体废物特别是危险固废应按国家有关规定综合利用或妥善处置，严防二次污染。</w:t>
                  </w:r>
                </w:p>
              </w:tc>
              <w:tc>
                <w:tcPr>
                  <w:tcW w:w="968" w:type="pct"/>
                  <w:noWrap w:val="0"/>
                  <w:vAlign w:val="center"/>
                </w:tcPr>
                <w:p w14:paraId="6F8034C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u w:val="none"/>
                      <w:lang w:eastAsia="zh-CN"/>
                    </w:rPr>
                  </w:pPr>
                  <w:r>
                    <w:rPr>
                      <w:rFonts w:hint="eastAsia" w:ascii="Times New Roman" w:hAnsi="Times New Roman" w:cs="Times New Roman"/>
                      <w:color w:val="auto"/>
                      <w:kern w:val="0"/>
                      <w:szCs w:val="21"/>
                      <w:highlight w:val="none"/>
                      <w:u w:val="none"/>
                      <w:lang w:eastAsia="zh-CN"/>
                    </w:rPr>
                    <w:t>本项目位于</w:t>
                  </w:r>
                  <w:r>
                    <w:rPr>
                      <w:rFonts w:hint="eastAsia" w:ascii="Times New Roman" w:hAnsi="Times New Roman" w:cs="Times New Roman"/>
                      <w:color w:val="auto"/>
                      <w:kern w:val="0"/>
                      <w:szCs w:val="21"/>
                      <w:highlight w:val="none"/>
                      <w:u w:val="none"/>
                      <w:lang w:val="en-US" w:eastAsia="zh-CN"/>
                    </w:rPr>
                    <w:t>新区</w:t>
                  </w:r>
                  <w:r>
                    <w:rPr>
                      <w:rFonts w:hint="eastAsia" w:ascii="Times New Roman" w:hAnsi="Times New Roman" w:cs="Times New Roman"/>
                      <w:color w:val="auto"/>
                      <w:kern w:val="0"/>
                      <w:szCs w:val="21"/>
                      <w:highlight w:val="none"/>
                      <w:u w:val="none"/>
                      <w:lang w:eastAsia="zh-CN"/>
                    </w:rPr>
                    <w:t>片区，雨污分流，</w:t>
                  </w:r>
                  <w:r>
                    <w:rPr>
                      <w:rFonts w:hint="eastAsia" w:ascii="Times New Roman" w:hAnsi="Times New Roman" w:cs="Times New Roman"/>
                      <w:color w:val="auto"/>
                      <w:kern w:val="0"/>
                      <w:szCs w:val="21"/>
                      <w:highlight w:val="none"/>
                      <w:u w:val="none"/>
                      <w:lang w:val="en-US" w:eastAsia="zh-CN"/>
                    </w:rPr>
                    <w:t>无生产</w:t>
                  </w:r>
                  <w:r>
                    <w:rPr>
                      <w:rFonts w:hint="eastAsia" w:ascii="Times New Roman" w:hAnsi="Times New Roman" w:cs="Times New Roman"/>
                      <w:color w:val="auto"/>
                      <w:kern w:val="0"/>
                      <w:szCs w:val="21"/>
                      <w:highlight w:val="none"/>
                      <w:u w:val="none"/>
                      <w:lang w:eastAsia="zh-CN"/>
                    </w:rPr>
                    <w:t>废水外排。废气可做到达标排放，项目</w:t>
                  </w:r>
                  <w:r>
                    <w:rPr>
                      <w:rFonts w:hint="eastAsia" w:ascii="Times New Roman" w:hAnsi="Times New Roman" w:cs="Times New Roman"/>
                      <w:color w:val="auto"/>
                      <w:kern w:val="0"/>
                      <w:szCs w:val="21"/>
                      <w:highlight w:val="none"/>
                      <w:u w:val="none"/>
                      <w:lang w:val="en-US" w:eastAsia="zh-CN"/>
                    </w:rPr>
                    <w:t>采用低VOCs含量的</w:t>
                  </w:r>
                  <w:r>
                    <w:rPr>
                      <w:rFonts w:hint="eastAsia" w:ascii="Times New Roman" w:hAnsi="Times New Roman" w:cs="Times New Roman"/>
                      <w:color w:val="auto"/>
                      <w:kern w:val="0"/>
                      <w:szCs w:val="21"/>
                      <w:highlight w:val="none"/>
                      <w:u w:val="none"/>
                      <w:lang w:eastAsia="zh-CN"/>
                    </w:rPr>
                    <w:t>涂料、有机溶剂、胶黏剂、油墨等原辅材料，</w:t>
                  </w:r>
                  <w:r>
                    <w:rPr>
                      <w:rFonts w:hint="eastAsia" w:ascii="Times New Roman" w:hAnsi="Times New Roman" w:cs="Times New Roman"/>
                      <w:color w:val="auto"/>
                      <w:kern w:val="0"/>
                      <w:szCs w:val="21"/>
                      <w:highlight w:val="none"/>
                      <w:u w:val="none"/>
                      <w:lang w:val="en-US" w:eastAsia="zh-CN"/>
                    </w:rPr>
                    <w:t>产生的有机废气经废气处理装置处理达标后排放</w:t>
                  </w:r>
                  <w:r>
                    <w:rPr>
                      <w:rFonts w:hint="eastAsia" w:ascii="Times New Roman" w:hAnsi="Times New Roman" w:cs="Times New Roman"/>
                      <w:color w:val="auto"/>
                      <w:kern w:val="0"/>
                      <w:szCs w:val="21"/>
                      <w:highlight w:val="none"/>
                      <w:u w:val="none"/>
                      <w:lang w:eastAsia="zh-CN"/>
                    </w:rPr>
                    <w:t>。本项目产生的固废均分类收集，进行综合利用和无害化处理。</w:t>
                  </w:r>
                </w:p>
              </w:tc>
              <w:tc>
                <w:tcPr>
                  <w:tcW w:w="540" w:type="pct"/>
                  <w:noWrap w:val="0"/>
                  <w:vAlign w:val="center"/>
                </w:tcPr>
                <w:p w14:paraId="0052251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kern w:val="0"/>
                      <w:szCs w:val="21"/>
                      <w:highlight w:val="none"/>
                      <w:u w:val="none"/>
                    </w:rPr>
                    <w:t>符合</w:t>
                  </w:r>
                </w:p>
              </w:tc>
            </w:tr>
            <w:tr w14:paraId="1B32B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5" w:type="pct"/>
                  <w:noWrap w:val="0"/>
                  <w:vAlign w:val="center"/>
                </w:tcPr>
                <w:p w14:paraId="3F17BDFA">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kern w:val="0"/>
                      <w:szCs w:val="21"/>
                      <w:highlight w:val="none"/>
                      <w:u w:val="none"/>
                      <w:lang w:val="en-US" w:eastAsia="zh-CN"/>
                    </w:rPr>
                  </w:pPr>
                  <w:r>
                    <w:rPr>
                      <w:rFonts w:hint="default" w:ascii="Times New Roman" w:hAnsi="Times New Roman" w:cs="Times New Roman"/>
                      <w:color w:val="auto"/>
                      <w:kern w:val="0"/>
                      <w:szCs w:val="21"/>
                      <w:highlight w:val="none"/>
                      <w:u w:val="none"/>
                      <w:lang w:val="en-US" w:eastAsia="zh-CN"/>
                    </w:rPr>
                    <w:t>环境风险防控</w:t>
                  </w:r>
                </w:p>
              </w:tc>
              <w:tc>
                <w:tcPr>
                  <w:tcW w:w="3026" w:type="pct"/>
                  <w:noWrap w:val="0"/>
                  <w:vAlign w:val="center"/>
                </w:tcPr>
                <w:p w14:paraId="32C6452C">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(3.1)经开区应建立健全环境风险防控体系，组织严格落实开发区突发环境事件应急预案中相关要求，严防突发环境事件发生，提高应急处置能力。</w:t>
                  </w:r>
                </w:p>
                <w:p w14:paraId="5F76C79E">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(3.2) 开发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p w14:paraId="5B26E8C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both"/>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highlight w:val="none"/>
                      <w:u w:val="none" w:color="auto"/>
                    </w:rPr>
                    <w:t>(3.3) 对各类涉及可能造成土壤污染的新(改、扩)建项目，依法进行环境影响评价，严格落实对土壤环境影响的评价内容，并提出可行的土壤污染防治具体措施，与主体工程同时设计、同时施工、同时投产使用。</w:t>
                  </w:r>
                </w:p>
              </w:tc>
              <w:tc>
                <w:tcPr>
                  <w:tcW w:w="968" w:type="pct"/>
                  <w:noWrap w:val="0"/>
                  <w:vAlign w:val="center"/>
                </w:tcPr>
                <w:p w14:paraId="3751C9D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eastAsia" w:ascii="Times New Roman" w:hAnsi="Times New Roman" w:eastAsia="宋体" w:cs="Times New Roman"/>
                      <w:color w:val="auto"/>
                      <w:kern w:val="0"/>
                      <w:szCs w:val="21"/>
                      <w:highlight w:val="none"/>
                      <w:u w:val="none"/>
                      <w:lang w:val="en-US" w:eastAsia="zh-CN"/>
                    </w:rPr>
                  </w:pPr>
                  <w:r>
                    <w:rPr>
                      <w:rFonts w:hint="eastAsia" w:ascii="Times New Roman" w:hAnsi="Times New Roman" w:cs="Times New Roman"/>
                      <w:color w:val="auto"/>
                      <w:u w:val="none"/>
                      <w:lang w:val="en-US" w:eastAsia="zh-CN"/>
                    </w:rPr>
                    <w:t>本</w:t>
                  </w:r>
                  <w:r>
                    <w:rPr>
                      <w:rFonts w:hint="eastAsia" w:ascii="Times New Roman" w:hAnsi="Times New Roman" w:cs="Times New Roman"/>
                      <w:color w:val="auto"/>
                      <w:u w:val="none"/>
                    </w:rPr>
                    <w:t>项目</w:t>
                  </w:r>
                  <w:r>
                    <w:rPr>
                      <w:rFonts w:hint="eastAsia" w:ascii="Times New Roman" w:hAnsi="Times New Roman" w:cs="Times New Roman"/>
                      <w:color w:val="auto"/>
                      <w:kern w:val="0"/>
                      <w:szCs w:val="21"/>
                      <w:highlight w:val="none"/>
                      <w:u w:val="none"/>
                      <w:lang w:val="en-US" w:eastAsia="zh-CN"/>
                    </w:rPr>
                    <w:t>按要求进行应急预案编制及备案工作</w:t>
                  </w:r>
                  <w:r>
                    <w:rPr>
                      <w:rFonts w:hint="eastAsia" w:ascii="Times New Roman" w:hAnsi="Times New Roman" w:cs="Times New Roman"/>
                      <w:color w:val="auto"/>
                      <w:u w:val="none"/>
                      <w:lang w:val="en-US" w:eastAsia="zh-CN"/>
                    </w:rPr>
                    <w:t>。</w:t>
                  </w:r>
                </w:p>
              </w:tc>
              <w:tc>
                <w:tcPr>
                  <w:tcW w:w="540" w:type="pct"/>
                  <w:noWrap w:val="0"/>
                  <w:vAlign w:val="center"/>
                </w:tcPr>
                <w:p w14:paraId="17DF244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kern w:val="0"/>
                      <w:szCs w:val="21"/>
                      <w:highlight w:val="none"/>
                      <w:u w:val="none"/>
                    </w:rPr>
                    <w:t>符合</w:t>
                  </w:r>
                </w:p>
              </w:tc>
            </w:tr>
            <w:tr w14:paraId="1D8A8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5" w:type="pct"/>
                  <w:noWrap w:val="0"/>
                  <w:vAlign w:val="center"/>
                </w:tcPr>
                <w:p w14:paraId="17EC35F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kern w:val="0"/>
                      <w:szCs w:val="21"/>
                      <w:highlight w:val="none"/>
                      <w:u w:val="none"/>
                      <w:lang w:val="en-US" w:eastAsia="zh-CN"/>
                    </w:rPr>
                  </w:pPr>
                  <w:r>
                    <w:rPr>
                      <w:rFonts w:hint="default" w:ascii="Times New Roman" w:hAnsi="Times New Roman" w:cs="Times New Roman"/>
                      <w:color w:val="auto"/>
                      <w:kern w:val="0"/>
                      <w:szCs w:val="21"/>
                      <w:highlight w:val="none"/>
                      <w:u w:val="none"/>
                      <w:lang w:val="en-US" w:eastAsia="zh-CN"/>
                    </w:rPr>
                    <w:t>资源利用效率要求</w:t>
                  </w:r>
                </w:p>
              </w:tc>
              <w:tc>
                <w:tcPr>
                  <w:tcW w:w="3026" w:type="pct"/>
                  <w:noWrap w:val="0"/>
                  <w:vAlign w:val="center"/>
                </w:tcPr>
                <w:p w14:paraId="25490AE6">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highlight w:val="none"/>
                      <w:u w:val="none" w:color="auto"/>
                      <w:lang w:eastAsia="zh-CN"/>
                    </w:rPr>
                  </w:pPr>
                  <w:r>
                    <w:rPr>
                      <w:rFonts w:hint="default" w:ascii="Times New Roman" w:hAnsi="Times New Roman" w:cs="Times New Roman"/>
                      <w:color w:val="auto"/>
                      <w:highlight w:val="none"/>
                      <w:u w:val="none" w:color="auto"/>
                    </w:rPr>
                    <w:t>(4.1) 能源</w:t>
                  </w:r>
                  <w:r>
                    <w:rPr>
                      <w:rFonts w:hint="eastAsia" w:ascii="Times New Roman" w:hAnsi="Times New Roman" w:cs="Times New Roman"/>
                      <w:color w:val="auto"/>
                      <w:highlight w:val="none"/>
                      <w:u w:val="none" w:color="auto"/>
                      <w:lang w:eastAsia="zh-CN"/>
                    </w:rPr>
                    <w:t>：</w:t>
                  </w:r>
                </w:p>
                <w:p w14:paraId="37CE47C6">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(4.1.1) 高新区管理机构应加强管理，对2017年以前建成的企业进行能源结构清洁化改造，2017年以后区块一(黎家坪)、区块二(新区)引进企业必须采用天然气、电能等清洁能源。区块三(白水片区)实施集中供热。各片区涉及高污染燃料禁燃区范围严格执行禁燃区相关要求。</w:t>
                  </w:r>
                </w:p>
                <w:p w14:paraId="7D975EE6">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(4.1.2)到2025年，祁阳高新区能源消费强度控制在0.487吨标煤/万元，能源消费增量控制在181401.00吨标煤以内，能源消费总量控制在954897吨标煤以内。</w:t>
                  </w:r>
                </w:p>
                <w:p w14:paraId="057A2863">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(4.2)水资源:优化高耗水行业空间布局，推动高耗水行业沿河布局，推广串联式循环用水布局，促进可利用再生水的企业与城市污水处理厂就近布局。加大工业节水技术改造，提高水的重复利用率。以纺织、食品等主要高耗水行业为重点，组织开展节水型企业创建。规范各行业用水定额，各行业应严格按照湖南省用水定额执行，对暂时不能达到要求的，应逐步提高水利用率。到2025年，园区指标应符合相应行政区域的管控要求，祁阳市用水总量控制在34567万立方米以内，万元地区生产总值用水量、万元工业增加值用水量分别比2020年降低18.06%、 8.87%。</w:t>
                  </w:r>
                </w:p>
                <w:p w14:paraId="41CCDADE">
                  <w:pPr>
                    <w:keepNext w:val="0"/>
                    <w:keepLines w:val="0"/>
                    <w:suppressLineNumbers w:val="0"/>
                    <w:spacing w:before="0" w:beforeAutospacing="0" w:after="0" w:afterAutospacing="0"/>
                    <w:ind w:left="0" w:right="0"/>
                    <w:jc w:val="both"/>
                    <w:rPr>
                      <w:rFonts w:hint="default" w:ascii="Times New Roman" w:hAnsi="Times New Roman" w:cs="Times New Roman"/>
                      <w:color w:val="auto"/>
                      <w:highlight w:val="none"/>
                      <w:u w:val="none" w:color="auto"/>
                    </w:rPr>
                  </w:pPr>
                  <w:r>
                    <w:rPr>
                      <w:rFonts w:hint="default" w:ascii="Times New Roman" w:hAnsi="Times New Roman" w:cs="Times New Roman"/>
                      <w:color w:val="auto"/>
                      <w:highlight w:val="none"/>
                      <w:u w:val="none" w:color="auto"/>
                    </w:rPr>
                    <w:t>(4.3) 土地资源:</w:t>
                  </w:r>
                </w:p>
                <w:p w14:paraId="33ECB5BD">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both"/>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highlight w:val="none"/>
                      <w:u w:val="none" w:color="auto"/>
                    </w:rPr>
                    <w:t>促进园区土地高质量利用;在详细规划编制、用地预审与选址、用地报批、土地出让、规划许可竣工验收等环节，全面推行工业项目建设用地引导指标和工业项目供地负面清单管理，工业用地固定资产投入强度须达到250万元/亩以上，工业用地均税收15万元/亩。</w:t>
                  </w:r>
                </w:p>
              </w:tc>
              <w:tc>
                <w:tcPr>
                  <w:tcW w:w="968" w:type="pct"/>
                  <w:noWrap w:val="0"/>
                  <w:vAlign w:val="center"/>
                </w:tcPr>
                <w:p w14:paraId="338F8A7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eastAsia="宋体" w:cs="Times New Roman"/>
                      <w:color w:val="auto"/>
                      <w:kern w:val="0"/>
                      <w:szCs w:val="21"/>
                      <w:highlight w:val="none"/>
                      <w:u w:val="none"/>
                      <w:lang w:val="en-US" w:eastAsia="zh-CN"/>
                    </w:rPr>
                  </w:pPr>
                  <w:r>
                    <w:rPr>
                      <w:rFonts w:hint="default" w:ascii="Times New Roman" w:hAnsi="Times New Roman" w:cs="Times New Roman"/>
                      <w:color w:val="auto"/>
                      <w:kern w:val="0"/>
                      <w:szCs w:val="21"/>
                      <w:highlight w:val="none"/>
                      <w:u w:val="none"/>
                    </w:rPr>
                    <w:t>本项目</w:t>
                  </w:r>
                  <w:r>
                    <w:rPr>
                      <w:rFonts w:hint="eastAsia" w:ascii="Times New Roman" w:hAnsi="Times New Roman" w:cs="Times New Roman"/>
                      <w:color w:val="auto"/>
                      <w:kern w:val="0"/>
                      <w:szCs w:val="21"/>
                      <w:highlight w:val="none"/>
                      <w:u w:val="none"/>
                      <w:lang w:val="en-US" w:eastAsia="zh-CN"/>
                    </w:rPr>
                    <w:t>不涉及煤炭等高污染能源消耗，无生产废水外排</w:t>
                  </w:r>
                  <w:r>
                    <w:rPr>
                      <w:rFonts w:hint="default" w:ascii="Times New Roman" w:hAnsi="Times New Roman" w:cs="Times New Roman"/>
                      <w:color w:val="auto"/>
                      <w:kern w:val="0"/>
                      <w:szCs w:val="21"/>
                      <w:highlight w:val="none"/>
                      <w:u w:val="none"/>
                    </w:rPr>
                    <w:t>。</w:t>
                  </w:r>
                </w:p>
              </w:tc>
              <w:tc>
                <w:tcPr>
                  <w:tcW w:w="540" w:type="pct"/>
                  <w:noWrap w:val="0"/>
                  <w:vAlign w:val="center"/>
                </w:tcPr>
                <w:p w14:paraId="3B6DFD1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jc w:val="center"/>
                    <w:textAlignment w:val="auto"/>
                    <w:rPr>
                      <w:rFonts w:hint="default" w:ascii="Times New Roman" w:hAnsi="Times New Roman" w:cs="Times New Roman"/>
                      <w:color w:val="auto"/>
                      <w:kern w:val="0"/>
                      <w:szCs w:val="21"/>
                      <w:highlight w:val="none"/>
                      <w:u w:val="none"/>
                    </w:rPr>
                  </w:pPr>
                  <w:r>
                    <w:rPr>
                      <w:rFonts w:hint="default" w:ascii="Times New Roman" w:hAnsi="Times New Roman" w:cs="Times New Roman"/>
                      <w:color w:val="auto"/>
                      <w:kern w:val="0"/>
                      <w:szCs w:val="21"/>
                      <w:highlight w:val="none"/>
                      <w:u w:val="none"/>
                    </w:rPr>
                    <w:t>符合</w:t>
                  </w:r>
                </w:p>
              </w:tc>
            </w:tr>
          </w:tbl>
          <w:p w14:paraId="67DD773F">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highlight w:val="none"/>
                <w:u w:val="none" w:color="auto"/>
              </w:rPr>
            </w:pPr>
            <w:r>
              <w:rPr>
                <w:rFonts w:hint="eastAsia" w:ascii="Times New Roman" w:hAnsi="Times New Roman" w:cs="Times New Roman"/>
                <w:color w:val="auto"/>
                <w:sz w:val="24"/>
                <w:highlight w:val="none"/>
                <w:u w:val="none" w:color="auto"/>
              </w:rPr>
              <w:t>经与</w:t>
            </w:r>
            <w:r>
              <w:rPr>
                <w:rFonts w:hint="default" w:ascii="Times New Roman" w:hAnsi="Times New Roman" w:eastAsia="宋体" w:cs="Times New Roman"/>
                <w:color w:val="auto"/>
                <w:spacing w:val="-2"/>
                <w:sz w:val="24"/>
                <w:highlight w:val="none"/>
                <w:u w:val="none" w:color="auto"/>
              </w:rPr>
              <w:t>《</w:t>
            </w:r>
            <w:r>
              <w:rPr>
                <w:rFonts w:hint="eastAsia" w:ascii="Times New Roman" w:hAnsi="Times New Roman" w:eastAsia="宋体" w:cs="Times New Roman"/>
                <w:color w:val="auto"/>
                <w:spacing w:val="-2"/>
                <w:sz w:val="24"/>
                <w:highlight w:val="none"/>
                <w:u w:val="none" w:color="auto"/>
              </w:rPr>
              <w:t>湖南省生态环境分区管控总体管控要求暨省级以上产业园区生态环境准入清单</w:t>
            </w:r>
            <w:r>
              <w:rPr>
                <w:rFonts w:hint="default" w:ascii="Times New Roman" w:hAnsi="Times New Roman" w:eastAsia="宋体" w:cs="Times New Roman"/>
                <w:color w:val="auto"/>
                <w:spacing w:val="-2"/>
                <w:sz w:val="24"/>
                <w:highlight w:val="none"/>
                <w:u w:val="none" w:color="auto"/>
              </w:rPr>
              <w:t>》</w:t>
            </w:r>
            <w:r>
              <w:rPr>
                <w:rFonts w:hint="eastAsia" w:ascii="Times New Roman" w:hAnsi="Times New Roman" w:eastAsia="宋体" w:cs="Times New Roman"/>
                <w:color w:val="auto"/>
                <w:spacing w:val="-2"/>
                <w:sz w:val="24"/>
                <w:highlight w:val="none"/>
                <w:u w:val="none" w:color="auto"/>
              </w:rPr>
              <w:t>(2023版)</w:t>
            </w:r>
            <w:r>
              <w:rPr>
                <w:rFonts w:hint="eastAsia" w:ascii="Times New Roman" w:hAnsi="Times New Roman" w:cs="Times New Roman"/>
                <w:color w:val="auto"/>
                <w:sz w:val="24"/>
                <w:highlight w:val="none"/>
                <w:u w:val="none" w:color="auto"/>
              </w:rPr>
              <w:t>进行对照，本项目基本满足</w:t>
            </w:r>
            <w:r>
              <w:rPr>
                <w:rFonts w:hint="eastAsia" w:ascii="Times New Roman" w:hAnsi="Times New Roman" w:cs="Times New Roman"/>
                <w:color w:val="auto"/>
                <w:sz w:val="24"/>
                <w:highlight w:val="none"/>
                <w:u w:val="none" w:color="auto"/>
                <w:lang w:val="en-US" w:eastAsia="zh-CN"/>
              </w:rPr>
              <w:t>相关分区</w:t>
            </w:r>
            <w:r>
              <w:rPr>
                <w:rFonts w:hint="eastAsia" w:ascii="Times New Roman" w:hAnsi="Times New Roman" w:cs="Times New Roman"/>
                <w:color w:val="auto"/>
                <w:sz w:val="24"/>
                <w:highlight w:val="none"/>
                <w:u w:val="none" w:color="auto"/>
              </w:rPr>
              <w:t>管控要求。</w:t>
            </w:r>
          </w:p>
          <w:p w14:paraId="69F3BAA5">
            <w:pPr>
              <w:pStyle w:val="42"/>
              <w:keepNext w:val="0"/>
              <w:keepLines w:val="0"/>
              <w:suppressLineNumbers w:val="0"/>
              <w:spacing w:beforeAutospacing="0" w:after="0" w:afterAutospacing="0" w:line="360" w:lineRule="auto"/>
              <w:ind w:left="0" w:firstLine="482" w:firstLineChars="200"/>
              <w:rPr>
                <w:rFonts w:hint="eastAsia" w:ascii="Times New Roman" w:hAnsi="Times New Roman" w:eastAsia="宋体" w:cs="Times New Roman"/>
                <w:b/>
                <w:color w:val="auto"/>
                <w:kern w:val="0"/>
                <w:sz w:val="24"/>
                <w:szCs w:val="24"/>
                <w:lang w:val="en-US" w:eastAsia="zh-CN" w:bidi="ar-SA"/>
              </w:rPr>
            </w:pPr>
            <w:r>
              <w:rPr>
                <w:rFonts w:hint="eastAsia" w:ascii="Times New Roman" w:hAnsi="Times New Roman" w:eastAsia="宋体" w:cs="Times New Roman"/>
                <w:b/>
                <w:color w:val="auto"/>
                <w:kern w:val="0"/>
                <w:sz w:val="24"/>
                <w:szCs w:val="24"/>
                <w:lang w:val="en-US" w:eastAsia="zh-CN" w:bidi="ar-SA"/>
              </w:rPr>
              <w:t>6</w:t>
            </w:r>
            <w:r>
              <w:rPr>
                <w:rFonts w:hint="default" w:ascii="Times New Roman" w:hAnsi="Times New Roman" w:eastAsia="宋体" w:cs="Times New Roman"/>
                <w:b/>
                <w:color w:val="auto"/>
                <w:kern w:val="0"/>
                <w:sz w:val="24"/>
                <w:szCs w:val="24"/>
                <w:lang w:val="en-US" w:eastAsia="zh-CN" w:bidi="ar-SA"/>
              </w:rPr>
              <w:t>、</w:t>
            </w:r>
            <w:r>
              <w:rPr>
                <w:rFonts w:hint="eastAsia" w:ascii="Times New Roman" w:hAnsi="Times New Roman" w:eastAsia="宋体" w:cs="Times New Roman"/>
                <w:b/>
                <w:color w:val="auto"/>
                <w:kern w:val="0"/>
                <w:sz w:val="24"/>
                <w:szCs w:val="24"/>
                <w:lang w:val="en-US" w:eastAsia="zh-CN" w:bidi="ar-SA"/>
              </w:rPr>
              <w:t>与《湖南省湘江保护条例》的相符性分析</w:t>
            </w:r>
          </w:p>
          <w:p w14:paraId="40772254">
            <w:pPr>
              <w:pStyle w:val="42"/>
              <w:keepNext w:val="0"/>
              <w:keepLines w:val="0"/>
              <w:suppressLineNumbers w:val="0"/>
              <w:spacing w:before="0" w:beforeAutospacing="0" w:after="0" w:afterAutospacing="0" w:line="360" w:lineRule="auto"/>
              <w:ind w:left="0" w:right="0" w:rightChars="0" w:firstLine="480" w:firstLineChars="200"/>
              <w:jc w:val="both"/>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根据《湖南省湘江保护条例》规定可知，项目和其相符性分析如下：</w:t>
            </w:r>
          </w:p>
          <w:p w14:paraId="2E45DD91">
            <w:pPr>
              <w:pStyle w:val="42"/>
              <w:keepNext w:val="0"/>
              <w:keepLines w:val="0"/>
              <w:suppressLineNumbers w:val="0"/>
              <w:spacing w:beforeAutospacing="0" w:after="0" w:afterAutospacing="0" w:line="360" w:lineRule="auto"/>
              <w:ind w:left="0" w:leftChars="0" w:firstLine="0" w:firstLineChars="0"/>
              <w:jc w:val="center"/>
              <w:rPr>
                <w:rFonts w:hint="eastAsia" w:ascii="Times New Roman" w:hAnsi="Times New Roman" w:eastAsia="宋体" w:cs="Times New Roman"/>
                <w:b/>
                <w:bCs/>
                <w:color w:val="auto"/>
                <w:kern w:val="2"/>
                <w:sz w:val="21"/>
                <w:szCs w:val="21"/>
                <w:highlight w:val="none"/>
                <w:u w:val="none"/>
                <w:lang w:val="en-US" w:eastAsia="zh-CN" w:bidi="ar-SA"/>
              </w:rPr>
            </w:pPr>
            <w:r>
              <w:rPr>
                <w:rFonts w:hint="eastAsia" w:ascii="Times New Roman" w:hAnsi="Times New Roman" w:eastAsia="宋体" w:cs="Times New Roman"/>
                <w:b/>
                <w:bCs/>
                <w:color w:val="auto"/>
                <w:kern w:val="2"/>
                <w:sz w:val="21"/>
                <w:szCs w:val="21"/>
                <w:highlight w:val="none"/>
                <w:u w:val="none"/>
                <w:lang w:val="en-US" w:eastAsia="zh-CN" w:bidi="ar-SA"/>
              </w:rPr>
              <w:t>表1-2 与《湖南省湘江保护条例》符合性分析一览表</w:t>
            </w:r>
          </w:p>
          <w:tbl>
            <w:tblPr>
              <w:tblStyle w:val="44"/>
              <w:tblW w:w="4997"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586"/>
              <w:gridCol w:w="3719"/>
              <w:gridCol w:w="1984"/>
              <w:gridCol w:w="586"/>
            </w:tblGrid>
            <w:tr w14:paraId="758739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6" w:type="pct"/>
                  <w:tcBorders>
                    <w:tl2br w:val="nil"/>
                    <w:tr2bl w:val="nil"/>
                  </w:tcBorders>
                  <w:noWrap w:val="0"/>
                  <w:vAlign w:val="center"/>
                </w:tcPr>
                <w:p w14:paraId="0FEDB8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序号</w:t>
                  </w:r>
                </w:p>
              </w:tc>
              <w:tc>
                <w:tcPr>
                  <w:tcW w:w="2704" w:type="pct"/>
                  <w:tcBorders>
                    <w:tl2br w:val="nil"/>
                    <w:tr2bl w:val="nil"/>
                  </w:tcBorders>
                  <w:noWrap w:val="0"/>
                  <w:vAlign w:val="center"/>
                </w:tcPr>
                <w:p w14:paraId="39CBED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要求</w:t>
                  </w:r>
                </w:p>
              </w:tc>
              <w:tc>
                <w:tcPr>
                  <w:tcW w:w="1443" w:type="pct"/>
                  <w:tcBorders>
                    <w:tl2br w:val="nil"/>
                    <w:tr2bl w:val="nil"/>
                  </w:tcBorders>
                  <w:noWrap w:val="0"/>
                  <w:vAlign w:val="center"/>
                </w:tcPr>
                <w:p w14:paraId="489189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本项目情况</w:t>
                  </w:r>
                </w:p>
              </w:tc>
              <w:tc>
                <w:tcPr>
                  <w:tcW w:w="426" w:type="pct"/>
                  <w:tcBorders>
                    <w:tl2br w:val="nil"/>
                    <w:tr2bl w:val="nil"/>
                  </w:tcBorders>
                  <w:noWrap w:val="0"/>
                  <w:vAlign w:val="center"/>
                </w:tcPr>
                <w:p w14:paraId="2F50CD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是否符合</w:t>
                  </w:r>
                </w:p>
              </w:tc>
            </w:tr>
            <w:tr w14:paraId="78F711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4" w:hRule="atLeast"/>
              </w:trPr>
              <w:tc>
                <w:tcPr>
                  <w:tcW w:w="426" w:type="pct"/>
                  <w:tcBorders>
                    <w:tl2br w:val="nil"/>
                    <w:tr2bl w:val="nil"/>
                  </w:tcBorders>
                  <w:noWrap w:val="0"/>
                  <w:vAlign w:val="center"/>
                </w:tcPr>
                <w:p w14:paraId="6FF502D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704" w:type="pct"/>
                  <w:tcBorders>
                    <w:tl2br w:val="nil"/>
                    <w:tr2bl w:val="nil"/>
                  </w:tcBorders>
                  <w:noWrap w:val="0"/>
                  <w:vAlign w:val="center"/>
                </w:tcPr>
                <w:p w14:paraId="5EC2B913">
                  <w:pPr>
                    <w:keepNext w:val="0"/>
                    <w:keepLines w:val="0"/>
                    <w:widowControl/>
                    <w:suppressLineNumbers w:val="0"/>
                    <w:spacing w:before="0" w:beforeAutospacing="0" w:after="0" w:afterAutospacing="0"/>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禁止在湘江流域饮用水水源一级保护区内设置排污口(渠),禁止新建、改建、扩建与供水设施和保护水源无关的建设项目；已经设置排污口(渠)、建成与供水设施和保护水源无关的建设项目，县级以上人民政府应当在省人民政府规定期限内组织拆除或者关闭。禁止在湘江流域饮用水水源一级保护区内从事网箱养殖、旅游、游泳、垂钓或者其他可能污染饮用水水体的活动。</w:t>
                  </w:r>
                </w:p>
              </w:tc>
              <w:tc>
                <w:tcPr>
                  <w:tcW w:w="1443" w:type="pct"/>
                  <w:vMerge w:val="restart"/>
                  <w:tcBorders>
                    <w:tl2br w:val="nil"/>
                    <w:tr2bl w:val="nil"/>
                  </w:tcBorders>
                  <w:noWrap w:val="0"/>
                  <w:vAlign w:val="center"/>
                </w:tcPr>
                <w:p w14:paraId="49636B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本项目位于湖南省</w:t>
                  </w:r>
                  <w:r>
                    <w:rPr>
                      <w:rStyle w:val="135"/>
                      <w:rFonts w:hint="eastAsia" w:ascii="Times New Roman" w:hAnsi="Times New Roman" w:eastAsia="宋体" w:cs="Times New Roman"/>
                      <w:color w:val="000000"/>
                      <w:sz w:val="21"/>
                      <w:szCs w:val="21"/>
                      <w:u w:val="none"/>
                      <w:lang w:val="en-US" w:eastAsia="zh-CN" w:bidi="ar"/>
                    </w:rPr>
                    <w:t>永州</w:t>
                  </w:r>
                  <w:r>
                    <w:rPr>
                      <w:rStyle w:val="135"/>
                      <w:rFonts w:hint="default" w:ascii="Times New Roman" w:hAnsi="Times New Roman" w:eastAsia="宋体" w:cs="Times New Roman"/>
                      <w:color w:val="000000"/>
                      <w:sz w:val="21"/>
                      <w:szCs w:val="21"/>
                      <w:u w:val="none"/>
                      <w:lang w:val="en-US" w:eastAsia="zh-CN" w:bidi="ar"/>
                    </w:rPr>
                    <w:t>市祁阳高新技术产业开发区灯塔路152号祁阳五洲医药包装有限公司建设的二期联合厂房，不在饮用水水源保护区范围内，本项目影响及评价范围均不涉及饮用水水源保护区。</w:t>
                  </w:r>
                </w:p>
              </w:tc>
              <w:tc>
                <w:tcPr>
                  <w:tcW w:w="426" w:type="pct"/>
                  <w:tcBorders>
                    <w:tl2br w:val="nil"/>
                    <w:tr2bl w:val="nil"/>
                  </w:tcBorders>
                  <w:noWrap w:val="0"/>
                  <w:vAlign w:val="center"/>
                </w:tcPr>
                <w:p w14:paraId="30A497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符合</w:t>
                  </w:r>
                </w:p>
              </w:tc>
            </w:tr>
            <w:tr w14:paraId="3AEF39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6" w:type="pct"/>
                  <w:tcBorders>
                    <w:tl2br w:val="nil"/>
                    <w:tr2bl w:val="nil"/>
                  </w:tcBorders>
                  <w:noWrap w:val="0"/>
                  <w:vAlign w:val="center"/>
                </w:tcPr>
                <w:p w14:paraId="3E7D54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704" w:type="pct"/>
                  <w:tcBorders>
                    <w:tl2br w:val="nil"/>
                    <w:tr2bl w:val="nil"/>
                  </w:tcBorders>
                  <w:noWrap w:val="0"/>
                  <w:vAlign w:val="center"/>
                </w:tcPr>
                <w:p w14:paraId="064AEEEB">
                  <w:pPr>
                    <w:keepNext w:val="0"/>
                    <w:keepLines w:val="0"/>
                    <w:widowControl/>
                    <w:suppressLineNumbers w:val="0"/>
                    <w:spacing w:before="0" w:beforeAutospacing="0" w:after="0" w:afterAutospacing="0"/>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禁止在湘江流域饮用水水源二级保护区内设置排污口(渠),禁止新建、改建、扩建排放污染物的建设项目；已经设置排污口(渠)、建成排放污染物的建设项目，县级以上人民政府应当在省人民政府规定期限内组织拆除或者关闭。</w:t>
                  </w:r>
                </w:p>
              </w:tc>
              <w:tc>
                <w:tcPr>
                  <w:tcW w:w="1443" w:type="pct"/>
                  <w:vMerge w:val="continue"/>
                  <w:tcBorders>
                    <w:tl2br w:val="nil"/>
                    <w:tr2bl w:val="nil"/>
                  </w:tcBorders>
                  <w:noWrap w:val="0"/>
                  <w:vAlign w:val="center"/>
                </w:tcPr>
                <w:p w14:paraId="2F66EA2B">
                  <w:pPr>
                    <w:keepNext w:val="0"/>
                    <w:keepLines w:val="0"/>
                    <w:suppressLineNumbers w:val="0"/>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426" w:type="pct"/>
                  <w:tcBorders>
                    <w:tl2br w:val="nil"/>
                    <w:tr2bl w:val="nil"/>
                  </w:tcBorders>
                  <w:noWrap w:val="0"/>
                  <w:vAlign w:val="center"/>
                </w:tcPr>
                <w:p w14:paraId="621529D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6"/>
                      <w:rFonts w:hint="default" w:ascii="Times New Roman" w:hAnsi="Times New Roman" w:eastAsia="宋体" w:cs="Times New Roman"/>
                      <w:color w:val="000000"/>
                      <w:sz w:val="21"/>
                      <w:szCs w:val="21"/>
                      <w:u w:val="none"/>
                      <w:lang w:val="en-US" w:eastAsia="zh-CN" w:bidi="ar"/>
                    </w:rPr>
                    <w:t>符合</w:t>
                  </w:r>
                </w:p>
              </w:tc>
            </w:tr>
            <w:tr w14:paraId="0976D8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26" w:type="pct"/>
                  <w:tcBorders>
                    <w:tl2br w:val="nil"/>
                    <w:tr2bl w:val="nil"/>
                  </w:tcBorders>
                  <w:noWrap w:val="0"/>
                  <w:vAlign w:val="center"/>
                </w:tcPr>
                <w:p w14:paraId="5DE4FD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704" w:type="pct"/>
                  <w:tcBorders>
                    <w:tl2br w:val="nil"/>
                    <w:tr2bl w:val="nil"/>
                  </w:tcBorders>
                  <w:noWrap w:val="0"/>
                  <w:vAlign w:val="center"/>
                </w:tcPr>
                <w:p w14:paraId="32C89AF2">
                  <w:pPr>
                    <w:keepNext w:val="0"/>
                    <w:keepLines w:val="0"/>
                    <w:widowControl/>
                    <w:suppressLineNumbers w:val="0"/>
                    <w:spacing w:before="0" w:beforeAutospacing="0" w:after="0" w:afterAutospacing="0"/>
                    <w:ind w:left="0" w:right="0" w:firstLine="420" w:firstLineChars="200"/>
                    <w:jc w:val="both"/>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禁止在湘江干流岸线一公里范围内新建、扩建化工园区和化工项目；禁止在湘江干流岸线一公里范围内新建、改建、扩建尾矿库；但是以提升安全、生态环境保护水平为目的的改建除外。</w:t>
                  </w:r>
                </w:p>
              </w:tc>
              <w:tc>
                <w:tcPr>
                  <w:tcW w:w="1443" w:type="pct"/>
                  <w:tcBorders>
                    <w:tl2br w:val="nil"/>
                    <w:tr2bl w:val="nil"/>
                  </w:tcBorders>
                  <w:noWrap w:val="0"/>
                  <w:vAlign w:val="center"/>
                </w:tcPr>
                <w:p w14:paraId="737F46C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Style w:val="135"/>
                      <w:rFonts w:hint="default" w:ascii="Times New Roman" w:hAnsi="Times New Roman" w:eastAsia="宋体" w:cs="Times New Roman"/>
                      <w:color w:val="000000"/>
                      <w:sz w:val="21"/>
                      <w:szCs w:val="21"/>
                      <w:u w:val="none"/>
                      <w:lang w:val="en-US" w:eastAsia="zh-CN" w:bidi="ar"/>
                    </w:rPr>
                    <w:t>本项目不属于化工项目，</w:t>
                  </w:r>
                  <w:r>
                    <w:rPr>
                      <w:rStyle w:val="135"/>
                      <w:rFonts w:hint="eastAsia" w:cs="Times New Roman"/>
                      <w:color w:val="000000"/>
                      <w:sz w:val="21"/>
                      <w:szCs w:val="21"/>
                      <w:u w:val="none"/>
                      <w:lang w:val="en-US" w:eastAsia="zh-CN" w:bidi="ar"/>
                    </w:rPr>
                    <w:t>不涉及尾矿库</w:t>
                  </w:r>
                  <w:r>
                    <w:rPr>
                      <w:rStyle w:val="135"/>
                      <w:rFonts w:hint="default" w:ascii="Times New Roman" w:hAnsi="Times New Roman" w:eastAsia="宋体" w:cs="Times New Roman"/>
                      <w:color w:val="000000"/>
                      <w:sz w:val="21"/>
                      <w:szCs w:val="21"/>
                      <w:u w:val="none"/>
                      <w:lang w:val="en-US" w:eastAsia="zh-CN" w:bidi="ar"/>
                    </w:rPr>
                    <w:t>。</w:t>
                  </w:r>
                </w:p>
              </w:tc>
              <w:tc>
                <w:tcPr>
                  <w:tcW w:w="426" w:type="pct"/>
                  <w:tcBorders>
                    <w:tl2br w:val="nil"/>
                    <w:tr2bl w:val="nil"/>
                  </w:tcBorders>
                  <w:noWrap w:val="0"/>
                  <w:vAlign w:val="center"/>
                </w:tcPr>
                <w:p w14:paraId="109FF2D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符合</w:t>
                  </w:r>
                </w:p>
              </w:tc>
            </w:tr>
          </w:tbl>
          <w:p w14:paraId="4470165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2" w:firstLineChars="200"/>
              <w:textAlignment w:val="auto"/>
              <w:rPr>
                <w:rFonts w:hint="eastAsia" w:ascii="Times New Roman" w:hAnsi="Times New Roman" w:cs="Times New Roman"/>
                <w:b/>
                <w:bCs/>
                <w:color w:val="auto"/>
                <w:sz w:val="24"/>
                <w:szCs w:val="24"/>
                <w:highlight w:val="none"/>
                <w:shd w:val="clear" w:color="auto" w:fill="auto"/>
                <w:lang w:val="en-US" w:eastAsia="zh-CN"/>
              </w:rPr>
            </w:pPr>
            <w:r>
              <w:rPr>
                <w:rFonts w:hint="eastAsia" w:ascii="宋体" w:hAnsi="宋体" w:eastAsia="宋体" w:cs="宋体"/>
                <w:b/>
                <w:bCs/>
                <w:color w:val="000000"/>
                <w:kern w:val="0"/>
                <w:sz w:val="24"/>
                <w:szCs w:val="24"/>
                <w:lang w:val="en-US" w:eastAsia="zh-CN" w:bidi="ar"/>
              </w:rPr>
              <w:t>7、</w:t>
            </w:r>
            <w:r>
              <w:rPr>
                <w:rFonts w:hint="eastAsia" w:ascii="Times New Roman" w:hAnsi="Times New Roman" w:cs="Times New Roman"/>
                <w:b/>
                <w:bCs/>
                <w:color w:val="auto"/>
                <w:sz w:val="24"/>
                <w:szCs w:val="24"/>
                <w:highlight w:val="none"/>
                <w:shd w:val="clear" w:color="auto" w:fill="auto"/>
                <w:lang w:val="en-US" w:eastAsia="zh-CN"/>
              </w:rPr>
              <w:t>与《挥发性有机物（VOCs）污染防治技术政策》相符性分析</w:t>
            </w:r>
          </w:p>
          <w:p w14:paraId="67948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cs="Times New Roman"/>
                <w:b w:val="0"/>
                <w:bCs w:val="0"/>
                <w:color w:val="auto"/>
                <w:sz w:val="24"/>
                <w:szCs w:val="24"/>
                <w:highlight w:val="none"/>
                <w:shd w:val="clear" w:color="auto" w:fill="auto"/>
                <w:lang w:val="en-US" w:eastAsia="zh-CN"/>
              </w:rPr>
            </w:pPr>
            <w:r>
              <w:rPr>
                <w:rFonts w:hint="eastAsia" w:ascii="Times New Roman" w:hAnsi="Times New Roman" w:cs="Times New Roman"/>
                <w:b w:val="0"/>
                <w:bCs w:val="0"/>
                <w:color w:val="auto"/>
                <w:sz w:val="24"/>
                <w:szCs w:val="24"/>
                <w:highlight w:val="none"/>
                <w:shd w:val="clear" w:color="auto" w:fill="auto"/>
                <w:lang w:val="en-US" w:eastAsia="zh-CN"/>
              </w:rPr>
              <w:t>根据《挥发性有机物（VOCs）污染防治技术政策》，本项目相符性分析详见下表。</w:t>
            </w:r>
          </w:p>
          <w:p w14:paraId="3DF9EC3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firstLine="0" w:firstLineChars="0"/>
              <w:jc w:val="center"/>
              <w:textAlignment w:val="auto"/>
              <w:rPr>
                <w:rFonts w:hint="eastAsia" w:ascii="Times New Roman" w:hAnsi="Times New Roman" w:cs="Times New Roman"/>
                <w:b w:val="0"/>
                <w:bCs w:val="0"/>
                <w:color w:val="auto"/>
                <w:sz w:val="24"/>
                <w:szCs w:val="24"/>
                <w:highlight w:val="none"/>
                <w:shd w:val="clear" w:color="auto" w:fill="auto"/>
                <w:lang w:val="en-US" w:eastAsia="zh-CN"/>
              </w:rPr>
            </w:pPr>
            <w:r>
              <w:rPr>
                <w:rFonts w:hint="eastAsia" w:ascii="Times New Roman" w:hAnsi="Times New Roman" w:cs="Times New Roman"/>
                <w:b/>
                <w:bCs/>
                <w:color w:val="auto"/>
                <w:sz w:val="21"/>
                <w:szCs w:val="21"/>
                <w:highlight w:val="none"/>
              </w:rPr>
              <w:t>表</w:t>
            </w:r>
            <w:r>
              <w:rPr>
                <w:rFonts w:hint="eastAsia" w:ascii="Times New Roman" w:hAnsi="Times New Roman" w:cs="Times New Roman"/>
                <w:b/>
                <w:bCs/>
                <w:color w:val="auto"/>
                <w:sz w:val="21"/>
                <w:szCs w:val="21"/>
                <w:highlight w:val="none"/>
                <w:lang w:val="en-US" w:eastAsia="zh-CN"/>
              </w:rPr>
              <w:t>1-4</w:t>
            </w:r>
            <w:r>
              <w:rPr>
                <w:rFonts w:hint="eastAsia" w:ascii="Times New Roman" w:hAnsi="Times New Roman" w:cs="Times New Roman"/>
                <w:b/>
                <w:bCs/>
                <w:color w:val="auto"/>
                <w:sz w:val="21"/>
                <w:szCs w:val="21"/>
                <w:highlight w:val="none"/>
              </w:rPr>
              <w:t xml:space="preserve"> </w:t>
            </w:r>
            <w:r>
              <w:rPr>
                <w:rFonts w:hint="eastAsia" w:ascii="Times New Roman" w:hAnsi="Times New Roman" w:cs="Times New Roman"/>
                <w:b/>
                <w:bCs/>
                <w:color w:val="auto"/>
                <w:sz w:val="21"/>
                <w:szCs w:val="21"/>
                <w:highlight w:val="none"/>
                <w:lang w:val="en-US" w:eastAsia="zh-CN"/>
              </w:rPr>
              <w:t xml:space="preserve"> </w:t>
            </w:r>
            <w:r>
              <w:rPr>
                <w:rFonts w:hint="eastAsia" w:ascii="Times New Roman" w:hAnsi="Times New Roman" w:cs="Times New Roman"/>
                <w:b/>
                <w:bCs/>
                <w:color w:val="auto"/>
                <w:sz w:val="21"/>
                <w:szCs w:val="21"/>
                <w:highlight w:val="none"/>
              </w:rPr>
              <w:t>项目与《挥发性有机物（VOCs）污染防治技术政策》相符性分析</w:t>
            </w:r>
          </w:p>
          <w:tbl>
            <w:tblPr>
              <w:tblStyle w:val="45"/>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3736"/>
              <w:gridCol w:w="1809"/>
              <w:gridCol w:w="683"/>
            </w:tblGrid>
            <w:tr w14:paraId="71DEB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6B2AE1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highlight w:val="none"/>
                      <w:vertAlign w:val="baseline"/>
                      <w:lang w:eastAsia="zh-CN"/>
                    </w:rPr>
                  </w:pPr>
                  <w:r>
                    <w:rPr>
                      <w:rFonts w:hint="eastAsia" w:ascii="Times New Roman" w:hAnsi="Times New Roman" w:cs="Times New Roman"/>
                      <w:b/>
                      <w:bCs/>
                      <w:color w:val="auto"/>
                      <w:highlight w:val="none"/>
                      <w:vertAlign w:val="baseline"/>
                      <w:lang w:eastAsia="zh-CN"/>
                    </w:rPr>
                    <w:t>序号</w:t>
                  </w:r>
                </w:p>
              </w:tc>
              <w:tc>
                <w:tcPr>
                  <w:tcW w:w="2714" w:type="pct"/>
                  <w:tcBorders>
                    <w:tl2br w:val="nil"/>
                    <w:tr2bl w:val="nil"/>
                  </w:tcBorders>
                  <w:noWrap w:val="0"/>
                  <w:vAlign w:val="center"/>
                </w:tcPr>
                <w:p w14:paraId="013E6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highlight w:val="none"/>
                      <w:vertAlign w:val="baseline"/>
                    </w:rPr>
                  </w:pPr>
                  <w:r>
                    <w:rPr>
                      <w:rFonts w:hint="eastAsia" w:ascii="Times New Roman" w:hAnsi="Times New Roman" w:cs="Times New Roman"/>
                      <w:b/>
                      <w:bCs/>
                      <w:color w:val="auto"/>
                      <w:highlight w:val="none"/>
                      <w:vertAlign w:val="baseline"/>
                    </w:rPr>
                    <w:t>挥发性有机物</w:t>
                  </w:r>
                  <w:r>
                    <w:rPr>
                      <w:rFonts w:hint="eastAsia" w:ascii="Times New Roman" w:hAnsi="Times New Roman" w:cs="Times New Roman"/>
                      <w:b/>
                      <w:bCs/>
                      <w:color w:val="auto"/>
                      <w:highlight w:val="none"/>
                      <w:vertAlign w:val="baseline"/>
                      <w:lang w:eastAsia="zh-CN"/>
                    </w:rPr>
                    <w:t>（VOCs）</w:t>
                  </w:r>
                  <w:r>
                    <w:rPr>
                      <w:rFonts w:hint="eastAsia" w:ascii="Times New Roman" w:hAnsi="Times New Roman" w:cs="Times New Roman"/>
                      <w:b/>
                      <w:bCs/>
                      <w:color w:val="auto"/>
                      <w:highlight w:val="none"/>
                      <w:vertAlign w:val="baseline"/>
                    </w:rPr>
                    <w:t>污染防治技术政策</w:t>
                  </w:r>
                </w:p>
              </w:tc>
              <w:tc>
                <w:tcPr>
                  <w:tcW w:w="1314" w:type="pct"/>
                  <w:tcBorders>
                    <w:tl2br w:val="nil"/>
                    <w:tr2bl w:val="nil"/>
                  </w:tcBorders>
                  <w:noWrap w:val="0"/>
                  <w:vAlign w:val="center"/>
                </w:tcPr>
                <w:p w14:paraId="437E39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highlight w:val="none"/>
                      <w:vertAlign w:val="baseline"/>
                    </w:rPr>
                  </w:pPr>
                  <w:r>
                    <w:rPr>
                      <w:rFonts w:hint="eastAsia" w:ascii="Times New Roman" w:hAnsi="Times New Roman" w:cs="Times New Roman"/>
                      <w:b/>
                      <w:bCs/>
                      <w:color w:val="auto"/>
                      <w:highlight w:val="none"/>
                      <w:vertAlign w:val="baseline"/>
                    </w:rPr>
                    <w:t>本项目</w:t>
                  </w:r>
                </w:p>
              </w:tc>
              <w:tc>
                <w:tcPr>
                  <w:tcW w:w="496" w:type="pct"/>
                  <w:tcBorders>
                    <w:tl2br w:val="nil"/>
                    <w:tr2bl w:val="nil"/>
                  </w:tcBorders>
                  <w:noWrap w:val="0"/>
                  <w:vAlign w:val="center"/>
                </w:tcPr>
                <w:p w14:paraId="06F1D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highlight w:val="none"/>
                      <w:vertAlign w:val="baseline"/>
                    </w:rPr>
                  </w:pPr>
                  <w:r>
                    <w:rPr>
                      <w:rFonts w:hint="eastAsia" w:ascii="Times New Roman" w:hAnsi="Times New Roman" w:cs="Times New Roman"/>
                      <w:b/>
                      <w:bCs/>
                      <w:color w:val="auto"/>
                      <w:highlight w:val="none"/>
                      <w:vertAlign w:val="baseline"/>
                    </w:rPr>
                    <w:t>结论</w:t>
                  </w:r>
                </w:p>
              </w:tc>
            </w:tr>
            <w:tr w14:paraId="56B0B4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5159C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1</w:t>
                  </w:r>
                </w:p>
              </w:tc>
              <w:tc>
                <w:tcPr>
                  <w:tcW w:w="2714" w:type="pct"/>
                  <w:tcBorders>
                    <w:tl2br w:val="nil"/>
                    <w:tr2bl w:val="nil"/>
                  </w:tcBorders>
                  <w:noWrap w:val="0"/>
                  <w:vAlign w:val="center"/>
                </w:tcPr>
                <w:p w14:paraId="3C314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在工业生产过程中鼓励VOCs的回收利用，并优先鼓励在生产系统内回用。</w:t>
                  </w:r>
                </w:p>
              </w:tc>
              <w:tc>
                <w:tcPr>
                  <w:tcW w:w="1314" w:type="pct"/>
                  <w:tcBorders>
                    <w:tl2br w:val="nil"/>
                    <w:tr2bl w:val="nil"/>
                  </w:tcBorders>
                  <w:noWrap w:val="0"/>
                  <w:vAlign w:val="center"/>
                </w:tcPr>
                <w:p w14:paraId="5B7FB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color w:val="auto"/>
                      <w:highlight w:val="none"/>
                      <w:vertAlign w:val="baseline"/>
                      <w:lang w:eastAsia="zh-CN"/>
                    </w:rPr>
                  </w:pPr>
                  <w:r>
                    <w:rPr>
                      <w:rFonts w:hint="eastAsia" w:ascii="Times New Roman" w:hAnsi="Times New Roman" w:cs="Times New Roman"/>
                      <w:color w:val="auto"/>
                      <w:highlight w:val="none"/>
                      <w:vertAlign w:val="baseline"/>
                      <w:lang w:val="en-US" w:eastAsia="zh-CN"/>
                    </w:rPr>
                    <w:t>项目有机废气产生浓度较低无回收价值，</w:t>
                  </w:r>
                  <w:r>
                    <w:rPr>
                      <w:rFonts w:hint="eastAsia" w:ascii="Times New Roman" w:hAnsi="Times New Roman" w:cs="Times New Roman"/>
                      <w:color w:val="auto"/>
                      <w:highlight w:val="none"/>
                      <w:vertAlign w:val="baseline"/>
                    </w:rPr>
                    <w:t>不涉及VOCs回收利用</w:t>
                  </w:r>
                  <w:r>
                    <w:rPr>
                      <w:rFonts w:hint="eastAsia" w:ascii="Times New Roman" w:hAnsi="Times New Roman" w:cs="Times New Roman"/>
                      <w:color w:val="auto"/>
                      <w:highlight w:val="none"/>
                      <w:vertAlign w:val="baseline"/>
                      <w:lang w:eastAsia="zh-CN"/>
                    </w:rPr>
                    <w:t>。</w:t>
                  </w:r>
                </w:p>
              </w:tc>
              <w:tc>
                <w:tcPr>
                  <w:tcW w:w="496" w:type="pct"/>
                  <w:tcBorders>
                    <w:tl2br w:val="nil"/>
                    <w:tr2bl w:val="nil"/>
                  </w:tcBorders>
                  <w:noWrap w:val="0"/>
                  <w:vAlign w:val="center"/>
                </w:tcPr>
                <w:p w14:paraId="0764E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r w14:paraId="5B0C0E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0B01B9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2</w:t>
                  </w:r>
                </w:p>
              </w:tc>
              <w:tc>
                <w:tcPr>
                  <w:tcW w:w="2714" w:type="pct"/>
                  <w:tcBorders>
                    <w:tl2br w:val="nil"/>
                    <w:tr2bl w:val="nil"/>
                  </w:tcBorders>
                  <w:noWrap w:val="0"/>
                  <w:vAlign w:val="center"/>
                </w:tcPr>
                <w:p w14:paraId="66D1BD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对于含低浓度VOCs的废气，有回收价值时可采用吸附技术、吸收技术对有机溶剂回收后达标排放</w:t>
                  </w:r>
                  <w:r>
                    <w:rPr>
                      <w:rFonts w:hint="eastAsia" w:ascii="Times New Roman" w:hAnsi="Times New Roman" w:cs="Times New Roman"/>
                      <w:color w:val="auto"/>
                      <w:highlight w:val="none"/>
                      <w:vertAlign w:val="baseline"/>
                      <w:lang w:eastAsia="zh-CN"/>
                    </w:rPr>
                    <w:t>；</w:t>
                  </w:r>
                  <w:r>
                    <w:rPr>
                      <w:rFonts w:hint="eastAsia" w:ascii="Times New Roman" w:hAnsi="Times New Roman" w:cs="Times New Roman"/>
                      <w:color w:val="auto"/>
                      <w:highlight w:val="none"/>
                      <w:vertAlign w:val="baseline"/>
                    </w:rPr>
                    <w:t>不宜回收时，可采用吸附浓缩燃烧技术、生物技术、吸收技术、等离子体技术或紫外光高级氧化技术等净化后达标排放。</w:t>
                  </w:r>
                </w:p>
              </w:tc>
              <w:tc>
                <w:tcPr>
                  <w:tcW w:w="1314" w:type="pct"/>
                  <w:tcBorders>
                    <w:tl2br w:val="nil"/>
                    <w:tr2bl w:val="nil"/>
                  </w:tcBorders>
                  <w:noWrap w:val="0"/>
                  <w:vAlign w:val="center"/>
                </w:tcPr>
                <w:p w14:paraId="6B3A1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color w:val="auto"/>
                      <w:highlight w:val="none"/>
                      <w:vertAlign w:val="baseline"/>
                      <w:lang w:eastAsia="zh-CN"/>
                    </w:rPr>
                  </w:pPr>
                  <w:r>
                    <w:rPr>
                      <w:rFonts w:hint="eastAsia" w:ascii="Times New Roman" w:hAnsi="Times New Roman" w:cs="Times New Roman"/>
                      <w:color w:val="auto"/>
                      <w:highlight w:val="none"/>
                      <w:vertAlign w:val="baseline"/>
                    </w:rPr>
                    <w:t>项目采用“</w:t>
                  </w:r>
                  <w:r>
                    <w:rPr>
                      <w:rFonts w:hint="eastAsia" w:ascii="Times New Roman" w:hAnsi="Times New Roman" w:eastAsia="宋体" w:cs="Times New Roman"/>
                      <w:color w:val="auto"/>
                      <w:kern w:val="2"/>
                      <w:sz w:val="21"/>
                      <w:szCs w:val="21"/>
                      <w:highlight w:val="none"/>
                      <w:shd w:val="clear" w:color="auto" w:fill="auto"/>
                      <w:lang w:val="en-US" w:eastAsia="zh-CN" w:bidi="ar-SA"/>
                    </w:rPr>
                    <w:t>密闭收集+</w:t>
                  </w:r>
                  <w:r>
                    <w:rPr>
                      <w:rFonts w:hint="eastAsia" w:cs="Times New Roman"/>
                      <w:color w:val="auto"/>
                      <w:kern w:val="2"/>
                      <w:sz w:val="21"/>
                      <w:szCs w:val="21"/>
                      <w:highlight w:val="none"/>
                      <w:shd w:val="clear" w:color="auto" w:fill="auto"/>
                      <w:lang w:val="en-US" w:eastAsia="zh-CN" w:bidi="ar-SA"/>
                    </w:rPr>
                    <w:t>沸石转轮浓缩+RTO</w:t>
                  </w:r>
                  <w:r>
                    <w:rPr>
                      <w:rFonts w:hint="eastAsia" w:ascii="Times New Roman" w:hAnsi="Times New Roman" w:cs="Times New Roman"/>
                      <w:color w:val="auto"/>
                      <w:highlight w:val="none"/>
                      <w:vertAlign w:val="baseline"/>
                      <w:lang w:val="en-US" w:eastAsia="zh-CN"/>
                    </w:rPr>
                    <w:t>装置</w:t>
                  </w:r>
                  <w:r>
                    <w:rPr>
                      <w:rFonts w:hint="eastAsia" w:ascii="Times New Roman" w:hAnsi="Times New Roman" w:cs="Times New Roman"/>
                      <w:color w:val="auto"/>
                      <w:highlight w:val="none"/>
                      <w:vertAlign w:val="baseline"/>
                    </w:rPr>
                    <w:t>”处理</w:t>
                  </w:r>
                  <w:r>
                    <w:rPr>
                      <w:rFonts w:hint="eastAsia" w:ascii="Times New Roman" w:hAnsi="Times New Roman" w:cs="Times New Roman"/>
                      <w:color w:val="auto"/>
                      <w:sz w:val="21"/>
                      <w:szCs w:val="21"/>
                      <w:highlight w:val="none"/>
                      <w:vertAlign w:val="baseline"/>
                      <w:lang w:val="en-US" w:eastAsia="zh-CN"/>
                    </w:rPr>
                    <w:t>产生</w:t>
                  </w:r>
                  <w:r>
                    <w:rPr>
                      <w:rFonts w:hint="eastAsia" w:ascii="Times New Roman" w:hAnsi="Times New Roman" w:cs="Times New Roman"/>
                      <w:color w:val="auto"/>
                      <w:highlight w:val="none"/>
                      <w:vertAlign w:val="baseline"/>
                      <w:lang w:val="en-US" w:eastAsia="zh-CN"/>
                    </w:rPr>
                    <w:t>的</w:t>
                  </w:r>
                  <w:r>
                    <w:rPr>
                      <w:rFonts w:hint="eastAsia" w:ascii="Times New Roman" w:hAnsi="Times New Roman" w:cs="Times New Roman"/>
                      <w:color w:val="auto"/>
                      <w:highlight w:val="none"/>
                      <w:vertAlign w:val="baseline"/>
                    </w:rPr>
                    <w:t>有机废气，可实现废气达标排放</w:t>
                  </w:r>
                  <w:r>
                    <w:rPr>
                      <w:rFonts w:hint="eastAsia" w:ascii="Times New Roman" w:hAnsi="Times New Roman" w:cs="Times New Roman"/>
                      <w:color w:val="auto"/>
                      <w:highlight w:val="none"/>
                      <w:vertAlign w:val="baseline"/>
                      <w:lang w:eastAsia="zh-CN"/>
                    </w:rPr>
                    <w:t>。</w:t>
                  </w:r>
                </w:p>
              </w:tc>
              <w:tc>
                <w:tcPr>
                  <w:tcW w:w="496" w:type="pct"/>
                  <w:tcBorders>
                    <w:tl2br w:val="nil"/>
                    <w:tr2bl w:val="nil"/>
                  </w:tcBorders>
                  <w:noWrap w:val="0"/>
                  <w:vAlign w:val="center"/>
                </w:tcPr>
                <w:p w14:paraId="69F47C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r w14:paraId="5C541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5F307D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3</w:t>
                  </w:r>
                </w:p>
              </w:tc>
              <w:tc>
                <w:tcPr>
                  <w:tcW w:w="2714" w:type="pct"/>
                  <w:tcBorders>
                    <w:tl2br w:val="nil"/>
                    <w:tr2bl w:val="nil"/>
                  </w:tcBorders>
                  <w:noWrap w:val="0"/>
                  <w:vAlign w:val="center"/>
                </w:tcPr>
                <w:p w14:paraId="0E0D5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严格控制VOCs处理过程中产生的二次污染，对于催化燃烧和热力焚烧过程中产生的含硫、氮、氯等无机废气，以及吸附、吸收、冷凝、生物等治理过程中所产生的含有机物废水，应处理后达标排放。</w:t>
                  </w:r>
                </w:p>
              </w:tc>
              <w:tc>
                <w:tcPr>
                  <w:tcW w:w="1314" w:type="pct"/>
                  <w:tcBorders>
                    <w:tl2br w:val="nil"/>
                    <w:tr2bl w:val="nil"/>
                  </w:tcBorders>
                  <w:noWrap w:val="0"/>
                  <w:vAlign w:val="center"/>
                </w:tcPr>
                <w:p w14:paraId="276A2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default" w:ascii="Times New Roman" w:hAnsi="Times New Roman" w:cs="Times New Roman"/>
                      <w:color w:val="auto"/>
                      <w:sz w:val="21"/>
                      <w:szCs w:val="21"/>
                      <w:highlight w:val="none"/>
                      <w:vertAlign w:val="baseline"/>
                      <w:lang w:val="en-US" w:eastAsia="zh-CN"/>
                    </w:rPr>
                    <w:t>项目拟配套废气收集装置对废气进行收集，采用</w:t>
                  </w:r>
                  <w:r>
                    <w:rPr>
                      <w:rFonts w:hint="eastAsia" w:cs="Times New Roman"/>
                      <w:color w:val="auto"/>
                      <w:kern w:val="2"/>
                      <w:sz w:val="21"/>
                      <w:szCs w:val="21"/>
                      <w:highlight w:val="none"/>
                      <w:shd w:val="clear" w:color="auto" w:fill="auto"/>
                      <w:lang w:val="en-US" w:eastAsia="zh-CN" w:bidi="ar-SA"/>
                    </w:rPr>
                    <w:t>RTO处理有机废气，达标后排放</w:t>
                  </w:r>
                  <w:r>
                    <w:rPr>
                      <w:rFonts w:hint="eastAsia" w:ascii="Times New Roman" w:hAnsi="Times New Roman" w:cs="Times New Roman"/>
                      <w:color w:val="auto"/>
                      <w:highlight w:val="none"/>
                      <w:vertAlign w:val="baseline"/>
                    </w:rPr>
                    <w:t>。</w:t>
                  </w:r>
                </w:p>
              </w:tc>
              <w:tc>
                <w:tcPr>
                  <w:tcW w:w="496" w:type="pct"/>
                  <w:tcBorders>
                    <w:tl2br w:val="nil"/>
                    <w:tr2bl w:val="nil"/>
                  </w:tcBorders>
                  <w:noWrap w:val="0"/>
                  <w:vAlign w:val="center"/>
                </w:tcPr>
                <w:p w14:paraId="37EECD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r w14:paraId="044076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1B1424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4</w:t>
                  </w:r>
                </w:p>
              </w:tc>
              <w:tc>
                <w:tcPr>
                  <w:tcW w:w="2714" w:type="pct"/>
                  <w:tcBorders>
                    <w:tl2br w:val="nil"/>
                    <w:tr2bl w:val="nil"/>
                  </w:tcBorders>
                  <w:noWrap w:val="0"/>
                  <w:vAlign w:val="center"/>
                </w:tcPr>
                <w:p w14:paraId="0A059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对于不能再生的过滤材料、吸附剂及催化剂等净化材料，应按照国家固体废物管理的相关规定处理处置。</w:t>
                  </w:r>
                </w:p>
              </w:tc>
              <w:tc>
                <w:tcPr>
                  <w:tcW w:w="1314" w:type="pct"/>
                  <w:tcBorders>
                    <w:tl2br w:val="nil"/>
                    <w:tr2bl w:val="nil"/>
                  </w:tcBorders>
                  <w:noWrap w:val="0"/>
                  <w:vAlign w:val="center"/>
                </w:tcPr>
                <w:p w14:paraId="6773EB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项目产生的</w:t>
                  </w:r>
                  <w:r>
                    <w:rPr>
                      <w:rFonts w:hint="eastAsia" w:ascii="Times New Roman" w:hAnsi="Times New Roman" w:cs="Times New Roman"/>
                      <w:color w:val="auto"/>
                      <w:highlight w:val="none"/>
                      <w:vertAlign w:val="baseline"/>
                      <w:lang w:eastAsia="zh-CN"/>
                    </w:rPr>
                    <w:t>废活性炭</w:t>
                  </w:r>
                  <w:r>
                    <w:rPr>
                      <w:rFonts w:hint="eastAsia" w:ascii="Times New Roman" w:hAnsi="Times New Roman" w:cs="Times New Roman"/>
                      <w:color w:val="auto"/>
                      <w:highlight w:val="none"/>
                      <w:vertAlign w:val="baseline"/>
                    </w:rPr>
                    <w:t>委托有危险废物经营许可证相关资质的单位处置。</w:t>
                  </w:r>
                </w:p>
              </w:tc>
              <w:tc>
                <w:tcPr>
                  <w:tcW w:w="496" w:type="pct"/>
                  <w:tcBorders>
                    <w:tl2br w:val="nil"/>
                    <w:tr2bl w:val="nil"/>
                  </w:tcBorders>
                  <w:noWrap w:val="0"/>
                  <w:vAlign w:val="center"/>
                </w:tcPr>
                <w:p w14:paraId="42F678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r w14:paraId="604FC2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428FB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5</w:t>
                  </w:r>
                </w:p>
              </w:tc>
              <w:tc>
                <w:tcPr>
                  <w:tcW w:w="2714" w:type="pct"/>
                  <w:tcBorders>
                    <w:tl2br w:val="nil"/>
                    <w:tr2bl w:val="nil"/>
                  </w:tcBorders>
                  <w:noWrap w:val="0"/>
                  <w:vAlign w:val="center"/>
                </w:tcPr>
                <w:p w14:paraId="47D0B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鼓励企业自行开展 VOCs监测，并及时主动向当地环保行政主管部门报送监测结果。</w:t>
                  </w:r>
                </w:p>
              </w:tc>
              <w:tc>
                <w:tcPr>
                  <w:tcW w:w="1314" w:type="pct"/>
                  <w:tcBorders>
                    <w:tl2br w:val="nil"/>
                    <w:tr2bl w:val="nil"/>
                  </w:tcBorders>
                  <w:noWrap w:val="0"/>
                  <w:vAlign w:val="center"/>
                </w:tcPr>
                <w:p w14:paraId="3ECEA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color w:val="auto"/>
                      <w:highlight w:val="none"/>
                      <w:vertAlign w:val="baseline"/>
                      <w:lang w:eastAsia="zh-CN"/>
                    </w:rPr>
                  </w:pPr>
                  <w:r>
                    <w:rPr>
                      <w:rFonts w:hint="eastAsia" w:ascii="Times New Roman" w:hAnsi="Times New Roman" w:cs="Times New Roman"/>
                      <w:color w:val="auto"/>
                      <w:highlight w:val="none"/>
                      <w:vertAlign w:val="baseline"/>
                    </w:rPr>
                    <w:t>项目拟制定自行监测计划，建成后定期开展自行监测</w:t>
                  </w:r>
                  <w:r>
                    <w:rPr>
                      <w:rFonts w:hint="eastAsia" w:ascii="Times New Roman" w:hAnsi="Times New Roman" w:cs="Times New Roman"/>
                      <w:color w:val="auto"/>
                      <w:highlight w:val="none"/>
                      <w:vertAlign w:val="baseline"/>
                      <w:lang w:eastAsia="zh-CN"/>
                    </w:rPr>
                    <w:t>。</w:t>
                  </w:r>
                </w:p>
              </w:tc>
              <w:tc>
                <w:tcPr>
                  <w:tcW w:w="496" w:type="pct"/>
                  <w:tcBorders>
                    <w:tl2br w:val="nil"/>
                    <w:tr2bl w:val="nil"/>
                  </w:tcBorders>
                  <w:noWrap w:val="0"/>
                  <w:vAlign w:val="center"/>
                </w:tcPr>
                <w:p w14:paraId="1A2A30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r w14:paraId="5F6466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4" w:type="pct"/>
                  <w:tcBorders>
                    <w:tl2br w:val="nil"/>
                    <w:tr2bl w:val="nil"/>
                  </w:tcBorders>
                  <w:noWrap w:val="0"/>
                  <w:vAlign w:val="center"/>
                </w:tcPr>
                <w:p w14:paraId="77F323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cs="Times New Roman"/>
                      <w:color w:val="auto"/>
                      <w:highlight w:val="none"/>
                      <w:vertAlign w:val="baseline"/>
                      <w:lang w:val="en-US" w:eastAsia="zh-CN"/>
                    </w:rPr>
                    <w:t>6</w:t>
                  </w:r>
                </w:p>
              </w:tc>
              <w:tc>
                <w:tcPr>
                  <w:tcW w:w="2714" w:type="pct"/>
                  <w:tcBorders>
                    <w:tl2br w:val="nil"/>
                    <w:tr2bl w:val="nil"/>
                  </w:tcBorders>
                  <w:noWrap w:val="0"/>
                  <w:vAlign w:val="center"/>
                </w:tcPr>
                <w:p w14:paraId="7D75F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企业应建立健全VOCs治理设施的运行维护规程和台</w:t>
                  </w:r>
                  <w:r>
                    <w:rPr>
                      <w:rFonts w:hint="eastAsia" w:ascii="Times New Roman" w:hAnsi="Times New Roman" w:cs="Times New Roman"/>
                      <w:color w:val="auto"/>
                      <w:highlight w:val="none"/>
                      <w:vertAlign w:val="baseline"/>
                      <w:lang w:val="en-US" w:eastAsia="zh-CN"/>
                    </w:rPr>
                    <w:t>账</w:t>
                  </w:r>
                  <w:r>
                    <w:rPr>
                      <w:rFonts w:hint="eastAsia" w:ascii="Times New Roman" w:hAnsi="Times New Roman" w:cs="Times New Roman"/>
                      <w:color w:val="auto"/>
                      <w:highlight w:val="none"/>
                      <w:vertAlign w:val="baseline"/>
                    </w:rPr>
                    <w:t>等日常管理制度，并根据工艺要求定期对各类设备、电气、自控仪表等</w:t>
                  </w:r>
                  <w:r>
                    <w:rPr>
                      <w:rFonts w:hint="eastAsia" w:ascii="Times New Roman" w:hAnsi="Times New Roman" w:cs="Times New Roman"/>
                      <w:color w:val="auto"/>
                      <w:highlight w:val="none"/>
                      <w:vertAlign w:val="baseline"/>
                      <w:lang w:val="en-US" w:eastAsia="zh-CN"/>
                    </w:rPr>
                    <w:t>设</w:t>
                  </w:r>
                  <w:r>
                    <w:rPr>
                      <w:rFonts w:hint="eastAsia" w:ascii="Times New Roman" w:hAnsi="Times New Roman" w:cs="Times New Roman"/>
                      <w:color w:val="auto"/>
                      <w:highlight w:val="none"/>
                      <w:vertAlign w:val="baseline"/>
                    </w:rPr>
                    <w:t>备、电气、自控仪表等进行检修维护，确保设施的稳定运行。</w:t>
                  </w:r>
                </w:p>
              </w:tc>
              <w:tc>
                <w:tcPr>
                  <w:tcW w:w="1314" w:type="pct"/>
                  <w:tcBorders>
                    <w:tl2br w:val="nil"/>
                    <w:tr2bl w:val="nil"/>
                  </w:tcBorders>
                  <w:noWrap w:val="0"/>
                  <w:vAlign w:val="center"/>
                </w:tcPr>
                <w:p w14:paraId="667D3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vertAlign w:val="baseline"/>
                    </w:rPr>
                    <w:t>项目建立健全VOCs治理设施的运行维护规程和台</w:t>
                  </w:r>
                  <w:r>
                    <w:rPr>
                      <w:rFonts w:hint="eastAsia" w:ascii="Times New Roman" w:hAnsi="Times New Roman" w:cs="Times New Roman"/>
                      <w:color w:val="auto"/>
                      <w:highlight w:val="none"/>
                      <w:vertAlign w:val="baseline"/>
                      <w:lang w:val="en-US" w:eastAsia="zh-CN"/>
                    </w:rPr>
                    <w:t>账</w:t>
                  </w:r>
                  <w:r>
                    <w:rPr>
                      <w:rFonts w:hint="eastAsia" w:ascii="Times New Roman" w:hAnsi="Times New Roman" w:cs="Times New Roman"/>
                      <w:color w:val="auto"/>
                      <w:highlight w:val="none"/>
                      <w:vertAlign w:val="baseline"/>
                    </w:rPr>
                    <w:t>等日常管理制度，并根据工艺要求定期对各类设备、电气、自控仪表等进行检修维护，确保设施的稳定运行</w:t>
                  </w:r>
                </w:p>
              </w:tc>
              <w:tc>
                <w:tcPr>
                  <w:tcW w:w="496" w:type="pct"/>
                  <w:tcBorders>
                    <w:tl2br w:val="nil"/>
                    <w:tr2bl w:val="nil"/>
                  </w:tcBorders>
                  <w:noWrap w:val="0"/>
                  <w:vAlign w:val="center"/>
                </w:tcPr>
                <w:p w14:paraId="5FD6C9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rPr>
                    <w:t>相符</w:t>
                  </w:r>
                </w:p>
              </w:tc>
            </w:tr>
          </w:tbl>
          <w:p w14:paraId="67747A4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56" w:lineRule="auto"/>
              <w:ind w:left="0" w:right="0" w:firstLine="482" w:firstLineChars="200"/>
              <w:textAlignment w:val="auto"/>
              <w:rPr>
                <w:rFonts w:hint="eastAsia" w:ascii="Times New Roman" w:hAnsi="Times New Roman" w:eastAsia="宋体" w:cs="Times New Roman"/>
                <w:b/>
                <w:bCs/>
                <w:color w:val="auto"/>
                <w:sz w:val="24"/>
                <w:szCs w:val="24"/>
                <w:highlight w:val="none"/>
                <w:shd w:val="clear" w:color="auto" w:fill="auto"/>
                <w:lang w:val="en-US" w:eastAsia="zh-CN"/>
              </w:rPr>
            </w:pPr>
            <w:r>
              <w:rPr>
                <w:rFonts w:hint="eastAsia" w:ascii="Times New Roman" w:hAnsi="Times New Roman" w:eastAsia="宋体" w:cs="Times New Roman"/>
                <w:b/>
                <w:bCs/>
                <w:color w:val="auto"/>
                <w:sz w:val="24"/>
                <w:szCs w:val="24"/>
                <w:highlight w:val="none"/>
                <w:shd w:val="clear" w:color="auto" w:fill="auto"/>
                <w:lang w:val="en-US" w:eastAsia="zh-CN"/>
              </w:rPr>
              <w:t>9、项目与《挥发性有机物无组织排放控制标准》（GB37822-2019）相符性分析</w:t>
            </w:r>
          </w:p>
          <w:p w14:paraId="6985F86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表1-</w:t>
            </w:r>
            <w:r>
              <w:rPr>
                <w:rFonts w:hint="eastAsia" w:ascii="Times New Roman" w:hAnsi="Times New Roman" w:eastAsia="宋体" w:cs="Times New Roman"/>
                <w:b/>
                <w:bCs/>
                <w:color w:val="auto"/>
                <w:kern w:val="0"/>
                <w:sz w:val="21"/>
                <w:szCs w:val="21"/>
                <w:highlight w:val="none"/>
                <w:lang w:val="en-US" w:eastAsia="zh-CN" w:bidi="ar-SA"/>
              </w:rPr>
              <w:t>5</w:t>
            </w:r>
            <w:r>
              <w:rPr>
                <w:rFonts w:hint="default" w:ascii="Times New Roman" w:hAnsi="Times New Roman" w:eastAsia="宋体" w:cs="Times New Roman"/>
                <w:b/>
                <w:bCs/>
                <w:color w:val="auto"/>
                <w:kern w:val="0"/>
                <w:sz w:val="21"/>
                <w:szCs w:val="21"/>
                <w:highlight w:val="none"/>
                <w:lang w:val="en-US" w:eastAsia="zh-CN" w:bidi="ar-SA"/>
              </w:rPr>
              <w:t xml:space="preserve">  与《挥发性有机物无组织排放控制标准》相符性分析</w:t>
            </w:r>
          </w:p>
          <w:tbl>
            <w:tblPr>
              <w:tblStyle w:val="4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3413"/>
              <w:gridCol w:w="1816"/>
              <w:gridCol w:w="669"/>
            </w:tblGrid>
            <w:tr w14:paraId="18FFE4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pct"/>
                  <w:tcBorders>
                    <w:tl2br w:val="nil"/>
                    <w:tr2bl w:val="nil"/>
                  </w:tcBorders>
                  <w:noWrap w:val="0"/>
                  <w:vAlign w:val="center"/>
                </w:tcPr>
                <w:p w14:paraId="78C7B253">
                  <w:pPr>
                    <w:pStyle w:val="1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类别</w:t>
                  </w:r>
                </w:p>
              </w:tc>
              <w:tc>
                <w:tcPr>
                  <w:tcW w:w="2481" w:type="pct"/>
                  <w:tcBorders>
                    <w:tl2br w:val="nil"/>
                    <w:tr2bl w:val="nil"/>
                  </w:tcBorders>
                  <w:noWrap w:val="0"/>
                  <w:vAlign w:val="center"/>
                </w:tcPr>
                <w:p w14:paraId="7EDB4289">
                  <w:pPr>
                    <w:pStyle w:val="1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要求</w:t>
                  </w:r>
                </w:p>
              </w:tc>
              <w:tc>
                <w:tcPr>
                  <w:tcW w:w="1320" w:type="pct"/>
                  <w:tcBorders>
                    <w:tl2br w:val="nil"/>
                    <w:tr2bl w:val="nil"/>
                  </w:tcBorders>
                  <w:noWrap w:val="0"/>
                  <w:vAlign w:val="center"/>
                </w:tcPr>
                <w:p w14:paraId="6942FB6E">
                  <w:pPr>
                    <w:pStyle w:val="1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本项目情况</w:t>
                  </w:r>
                </w:p>
              </w:tc>
              <w:tc>
                <w:tcPr>
                  <w:tcW w:w="486" w:type="pct"/>
                  <w:tcBorders>
                    <w:tl2br w:val="nil"/>
                    <w:tr2bl w:val="nil"/>
                  </w:tcBorders>
                  <w:noWrap w:val="0"/>
                  <w:vAlign w:val="center"/>
                </w:tcPr>
                <w:p w14:paraId="3008C0B3">
                  <w:pPr>
                    <w:pStyle w:val="15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符合性</w:t>
                  </w:r>
                </w:p>
              </w:tc>
            </w:tr>
            <w:tr w14:paraId="029754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10" w:type="pct"/>
                  <w:tcBorders>
                    <w:tl2br w:val="nil"/>
                    <w:tr2bl w:val="nil"/>
                  </w:tcBorders>
                  <w:noWrap w:val="0"/>
                  <w:vAlign w:val="center"/>
                </w:tcPr>
                <w:p w14:paraId="3AC07DFB">
                  <w:pPr>
                    <w:pStyle w:val="43"/>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VOCs物料储存无组织排放控制要求</w:t>
                  </w:r>
                </w:p>
              </w:tc>
              <w:tc>
                <w:tcPr>
                  <w:tcW w:w="2481" w:type="pct"/>
                  <w:tcBorders>
                    <w:tl2br w:val="nil"/>
                    <w:tr2bl w:val="nil"/>
                  </w:tcBorders>
                  <w:noWrap w:val="0"/>
                  <w:vAlign w:val="center"/>
                </w:tcPr>
                <w:p w14:paraId="6C58C262">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w:t>
                  </w:r>
                  <w:r>
                    <w:rPr>
                      <w:rFonts w:hint="default" w:ascii="Times New Roman" w:hAnsi="Times New Roman" w:eastAsia="宋体" w:cs="Times New Roman"/>
                      <w:b w:val="0"/>
                      <w:bCs w:val="0"/>
                      <w:color w:val="auto"/>
                      <w:sz w:val="21"/>
                      <w:szCs w:val="21"/>
                      <w:highlight w:val="none"/>
                      <w:vertAlign w:val="baseline"/>
                      <w:lang w:val="en-US" w:eastAsia="zh-CN"/>
                    </w:rPr>
                    <w:t>VOCs物料应储存于密闭的容器、包装袋、储罐、储库、料仓中。</w:t>
                  </w:r>
                </w:p>
                <w:p w14:paraId="55BEAAA8">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2、</w:t>
                  </w:r>
                  <w:r>
                    <w:rPr>
                      <w:rFonts w:hint="default" w:ascii="Times New Roman" w:hAnsi="Times New Roman" w:eastAsia="宋体" w:cs="Times New Roman"/>
                      <w:b w:val="0"/>
                      <w:bCs w:val="0"/>
                      <w:color w:val="auto"/>
                      <w:sz w:val="21"/>
                      <w:szCs w:val="21"/>
                      <w:highlight w:val="none"/>
                      <w:vertAlign w:val="baseline"/>
                      <w:lang w:val="en-US" w:eastAsia="zh-CN"/>
                    </w:rPr>
                    <w:t>盛装VOCs物料的容器或包装袋应存放于室内，或存放于设置有雨棚、遮阳和防渗设施的专用场地。盛装VOCs物料的容器或包装袋在非取用状态时应加盖、封口，保持密闭。</w:t>
                  </w:r>
                </w:p>
                <w:p w14:paraId="385B780A">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3、VOCs物料储罐应密封良好。</w:t>
                  </w:r>
                </w:p>
              </w:tc>
              <w:tc>
                <w:tcPr>
                  <w:tcW w:w="1320" w:type="pct"/>
                  <w:tcBorders>
                    <w:tl2br w:val="nil"/>
                    <w:tr2bl w:val="nil"/>
                  </w:tcBorders>
                  <w:noWrap w:val="0"/>
                  <w:vAlign w:val="center"/>
                </w:tcPr>
                <w:p w14:paraId="4FE4D804">
                  <w:pPr>
                    <w:pStyle w:val="4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项目VOCs物料存储于密闭的包装桶中储存、转运以及输送均采取加盖密闭过程，使用时做到即用即取，不用时密闭。VOCs物料</w:t>
                  </w:r>
                  <w:r>
                    <w:rPr>
                      <w:rFonts w:hint="eastAsia" w:ascii="Times New Roman" w:hAnsi="Times New Roman" w:eastAsia="宋体" w:cs="Times New Roman"/>
                      <w:b w:val="0"/>
                      <w:bCs w:val="0"/>
                      <w:color w:val="auto"/>
                      <w:sz w:val="21"/>
                      <w:szCs w:val="21"/>
                      <w:highlight w:val="none"/>
                      <w:vertAlign w:val="baseline"/>
                      <w:lang w:val="en-US" w:eastAsia="zh-CN"/>
                    </w:rPr>
                    <w:t>桶</w:t>
                  </w:r>
                  <w:r>
                    <w:rPr>
                      <w:rFonts w:hint="default" w:ascii="Times New Roman" w:hAnsi="Times New Roman" w:eastAsia="宋体" w:cs="Times New Roman"/>
                      <w:b w:val="0"/>
                      <w:bCs w:val="0"/>
                      <w:color w:val="auto"/>
                      <w:sz w:val="21"/>
                      <w:szCs w:val="21"/>
                      <w:highlight w:val="none"/>
                      <w:vertAlign w:val="baseline"/>
                      <w:lang w:val="en-US" w:eastAsia="zh-CN"/>
                    </w:rPr>
                    <w:t>存放于室内</w:t>
                  </w:r>
                  <w:r>
                    <w:rPr>
                      <w:rFonts w:hint="eastAsia" w:ascii="Times New Roman" w:hAnsi="Times New Roman" w:eastAsia="宋体" w:cs="Times New Roman"/>
                      <w:b w:val="0"/>
                      <w:bCs w:val="0"/>
                      <w:color w:val="auto"/>
                      <w:sz w:val="21"/>
                      <w:szCs w:val="21"/>
                      <w:highlight w:val="none"/>
                      <w:vertAlign w:val="baseline"/>
                      <w:lang w:val="en-US" w:eastAsia="zh-CN"/>
                    </w:rPr>
                    <w:t>。</w:t>
                  </w:r>
                </w:p>
              </w:tc>
              <w:tc>
                <w:tcPr>
                  <w:tcW w:w="486" w:type="pct"/>
                  <w:tcBorders>
                    <w:tl2br w:val="nil"/>
                    <w:tr2bl w:val="nil"/>
                  </w:tcBorders>
                  <w:noWrap w:val="0"/>
                  <w:vAlign w:val="center"/>
                </w:tcPr>
                <w:p w14:paraId="59D9E46D">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符合</w:t>
                  </w:r>
                </w:p>
              </w:tc>
            </w:tr>
            <w:tr w14:paraId="17D368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pct"/>
                  <w:tcBorders>
                    <w:tl2br w:val="nil"/>
                    <w:tr2bl w:val="nil"/>
                  </w:tcBorders>
                  <w:noWrap w:val="0"/>
                  <w:vAlign w:val="center"/>
                </w:tcPr>
                <w:p w14:paraId="3A6232A7">
                  <w:pPr>
                    <w:pStyle w:val="43"/>
                    <w:keepNext w:val="0"/>
                    <w:keepLines w:val="0"/>
                    <w:suppressLineNumbers w:val="0"/>
                    <w:spacing w:before="0" w:beforeAutospacing="0" w:afterAutospacing="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VOCs物料转移和输送无组织排放控制要求</w:t>
                  </w:r>
                </w:p>
              </w:tc>
              <w:tc>
                <w:tcPr>
                  <w:tcW w:w="2481" w:type="pct"/>
                  <w:tcBorders>
                    <w:tl2br w:val="nil"/>
                    <w:tr2bl w:val="nil"/>
                  </w:tcBorders>
                  <w:noWrap w:val="0"/>
                  <w:vAlign w:val="center"/>
                </w:tcPr>
                <w:p w14:paraId="4FDD8DE6">
                  <w:pPr>
                    <w:pStyle w:val="43"/>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液态VOCs物料应采用密闭管道输送。采用非管道输送方式转移液态VOCs物料时，应采用密闭容器、罐车。</w:t>
                  </w:r>
                </w:p>
                <w:p w14:paraId="5DD911AF">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2、粉状、粒状VOCs物料应采用气力输送设备、管状带式输送机、螺旋输送机等密闭输送方式，或者采用密闭的包装袋、容器或罐车进行物料转移。</w:t>
                  </w:r>
                </w:p>
              </w:tc>
              <w:tc>
                <w:tcPr>
                  <w:tcW w:w="1320" w:type="pct"/>
                  <w:tcBorders>
                    <w:tl2br w:val="nil"/>
                    <w:tr2bl w:val="nil"/>
                  </w:tcBorders>
                  <w:noWrap w:val="0"/>
                  <w:vAlign w:val="center"/>
                </w:tcPr>
                <w:p w14:paraId="4EF1FB4F">
                  <w:pPr>
                    <w:pStyle w:val="43"/>
                    <w:keepNext w:val="0"/>
                    <w:keepLines w:val="0"/>
                    <w:suppressLineNumbers w:val="0"/>
                    <w:spacing w:before="0" w:beforeAutospacing="0" w:afterAutospacing="0" w:line="240" w:lineRule="auto"/>
                    <w:ind w:left="0" w:leftChars="0" w:right="0" w:rightChars="0" w:firstLine="0" w:firstLineChars="0"/>
                    <w:jc w:val="both"/>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项目</w:t>
                  </w:r>
                  <w:r>
                    <w:rPr>
                      <w:rFonts w:hint="eastAsia" w:ascii="Times New Roman" w:hAnsi="Times New Roman" w:eastAsia="宋体" w:cs="Times New Roman"/>
                      <w:b w:val="0"/>
                      <w:bCs w:val="0"/>
                      <w:color w:val="auto"/>
                      <w:sz w:val="21"/>
                      <w:szCs w:val="21"/>
                      <w:highlight w:val="none"/>
                      <w:vertAlign w:val="baseline"/>
                      <w:lang w:val="en-US" w:eastAsia="zh-CN"/>
                    </w:rPr>
                    <w:t>原料</w:t>
                  </w:r>
                  <w:r>
                    <w:rPr>
                      <w:rFonts w:hint="default" w:ascii="Times New Roman" w:hAnsi="Times New Roman" w:eastAsia="宋体" w:cs="Times New Roman"/>
                      <w:b w:val="0"/>
                      <w:bCs w:val="0"/>
                      <w:color w:val="auto"/>
                      <w:sz w:val="21"/>
                      <w:szCs w:val="21"/>
                      <w:highlight w:val="none"/>
                      <w:vertAlign w:val="baseline"/>
                      <w:lang w:val="en-US" w:eastAsia="zh-CN"/>
                    </w:rPr>
                    <w:t>转运或使用后均使用加盖密闭的桶存放。</w:t>
                  </w:r>
                </w:p>
              </w:tc>
              <w:tc>
                <w:tcPr>
                  <w:tcW w:w="486" w:type="pct"/>
                  <w:tcBorders>
                    <w:tl2br w:val="nil"/>
                    <w:tr2bl w:val="nil"/>
                  </w:tcBorders>
                  <w:noWrap w:val="0"/>
                  <w:vAlign w:val="center"/>
                </w:tcPr>
                <w:p w14:paraId="570C344D">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符合</w:t>
                  </w:r>
                </w:p>
              </w:tc>
            </w:tr>
            <w:tr w14:paraId="088536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0" w:type="pct"/>
                  <w:tcBorders>
                    <w:tl2br w:val="nil"/>
                    <w:tr2bl w:val="nil"/>
                  </w:tcBorders>
                  <w:noWrap w:val="0"/>
                  <w:vAlign w:val="center"/>
                </w:tcPr>
                <w:p w14:paraId="321F03F9">
                  <w:pPr>
                    <w:pStyle w:val="4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工艺过程VOCs无组织排放控制要求</w:t>
                  </w:r>
                </w:p>
              </w:tc>
              <w:tc>
                <w:tcPr>
                  <w:tcW w:w="2481" w:type="pct"/>
                  <w:tcBorders>
                    <w:tl2br w:val="nil"/>
                    <w:tr2bl w:val="nil"/>
                  </w:tcBorders>
                  <w:noWrap w:val="0"/>
                  <w:vAlign w:val="center"/>
                </w:tcPr>
                <w:p w14:paraId="42DD090F">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1、</w:t>
                  </w:r>
                  <w:r>
                    <w:rPr>
                      <w:rFonts w:hint="default" w:ascii="Times New Roman" w:hAnsi="Times New Roman" w:eastAsia="宋体" w:cs="Times New Roman"/>
                      <w:b w:val="0"/>
                      <w:bCs w:val="0"/>
                      <w:color w:val="auto"/>
                      <w:sz w:val="21"/>
                      <w:szCs w:val="21"/>
                      <w:highlight w:val="none"/>
                      <w:vertAlign w:val="baseline"/>
                      <w:lang w:val="en-US" w:eastAsia="zh-CN"/>
                    </w:rPr>
                    <w:t>VOCs质量占比大于等于10%的含VOCs产品，其使用过程应采用密闭设备或在密闭空间内操作，废气应排至VOCs废气收集处理系统；无法密闭的，应采取局部气体收集措施，废气应排至VOCs废气收集处理系统。</w:t>
                  </w:r>
                </w:p>
                <w:p w14:paraId="18B44299">
                  <w:pPr>
                    <w:pStyle w:val="4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vertAlign w:val="baseline"/>
                      <w:lang w:val="en-US" w:eastAsia="zh-CN"/>
                    </w:rPr>
                    <w:t>2、有机聚合物产品用于制品生产的过程，在混合/混炼、塑炼/塑化/熔化、加工成型（挤出、注射、压制、压延、发泡、纺丝等）等作业中应采用密闭设备或在密闭空间内操作，废气应排至VOCs废气收集处理系统；无法密闭的，应采取局部气体收集措施，废气应排至VOCs废气收集处理系统。</w:t>
                  </w:r>
                </w:p>
              </w:tc>
              <w:tc>
                <w:tcPr>
                  <w:tcW w:w="1320" w:type="pct"/>
                  <w:tcBorders>
                    <w:tl2br w:val="nil"/>
                    <w:tr2bl w:val="nil"/>
                  </w:tcBorders>
                  <w:noWrap w:val="0"/>
                  <w:vAlign w:val="center"/>
                </w:tcPr>
                <w:p w14:paraId="54178BA1">
                  <w:pPr>
                    <w:pStyle w:val="43"/>
                    <w:keepNext w:val="0"/>
                    <w:keepLines w:val="0"/>
                    <w:suppressLineNumbers w:val="0"/>
                    <w:spacing w:before="0" w:beforeAutospacing="0" w:afterAutospacing="0" w:line="240" w:lineRule="auto"/>
                    <w:ind w:left="0" w:leftChars="0" w:right="0" w:rightChars="0" w:firstLine="0" w:firstLineChars="0"/>
                    <w:jc w:val="both"/>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项目</w:t>
                  </w:r>
                  <w:r>
                    <w:rPr>
                      <w:rFonts w:hint="eastAsia" w:ascii="Times New Roman" w:hAnsi="Times New Roman" w:cs="Times New Roman"/>
                      <w:color w:val="auto"/>
                      <w:sz w:val="21"/>
                      <w:szCs w:val="21"/>
                      <w:highlight w:val="none"/>
                      <w:vertAlign w:val="baseline"/>
                      <w:lang w:val="en-US" w:eastAsia="zh-CN"/>
                    </w:rPr>
                    <w:t>生产处于密闭</w:t>
                  </w:r>
                  <w:r>
                    <w:rPr>
                      <w:rFonts w:hint="eastAsia" w:ascii="Times New Roman" w:cs="Times New Roman"/>
                      <w:color w:val="auto"/>
                      <w:sz w:val="21"/>
                      <w:szCs w:val="21"/>
                      <w:highlight w:val="none"/>
                      <w:vertAlign w:val="baseline"/>
                      <w:lang w:val="en-US" w:eastAsia="zh-CN"/>
                    </w:rPr>
                    <w:t>洁净</w:t>
                  </w:r>
                  <w:r>
                    <w:rPr>
                      <w:rFonts w:hint="eastAsia" w:ascii="Times New Roman" w:hAnsi="Times New Roman" w:cs="Times New Roman"/>
                      <w:color w:val="auto"/>
                      <w:sz w:val="21"/>
                      <w:szCs w:val="21"/>
                      <w:highlight w:val="none"/>
                      <w:vertAlign w:val="baseline"/>
                      <w:lang w:val="en-US" w:eastAsia="zh-CN"/>
                    </w:rPr>
                    <w:t>车间，</w:t>
                  </w:r>
                  <w:r>
                    <w:rPr>
                      <w:rFonts w:hint="default" w:ascii="Times New Roman" w:hAnsi="Times New Roman" w:cs="Times New Roman"/>
                      <w:color w:val="auto"/>
                      <w:sz w:val="21"/>
                      <w:szCs w:val="21"/>
                      <w:highlight w:val="none"/>
                      <w:vertAlign w:val="baseline"/>
                      <w:lang w:val="en-US" w:eastAsia="zh-CN"/>
                    </w:rPr>
                    <w:t>配套废气收集装置对废气进行收集，采用</w:t>
                  </w:r>
                  <w:r>
                    <w:rPr>
                      <w:rFonts w:hint="eastAsia" w:ascii="Times New Roman" w:hAnsi="Times New Roman" w:eastAsia="宋体" w:cs="Times New Roman"/>
                      <w:color w:val="auto"/>
                      <w:kern w:val="2"/>
                      <w:sz w:val="21"/>
                      <w:szCs w:val="21"/>
                      <w:highlight w:val="none"/>
                      <w:shd w:val="clear" w:color="auto" w:fill="auto"/>
                      <w:lang w:val="en-US" w:eastAsia="zh-CN" w:bidi="ar-SA"/>
                    </w:rPr>
                    <w:t>二级活性炭吸附</w:t>
                  </w:r>
                  <w:r>
                    <w:rPr>
                      <w:rFonts w:hint="eastAsia" w:ascii="Times New Roman" w:hAnsi="Times New Roman" w:cs="Times New Roman"/>
                      <w:color w:val="auto"/>
                      <w:sz w:val="21"/>
                      <w:szCs w:val="21"/>
                      <w:highlight w:val="none"/>
                      <w:vertAlign w:val="baseline"/>
                      <w:lang w:val="en-US" w:eastAsia="zh-CN"/>
                    </w:rPr>
                    <w:t>装置</w:t>
                  </w:r>
                  <w:r>
                    <w:rPr>
                      <w:rFonts w:hint="default" w:ascii="Times New Roman" w:hAnsi="Times New Roman" w:cs="Times New Roman"/>
                      <w:color w:val="auto"/>
                      <w:sz w:val="21"/>
                      <w:szCs w:val="21"/>
                      <w:highlight w:val="none"/>
                      <w:vertAlign w:val="baseline"/>
                      <w:lang w:val="en-US" w:eastAsia="zh-CN"/>
                    </w:rPr>
                    <w:t>处理后可以满足相关排放标准。</w:t>
                  </w:r>
                </w:p>
              </w:tc>
              <w:tc>
                <w:tcPr>
                  <w:tcW w:w="486" w:type="pct"/>
                  <w:tcBorders>
                    <w:tl2br w:val="nil"/>
                    <w:tr2bl w:val="nil"/>
                  </w:tcBorders>
                  <w:noWrap w:val="0"/>
                  <w:vAlign w:val="center"/>
                </w:tcPr>
                <w:p w14:paraId="0368F523">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符合</w:t>
                  </w:r>
                </w:p>
              </w:tc>
            </w:tr>
          </w:tbl>
          <w:p w14:paraId="68C25D1D">
            <w:pPr>
              <w:pStyle w:val="2"/>
              <w:keepNext w:val="0"/>
              <w:keepLines w:val="0"/>
              <w:suppressLineNumbers w:val="0"/>
              <w:spacing w:beforeAutospacing="0" w:afterAutospacing="0"/>
              <w:ind w:left="0"/>
              <w:rPr>
                <w:rFonts w:hint="default" w:ascii="Times New Roman" w:hAnsi="Times New Roman" w:eastAsia="宋体" w:cs="Times New Roman"/>
                <w:color w:val="auto"/>
                <w:sz w:val="21"/>
                <w:szCs w:val="21"/>
                <w:highlight w:val="none"/>
                <w:lang w:val="en-US" w:eastAsia="zh-CN"/>
              </w:rPr>
            </w:pPr>
          </w:p>
        </w:tc>
      </w:tr>
    </w:tbl>
    <w:p w14:paraId="4B4B4DA6">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黑体" w:cs="Times New Roman"/>
          <w:color w:val="auto"/>
          <w:sz w:val="21"/>
          <w:szCs w:val="21"/>
          <w:highlight w:val="none"/>
        </w:rPr>
      </w:pPr>
    </w:p>
    <w:p w14:paraId="7A743B86">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sectPr>
          <w:footerReference r:id="rId4" w:type="default"/>
          <w:pgSz w:w="11906" w:h="16838"/>
          <w:pgMar w:top="1440" w:right="1080" w:bottom="1440" w:left="1080" w:header="851" w:footer="851" w:gutter="0"/>
          <w:pgBorders>
            <w:top w:val="none" w:sz="0" w:space="0"/>
            <w:left w:val="none" w:sz="0" w:space="0"/>
            <w:bottom w:val="none" w:sz="0" w:space="0"/>
            <w:right w:val="none" w:sz="0" w:space="0"/>
          </w:pgBorders>
          <w:pgNumType w:fmt="decimal" w:start="1"/>
          <w:cols w:space="720" w:num="1"/>
          <w:docGrid w:linePitch="312" w:charSpace="0"/>
        </w:sectPr>
      </w:pPr>
      <w:bookmarkStart w:id="2" w:name="_Toc24733"/>
    </w:p>
    <w:p w14:paraId="2D85765F">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bookmarkEnd w:id="2"/>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7"/>
        <w:gridCol w:w="8373"/>
      </w:tblGrid>
      <w:tr w14:paraId="3BBF84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5" w:hRule="atLeast"/>
          <w:jc w:val="center"/>
        </w:trPr>
        <w:tc>
          <w:tcPr>
            <w:tcW w:w="687" w:type="dxa"/>
            <w:noWrap w:val="0"/>
            <w:vAlign w:val="center"/>
          </w:tcPr>
          <w:p w14:paraId="0ADA1DFB">
            <w:pPr>
              <w:pStyle w:val="41"/>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建设内容</w:t>
            </w:r>
          </w:p>
        </w:tc>
        <w:tc>
          <w:tcPr>
            <w:tcW w:w="8373" w:type="dxa"/>
            <w:noWrap w:val="0"/>
            <w:vAlign w:val="top"/>
          </w:tcPr>
          <w:p w14:paraId="058C7307">
            <w:pPr>
              <w:keepNext w:val="0"/>
              <w:keepLines w:val="0"/>
              <w:pageBreakBefore w:val="0"/>
              <w:suppressLineNumbers w:val="0"/>
              <w:kinsoku/>
              <w:wordWrap/>
              <w:overflowPunct/>
              <w:topLinePunct w:val="0"/>
              <w:bidi w:val="0"/>
              <w:adjustRightInd w:val="0"/>
              <w:snapToGrid w:val="0"/>
              <w:spacing w:before="120" w:beforeLines="50" w:beforeAutospacing="0" w:after="0" w:afterAutospacing="0" w:line="360" w:lineRule="auto"/>
              <w:ind w:left="0" w:right="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1、项目由来</w:t>
            </w:r>
          </w:p>
          <w:p w14:paraId="3327379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sz w:val="24"/>
                <w:szCs w:val="24"/>
                <w:lang w:val="en-US" w:eastAsia="zh-CN"/>
              </w:rPr>
              <w:t>湖南新五洲医药包装有限责任公司成立于2006年03月27日，经营范围包括卫生材料及医药用品、日用塑料制品的制造；包装材料的销售；包装装潢及其他印刷。随着市场需求的增长及企业战略发展的需要，公司拟投资租赁祁阳五洲医药包装有限公司建设的二期联合厂房新建医药包装生产线。本项目旨在通过引进先进生产设备与工艺技术，优化生产流程，降低能耗与污染物排放，实现绿色制造。项目建设内容主要包括生产车间改造、设备购置安装及配套环保设施建设。建设单位拟分二期建设，一期建成后将形成2 条复合膜印刷线、1条铝箔印刷线和3 条聚乙烯膜（PE 膜）生产线，二期追加吹膜机组线1条，复合线2条，印刷线2条，制袋线2条及其它辅助生产设施。本次环评仅针对一期建设内容，二期建设内容需另行环评。</w:t>
            </w:r>
          </w:p>
          <w:p w14:paraId="3091519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根据《中华人民共和国</w:t>
            </w:r>
            <w:r>
              <w:rPr>
                <w:rFonts w:hint="eastAsia" w:ascii="Times New Roman" w:hAnsi="Times New Roman" w:eastAsia="宋体" w:cs="Times New Roman"/>
                <w:color w:val="auto"/>
                <w:sz w:val="24"/>
                <w:szCs w:val="24"/>
                <w:highlight w:val="none"/>
                <w:lang w:val="en-US" w:eastAsia="zh-CN"/>
              </w:rPr>
              <w:t>生态</w:t>
            </w:r>
            <w:r>
              <w:rPr>
                <w:rFonts w:hint="default" w:ascii="Times New Roman" w:hAnsi="Times New Roman" w:eastAsia="宋体" w:cs="Times New Roman"/>
                <w:color w:val="auto"/>
                <w:sz w:val="24"/>
                <w:szCs w:val="24"/>
                <w:highlight w:val="none"/>
                <w:lang w:eastAsia="zh-CN"/>
              </w:rPr>
              <w:t>环境法</w:t>
            </w:r>
            <w:r>
              <w:rPr>
                <w:rFonts w:hint="eastAsia" w:ascii="Times New Roman" w:hAnsi="Times New Roman" w:eastAsia="宋体" w:cs="Times New Roman"/>
                <w:color w:val="auto"/>
                <w:sz w:val="24"/>
                <w:szCs w:val="24"/>
                <w:highlight w:val="none"/>
                <w:lang w:val="en-US" w:eastAsia="zh-CN"/>
              </w:rPr>
              <w:t>典</w:t>
            </w:r>
            <w:r>
              <w:rPr>
                <w:rFonts w:hint="default" w:ascii="Times New Roman" w:hAnsi="Times New Roman" w:eastAsia="宋体" w:cs="Times New Roman"/>
                <w:color w:val="auto"/>
                <w:sz w:val="24"/>
                <w:szCs w:val="24"/>
                <w:highlight w:val="none"/>
                <w:lang w:eastAsia="zh-CN"/>
              </w:rPr>
              <w:t>》及《建设项目环境保护管理条例》等，</w:t>
            </w:r>
            <w:r>
              <w:rPr>
                <w:rFonts w:hint="eastAsia" w:ascii="Times New Roman" w:hAnsi="Times New Roman" w:cs="Times New Roman"/>
                <w:color w:val="auto"/>
                <w:sz w:val="24"/>
                <w:szCs w:val="24"/>
                <w:highlight w:val="none"/>
                <w:lang w:val="en-US" w:eastAsia="zh-CN"/>
              </w:rPr>
              <w:t>本</w:t>
            </w:r>
            <w:r>
              <w:rPr>
                <w:rFonts w:hint="default" w:ascii="Times New Roman" w:hAnsi="Times New Roman" w:eastAsia="宋体" w:cs="Times New Roman"/>
                <w:color w:val="auto"/>
                <w:sz w:val="24"/>
                <w:szCs w:val="24"/>
                <w:highlight w:val="none"/>
                <w:lang w:eastAsia="zh-CN"/>
              </w:rPr>
              <w:t>项目应进行环境影响评价。根据《建设项目环境影响评价分类管理名录》（2021版），项目</w:t>
            </w:r>
            <w:r>
              <w:rPr>
                <w:rFonts w:hint="eastAsia" w:ascii="Times New Roman" w:hAnsi="Times New Roman" w:eastAsia="宋体" w:cs="Times New Roman"/>
                <w:color w:val="auto"/>
                <w:sz w:val="24"/>
                <w:szCs w:val="24"/>
                <w:highlight w:val="none"/>
                <w:lang w:val="en-US" w:eastAsia="zh-CN"/>
              </w:rPr>
              <w:t>涉及</w:t>
            </w:r>
            <w:r>
              <w:rPr>
                <w:rFonts w:hint="default" w:ascii="Times New Roman" w:hAnsi="Times New Roman" w:eastAsia="宋体" w:cs="Times New Roman"/>
                <w:color w:val="auto"/>
                <w:sz w:val="24"/>
                <w:szCs w:val="24"/>
                <w:highlight w:val="none"/>
                <w:lang w:eastAsia="zh-CN"/>
              </w:rPr>
              <w:t>目录中</w:t>
            </w:r>
            <w:r>
              <w:rPr>
                <w:rFonts w:hint="eastAsia" w:ascii="Times New Roman" w:hAnsi="Times New Roman" w:eastAsia="宋体" w:cs="Times New Roman"/>
                <w:color w:val="auto"/>
                <w:sz w:val="24"/>
                <w:szCs w:val="24"/>
                <w:highlight w:val="none"/>
                <w:lang w:eastAsia="zh-CN"/>
              </w:rPr>
              <w:t>“二十、印刷和记录媒介复制业 23 中“39 印刷 231”中的“其他（激光印刷除外；年用低 VOCs 含量油墨10吨以下的印刷除外）”</w:t>
            </w:r>
            <w:r>
              <w:rPr>
                <w:rFonts w:hint="eastAsia" w:ascii="Times New Roman" w:hAnsi="Times New Roman" w:eastAsia="宋体" w:cs="Times New Roman"/>
                <w:color w:val="auto"/>
                <w:sz w:val="24"/>
                <w:szCs w:val="24"/>
                <w:highlight w:val="none"/>
                <w:lang w:val="en-US" w:eastAsia="zh-CN"/>
              </w:rPr>
              <w:t>及“二十六、橡胶和塑料制品业-53 塑料制品业 292-其他（年用非溶剂型低 VOCs 含量涂料 10 吨以下的除外）”</w:t>
            </w:r>
            <w:r>
              <w:rPr>
                <w:rFonts w:hint="default" w:ascii="Times New Roman" w:hAnsi="Times New Roman" w:eastAsia="宋体" w:cs="Times New Roman"/>
                <w:color w:val="auto"/>
                <w:sz w:val="24"/>
                <w:szCs w:val="24"/>
                <w:highlight w:val="none"/>
                <w:lang w:eastAsia="zh-CN"/>
              </w:rPr>
              <w:t>，需编制环境影响报告表。受建设单位委托，</w:t>
            </w:r>
            <w:r>
              <w:rPr>
                <w:rFonts w:hint="eastAsia" w:ascii="Times New Roman" w:hAnsi="Times New Roman" w:eastAsia="宋体" w:cs="Times New Roman"/>
                <w:color w:val="auto"/>
                <w:sz w:val="24"/>
                <w:szCs w:val="24"/>
                <w:highlight w:val="none"/>
                <w:lang w:val="en-US" w:eastAsia="zh-CN"/>
              </w:rPr>
              <w:t>永州市艮震</w:t>
            </w:r>
            <w:r>
              <w:rPr>
                <w:rFonts w:hint="default" w:ascii="Times New Roman" w:hAnsi="Times New Roman" w:eastAsia="宋体" w:cs="Times New Roman"/>
                <w:color w:val="auto"/>
                <w:sz w:val="24"/>
                <w:szCs w:val="24"/>
                <w:highlight w:val="none"/>
                <w:lang w:eastAsia="zh-CN"/>
              </w:rPr>
              <w:t>环保科技有限公司承担了</w:t>
            </w:r>
            <w:r>
              <w:rPr>
                <w:rFonts w:hint="eastAsia" w:ascii="Times New Roman" w:hAnsi="Times New Roman" w:cs="Times New Roman"/>
                <w:color w:val="auto"/>
                <w:sz w:val="24"/>
                <w:szCs w:val="24"/>
                <w:highlight w:val="none"/>
                <w:lang w:val="en-US" w:eastAsia="zh-CN"/>
              </w:rPr>
              <w:t>本</w:t>
            </w:r>
            <w:r>
              <w:rPr>
                <w:rFonts w:hint="default" w:ascii="Times New Roman" w:hAnsi="Times New Roman" w:eastAsia="宋体" w:cs="Times New Roman"/>
                <w:color w:val="auto"/>
                <w:sz w:val="24"/>
                <w:szCs w:val="24"/>
                <w:highlight w:val="none"/>
                <w:lang w:eastAsia="zh-CN"/>
              </w:rPr>
              <w:t>项目环境影响报告表的编制工作，并组织技术人员进行了现场踏勘、资料收集等工作。我单位</w:t>
            </w:r>
            <w:r>
              <w:rPr>
                <w:rFonts w:hint="default" w:ascii="Times New Roman" w:hAnsi="Times New Roman" w:cs="Times New Roman"/>
                <w:color w:val="auto"/>
                <w:sz w:val="24"/>
                <w:szCs w:val="24"/>
                <w:highlight w:val="none"/>
                <w:lang w:eastAsia="zh-CN"/>
              </w:rPr>
              <w:t>严格</w:t>
            </w:r>
            <w:r>
              <w:rPr>
                <w:rFonts w:hint="default" w:ascii="Times New Roman" w:hAnsi="Times New Roman" w:eastAsia="宋体" w:cs="Times New Roman"/>
                <w:color w:val="auto"/>
                <w:sz w:val="24"/>
                <w:szCs w:val="24"/>
                <w:highlight w:val="none"/>
                <w:lang w:eastAsia="zh-CN"/>
              </w:rPr>
              <w:t>按照</w:t>
            </w:r>
            <w:r>
              <w:rPr>
                <w:rFonts w:hint="default" w:ascii="Times New Roman" w:hAnsi="Times New Roman" w:cs="Times New Roman"/>
                <w:color w:val="auto"/>
                <w:sz w:val="24"/>
                <w:szCs w:val="24"/>
                <w:highlight w:val="none"/>
                <w:lang w:eastAsia="zh-CN"/>
              </w:rPr>
              <w:t>《建设项目环境影响报告表编制技术指南（污染影响类）（试行）》等</w:t>
            </w:r>
            <w:r>
              <w:rPr>
                <w:rFonts w:hint="default" w:ascii="Times New Roman" w:hAnsi="Times New Roman" w:eastAsia="宋体" w:cs="Times New Roman"/>
                <w:color w:val="auto"/>
                <w:sz w:val="24"/>
                <w:szCs w:val="24"/>
                <w:highlight w:val="none"/>
                <w:lang w:eastAsia="zh-CN"/>
              </w:rPr>
              <w:t>相关要求编制完成</w:t>
            </w:r>
            <w:r>
              <w:rPr>
                <w:rFonts w:hint="default" w:ascii="Times New Roman" w:hAnsi="Times New Roman" w:cs="Times New Roman"/>
                <w:color w:val="auto"/>
                <w:sz w:val="24"/>
                <w:szCs w:val="24"/>
                <w:highlight w:val="none"/>
                <w:lang w:eastAsia="zh-CN"/>
              </w:rPr>
              <w:t>了项目的</w:t>
            </w:r>
            <w:r>
              <w:rPr>
                <w:rFonts w:hint="default" w:ascii="Times New Roman" w:hAnsi="Times New Roman" w:eastAsia="宋体" w:cs="Times New Roman"/>
                <w:color w:val="auto"/>
                <w:sz w:val="24"/>
                <w:szCs w:val="24"/>
                <w:highlight w:val="none"/>
                <w:lang w:eastAsia="zh-CN"/>
              </w:rPr>
              <w:t>环境影响报告表报请生态环境主管部门审批，以期为项目的实施和管理提供依据。</w:t>
            </w:r>
          </w:p>
          <w:p w14:paraId="0D488D2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2、项目基本情况</w:t>
            </w:r>
          </w:p>
          <w:p w14:paraId="5C83037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项目名称：</w:t>
            </w:r>
            <w:r>
              <w:rPr>
                <w:rFonts w:hint="eastAsia" w:cs="Times New Roman"/>
                <w:color w:val="auto"/>
                <w:sz w:val="24"/>
                <w:szCs w:val="24"/>
                <w:highlight w:val="none"/>
                <w:lang w:eastAsia="zh-CN"/>
              </w:rPr>
              <w:t>年产5000吨药用包装材料生产线项目</w:t>
            </w:r>
          </w:p>
          <w:p w14:paraId="75C331F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w:t>
            </w:r>
            <w:r>
              <w:rPr>
                <w:rFonts w:hint="eastAsia" w:cs="Times New Roman"/>
                <w:color w:val="auto"/>
                <w:sz w:val="24"/>
                <w:szCs w:val="24"/>
                <w:highlight w:val="none"/>
                <w:lang w:eastAsia="zh-CN"/>
              </w:rPr>
              <w:t>湖南新五洲医药包装有限责任公司</w:t>
            </w:r>
          </w:p>
          <w:p w14:paraId="1570B5F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建设地点：湖南省</w:t>
            </w:r>
            <w:r>
              <w:rPr>
                <w:rFonts w:hint="eastAsia" w:cs="Times New Roman"/>
                <w:color w:val="auto"/>
                <w:sz w:val="24"/>
                <w:szCs w:val="24"/>
                <w:highlight w:val="none"/>
                <w:lang w:eastAsia="zh-CN"/>
              </w:rPr>
              <w:t>祁阳高新技术产业开发区灯塔路152号祁阳五洲医药包装有限公司建设的二期联合厂房</w:t>
            </w:r>
          </w:p>
          <w:p w14:paraId="012ABE5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r>
              <w:rPr>
                <w:rFonts w:hint="eastAsia" w:ascii="Times New Roman" w:hAnsi="Times New Roman" w:cs="Times New Roman"/>
                <w:color w:val="auto"/>
                <w:sz w:val="24"/>
                <w:szCs w:val="24"/>
                <w:highlight w:val="none"/>
                <w:lang w:val="en-US" w:eastAsia="zh-CN"/>
              </w:rPr>
              <w:t>新建</w:t>
            </w:r>
          </w:p>
          <w:p w14:paraId="4BDA04A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占地面积：</w:t>
            </w:r>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eastAsia="zh-CN"/>
              </w:rPr>
              <w:t>总占地面积</w:t>
            </w:r>
            <w:r>
              <w:rPr>
                <w:rFonts w:hint="eastAsia" w:cs="Times New Roman"/>
                <w:color w:val="auto"/>
                <w:sz w:val="24"/>
                <w:szCs w:val="24"/>
                <w:highlight w:val="none"/>
                <w:lang w:val="en-US" w:eastAsia="zh-CN"/>
              </w:rPr>
              <w:t>5000</w:t>
            </w:r>
            <w:r>
              <w:rPr>
                <w:rFonts w:hint="default"/>
                <w:szCs w:val="21"/>
              </w:rPr>
              <w:t>m</w:t>
            </w:r>
            <w:r>
              <w:rPr>
                <w:rFonts w:hint="default"/>
                <w:szCs w:val="21"/>
                <w:vertAlign w:val="superscript"/>
              </w:rPr>
              <w:t>2</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其中生产车间占地4000</w:t>
            </w:r>
            <w:r>
              <w:rPr>
                <w:rFonts w:hint="default"/>
                <w:szCs w:val="21"/>
              </w:rPr>
              <w:t>m</w:t>
            </w:r>
            <w:r>
              <w:rPr>
                <w:rFonts w:hint="default"/>
                <w:szCs w:val="21"/>
                <w:vertAlign w:val="superscript"/>
              </w:rPr>
              <w:t>2</w:t>
            </w:r>
          </w:p>
          <w:p w14:paraId="0F5D121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项目总投资：项目总投资</w:t>
            </w:r>
            <w:r>
              <w:rPr>
                <w:rFonts w:hint="eastAsia" w:cs="Times New Roman"/>
                <w:color w:val="auto"/>
                <w:sz w:val="24"/>
                <w:szCs w:val="24"/>
                <w:highlight w:val="none"/>
                <w:lang w:val="en-US" w:eastAsia="zh-CN"/>
              </w:rPr>
              <w:t>20</w:t>
            </w:r>
            <w:r>
              <w:rPr>
                <w:rFonts w:hint="eastAsia" w:ascii="Times New Roman" w:hAnsi="Times New Roman" w:cs="Times New Roman"/>
                <w:color w:val="auto"/>
                <w:sz w:val="24"/>
                <w:szCs w:val="24"/>
                <w:highlight w:val="none"/>
                <w:lang w:val="en-US" w:eastAsia="zh-CN"/>
              </w:rPr>
              <w:t>00</w:t>
            </w:r>
            <w:r>
              <w:rPr>
                <w:rFonts w:hint="default" w:ascii="Times New Roman" w:hAnsi="Times New Roman" w:eastAsia="宋体" w:cs="Times New Roman"/>
                <w:color w:val="auto"/>
                <w:sz w:val="24"/>
                <w:szCs w:val="24"/>
                <w:highlight w:val="none"/>
                <w:lang w:val="en-US" w:eastAsia="zh-CN"/>
              </w:rPr>
              <w:t>万元，其中环保投资</w:t>
            </w:r>
            <w:r>
              <w:rPr>
                <w:rFonts w:hint="eastAsia" w:cs="Times New Roman"/>
                <w:color w:val="auto"/>
                <w:sz w:val="24"/>
                <w:szCs w:val="24"/>
                <w:highlight w:val="none"/>
                <w:lang w:val="en-US" w:eastAsia="zh-CN"/>
              </w:rPr>
              <w:t>216</w:t>
            </w:r>
            <w:r>
              <w:rPr>
                <w:rFonts w:hint="default" w:ascii="Times New Roman" w:hAnsi="Times New Roman" w:eastAsia="宋体" w:cs="Times New Roman"/>
                <w:color w:val="auto"/>
                <w:sz w:val="24"/>
                <w:szCs w:val="24"/>
                <w:highlight w:val="none"/>
                <w:lang w:val="en-US" w:eastAsia="zh-CN"/>
              </w:rPr>
              <w:t>万元。</w:t>
            </w:r>
          </w:p>
          <w:p w14:paraId="2CC2DF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项目</w:t>
            </w:r>
            <w:r>
              <w:rPr>
                <w:rFonts w:hint="default" w:ascii="Times New Roman" w:hAnsi="Times New Roman" w:eastAsia="宋体" w:cs="Times New Roman"/>
                <w:b/>
                <w:bCs/>
                <w:color w:val="auto"/>
                <w:sz w:val="24"/>
                <w:szCs w:val="24"/>
                <w:highlight w:val="none"/>
              </w:rPr>
              <w:t>主要建设内容及规模</w:t>
            </w:r>
          </w:p>
          <w:p w14:paraId="68400B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eastAsia" w:cs="Times New Roman"/>
                <w:color w:val="auto"/>
                <w:sz w:val="24"/>
                <w:szCs w:val="24"/>
                <w:highlight w:val="none"/>
                <w:lang w:val="en-US" w:eastAsia="zh-CN"/>
              </w:rPr>
              <w:t>总</w:t>
            </w:r>
            <w:r>
              <w:rPr>
                <w:rFonts w:hint="default" w:ascii="Times New Roman" w:hAnsi="Times New Roman" w:eastAsia="宋体" w:cs="Times New Roman"/>
                <w:color w:val="auto"/>
                <w:sz w:val="24"/>
                <w:szCs w:val="24"/>
                <w:highlight w:val="none"/>
              </w:rPr>
              <w:t>用地面积约</w:t>
            </w:r>
            <w:r>
              <w:rPr>
                <w:rFonts w:hint="eastAsia" w:cs="Times New Roman"/>
                <w:color w:val="auto"/>
                <w:sz w:val="24"/>
                <w:szCs w:val="24"/>
                <w:highlight w:val="none"/>
                <w:lang w:val="en-US" w:eastAsia="zh-CN"/>
              </w:rPr>
              <w:t>5000</w:t>
            </w:r>
            <w:r>
              <w:rPr>
                <w:rFonts w:hint="default"/>
                <w:szCs w:val="21"/>
              </w:rPr>
              <w:t>m</w:t>
            </w:r>
            <w:r>
              <w:rPr>
                <w:rFonts w:hint="default"/>
                <w:szCs w:val="21"/>
                <w:vertAlign w:val="superscript"/>
              </w:rPr>
              <w:t>2</w:t>
            </w:r>
            <w:r>
              <w:rPr>
                <w:rFonts w:hint="default" w:ascii="Times New Roman" w:hAnsi="Times New Roman" w:eastAsia="宋体" w:cs="Times New Roman"/>
                <w:color w:val="auto"/>
                <w:sz w:val="24"/>
                <w:szCs w:val="24"/>
                <w:highlight w:val="none"/>
              </w:rPr>
              <w:t>，本</w:t>
            </w:r>
            <w:r>
              <w:rPr>
                <w:rFonts w:hint="eastAsia" w:ascii="Times New Roman" w:hAnsi="Times New Roman" w:eastAsia="宋体" w:cs="Times New Roman"/>
                <w:color w:val="auto"/>
                <w:sz w:val="24"/>
                <w:szCs w:val="24"/>
                <w:highlight w:val="none"/>
                <w:lang w:val="en-US" w:eastAsia="zh-CN"/>
              </w:rPr>
              <w:t>次利用已建标准厂房进行建设，</w:t>
            </w:r>
            <w:r>
              <w:rPr>
                <w:rFonts w:hint="default" w:ascii="Times New Roman" w:hAnsi="Times New Roman" w:eastAsia="宋体" w:cs="Times New Roman"/>
                <w:color w:val="auto"/>
                <w:sz w:val="24"/>
                <w:szCs w:val="24"/>
                <w:highlight w:val="none"/>
              </w:rPr>
              <w:t>配套给排水、环保工程等</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建成后</w:t>
            </w:r>
            <w:r>
              <w:rPr>
                <w:rFonts w:hint="eastAsia" w:ascii="Times New Roman" w:hAnsi="Times New Roman" w:eastAsia="宋体" w:cs="Times New Roman"/>
                <w:color w:val="auto"/>
                <w:sz w:val="24"/>
                <w:szCs w:val="24"/>
                <w:highlight w:val="none"/>
                <w:lang w:eastAsia="zh-CN"/>
              </w:rPr>
              <w:t>年</w:t>
            </w:r>
            <w:r>
              <w:rPr>
                <w:rFonts w:hint="eastAsia" w:cs="Times New Roman"/>
                <w:color w:val="auto"/>
                <w:sz w:val="24"/>
                <w:szCs w:val="24"/>
                <w:highlight w:val="none"/>
                <w:lang w:val="en-US" w:eastAsia="zh-CN"/>
              </w:rPr>
              <w:t>生产复合膜300</w:t>
            </w:r>
            <w:r>
              <w:rPr>
                <w:rFonts w:hint="eastAsia" w:ascii="Times New Roman" w:hAnsi="Times New Roman" w:eastAsia="宋体" w:cs="Times New Roman"/>
                <w:color w:val="auto"/>
                <w:sz w:val="24"/>
                <w:szCs w:val="24"/>
                <w:highlight w:val="none"/>
                <w:lang w:val="en-US" w:eastAsia="zh-CN"/>
              </w:rPr>
              <w:t>吨</w:t>
            </w:r>
            <w:r>
              <w:rPr>
                <w:rFonts w:hint="eastAsia" w:cs="Times New Roman"/>
                <w:color w:val="auto"/>
                <w:sz w:val="24"/>
                <w:szCs w:val="24"/>
                <w:highlight w:val="none"/>
                <w:lang w:val="en-US" w:eastAsia="zh-CN"/>
              </w:rPr>
              <w:t>、栓剂片材240</w:t>
            </w:r>
            <w:r>
              <w:rPr>
                <w:rFonts w:hint="eastAsia" w:ascii="Times New Roman" w:hAnsi="Times New Roman" w:eastAsia="宋体" w:cs="Times New Roman"/>
                <w:color w:val="auto"/>
                <w:sz w:val="24"/>
                <w:szCs w:val="24"/>
                <w:highlight w:val="none"/>
                <w:lang w:val="en-US" w:eastAsia="zh-CN"/>
              </w:rPr>
              <w:t>吨</w:t>
            </w:r>
            <w:r>
              <w:rPr>
                <w:rFonts w:hint="eastAsia" w:cs="Times New Roman"/>
                <w:color w:val="auto"/>
                <w:sz w:val="24"/>
                <w:szCs w:val="24"/>
                <w:highlight w:val="none"/>
                <w:lang w:val="en-US" w:eastAsia="zh-CN"/>
              </w:rPr>
              <w:t>、铝箔膜100</w:t>
            </w:r>
            <w:r>
              <w:rPr>
                <w:rFonts w:hint="eastAsia" w:ascii="Times New Roman" w:hAnsi="Times New Roman" w:eastAsia="宋体" w:cs="Times New Roman"/>
                <w:color w:val="auto"/>
                <w:sz w:val="24"/>
                <w:szCs w:val="24"/>
                <w:highlight w:val="none"/>
                <w:lang w:val="en-US" w:eastAsia="zh-CN"/>
              </w:rPr>
              <w:t>吨</w:t>
            </w:r>
            <w:r>
              <w:rPr>
                <w:rFonts w:hint="eastAsia" w:cs="Times New Roman"/>
                <w:color w:val="auto"/>
                <w:sz w:val="24"/>
                <w:szCs w:val="24"/>
                <w:highlight w:val="none"/>
                <w:lang w:val="en-US" w:eastAsia="zh-CN"/>
              </w:rPr>
              <w:t>、PE膜850</w:t>
            </w:r>
            <w:r>
              <w:rPr>
                <w:rFonts w:hint="eastAsia" w:ascii="Times New Roman" w:hAnsi="Times New Roman" w:eastAsia="宋体" w:cs="Times New Roman"/>
                <w:color w:val="auto"/>
                <w:sz w:val="24"/>
                <w:szCs w:val="24"/>
                <w:highlight w:val="none"/>
                <w:lang w:val="en-US" w:eastAsia="zh-CN"/>
              </w:rPr>
              <w:t>吨</w:t>
            </w:r>
            <w:r>
              <w:rPr>
                <w:rFonts w:hint="eastAsia" w:cs="Times New Roman"/>
                <w:color w:val="auto"/>
                <w:sz w:val="24"/>
                <w:szCs w:val="24"/>
                <w:highlight w:val="none"/>
                <w:lang w:val="en-US" w:eastAsia="zh-CN"/>
              </w:rPr>
              <w:t>、PE袋350</w:t>
            </w:r>
            <w:r>
              <w:rPr>
                <w:rFonts w:hint="eastAsia" w:ascii="Times New Roman" w:hAnsi="Times New Roman" w:eastAsia="宋体" w:cs="Times New Roman"/>
                <w:color w:val="auto"/>
                <w:sz w:val="24"/>
                <w:szCs w:val="24"/>
                <w:highlight w:val="none"/>
                <w:lang w:val="en-US" w:eastAsia="zh-CN"/>
              </w:rPr>
              <w:t>吨</w:t>
            </w:r>
            <w:r>
              <w:rPr>
                <w:rFonts w:hint="default" w:ascii="Times New Roman" w:hAnsi="Times New Roman" w:eastAsia="宋体" w:cs="Times New Roman"/>
                <w:color w:val="auto"/>
                <w:sz w:val="24"/>
                <w:szCs w:val="24"/>
                <w:highlight w:val="none"/>
              </w:rPr>
              <w:t>。</w:t>
            </w:r>
          </w:p>
          <w:p w14:paraId="2F3DBE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项目主要建设内容及规模详见下表：</w:t>
            </w:r>
          </w:p>
          <w:p w14:paraId="17A0A41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highlight w:val="none"/>
                <w:u w:val="none"/>
              </w:rPr>
            </w:pPr>
            <w:r>
              <w:rPr>
                <w:rFonts w:hint="default" w:ascii="Times New Roman" w:hAnsi="Times New Roman" w:cs="Times New Roman"/>
                <w:b/>
                <w:bCs/>
                <w:color w:val="auto"/>
                <w:highlight w:val="none"/>
                <w:u w:val="none"/>
              </w:rPr>
              <w:t>表2-</w:t>
            </w:r>
            <w:r>
              <w:rPr>
                <w:rFonts w:hint="default" w:ascii="Times New Roman" w:hAnsi="Times New Roman" w:cs="Times New Roman"/>
                <w:b/>
                <w:bCs/>
                <w:color w:val="auto"/>
                <w:highlight w:val="none"/>
                <w:u w:val="none"/>
                <w:lang w:val="en-US" w:eastAsia="zh-CN"/>
              </w:rPr>
              <w:t>1</w:t>
            </w:r>
            <w:r>
              <w:rPr>
                <w:rFonts w:hint="default" w:ascii="Times New Roman" w:hAnsi="Times New Roman" w:cs="Times New Roman"/>
                <w:b/>
                <w:bCs/>
                <w:color w:val="auto"/>
                <w:highlight w:val="none"/>
                <w:u w:val="none"/>
              </w:rPr>
              <w:t xml:space="preserve">  项目主要</w:t>
            </w:r>
            <w:r>
              <w:rPr>
                <w:rFonts w:hint="default" w:ascii="Times New Roman" w:hAnsi="Times New Roman" w:cs="Times New Roman"/>
                <w:b/>
                <w:bCs/>
                <w:color w:val="auto"/>
                <w:highlight w:val="none"/>
                <w:u w:val="none"/>
                <w:lang w:val="en-US" w:eastAsia="zh-CN"/>
              </w:rPr>
              <w:t>建设内容及规模</w:t>
            </w:r>
            <w:r>
              <w:rPr>
                <w:rFonts w:hint="default" w:ascii="Times New Roman" w:hAnsi="Times New Roman" w:cs="Times New Roman"/>
                <w:b/>
                <w:bCs/>
                <w:color w:val="auto"/>
                <w:highlight w:val="none"/>
                <w:u w:val="none"/>
              </w:rPr>
              <w:t>一览表</w:t>
            </w:r>
          </w:p>
          <w:tbl>
            <w:tblPr>
              <w:tblStyle w:val="44"/>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083"/>
              <w:gridCol w:w="1584"/>
              <w:gridCol w:w="4313"/>
              <w:gridCol w:w="1174"/>
            </w:tblGrid>
            <w:tr w14:paraId="243A94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tcMar>
                    <w:top w:w="0" w:type="dxa"/>
                    <w:left w:w="108" w:type="dxa"/>
                    <w:bottom w:w="0" w:type="dxa"/>
                    <w:right w:w="108" w:type="dxa"/>
                  </w:tcMar>
                  <w:vAlign w:val="center"/>
                </w:tcPr>
                <w:p w14:paraId="45BD2AC3">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项目类别</w:t>
                  </w:r>
                </w:p>
              </w:tc>
              <w:tc>
                <w:tcPr>
                  <w:tcW w:w="971" w:type="pct"/>
                  <w:tcBorders>
                    <w:tl2br w:val="nil"/>
                    <w:tr2bl w:val="nil"/>
                  </w:tcBorders>
                  <w:noWrap w:val="0"/>
                  <w:tcMar>
                    <w:top w:w="0" w:type="dxa"/>
                    <w:left w:w="108" w:type="dxa"/>
                    <w:bottom w:w="0" w:type="dxa"/>
                    <w:right w:w="108" w:type="dxa"/>
                  </w:tcMar>
                  <w:vAlign w:val="center"/>
                </w:tcPr>
                <w:p w14:paraId="2399475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内容</w:t>
                  </w:r>
                </w:p>
              </w:tc>
              <w:tc>
                <w:tcPr>
                  <w:tcW w:w="2644" w:type="pct"/>
                  <w:tcBorders>
                    <w:tl2br w:val="nil"/>
                    <w:tr2bl w:val="nil"/>
                  </w:tcBorders>
                  <w:noWrap w:val="0"/>
                  <w:tcMar>
                    <w:top w:w="0" w:type="dxa"/>
                    <w:left w:w="108" w:type="dxa"/>
                    <w:bottom w:w="0" w:type="dxa"/>
                    <w:right w:w="108" w:type="dxa"/>
                  </w:tcMar>
                  <w:vAlign w:val="center"/>
                </w:tcPr>
                <w:p w14:paraId="32C4CE8F">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功能/规模</w:t>
                  </w:r>
                </w:p>
              </w:tc>
              <w:tc>
                <w:tcPr>
                  <w:tcW w:w="719" w:type="pct"/>
                  <w:tcBorders>
                    <w:tl2br w:val="nil"/>
                    <w:tr2bl w:val="nil"/>
                  </w:tcBorders>
                  <w:noWrap w:val="0"/>
                  <w:vAlign w:val="center"/>
                </w:tcPr>
                <w:p w14:paraId="76C28E1A">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备注</w:t>
                  </w:r>
                </w:p>
              </w:tc>
            </w:tr>
            <w:tr w14:paraId="4796E1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tcMar>
                    <w:top w:w="0" w:type="dxa"/>
                    <w:left w:w="108" w:type="dxa"/>
                    <w:bottom w:w="0" w:type="dxa"/>
                    <w:right w:w="108" w:type="dxa"/>
                  </w:tcMar>
                  <w:vAlign w:val="center"/>
                </w:tcPr>
                <w:p w14:paraId="4C22C9B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主体工程</w:t>
                  </w:r>
                </w:p>
              </w:tc>
              <w:tc>
                <w:tcPr>
                  <w:tcW w:w="971" w:type="pct"/>
                  <w:tcBorders>
                    <w:tl2br w:val="nil"/>
                    <w:tr2bl w:val="nil"/>
                  </w:tcBorders>
                  <w:noWrap w:val="0"/>
                  <w:tcMar>
                    <w:top w:w="0" w:type="dxa"/>
                    <w:left w:w="108" w:type="dxa"/>
                    <w:bottom w:w="0" w:type="dxa"/>
                    <w:right w:w="108" w:type="dxa"/>
                  </w:tcMar>
                  <w:vAlign w:val="center"/>
                </w:tcPr>
                <w:p w14:paraId="760B9B09">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复合膜生产车间</w:t>
                  </w:r>
                </w:p>
              </w:tc>
              <w:tc>
                <w:tcPr>
                  <w:tcW w:w="2644" w:type="pct"/>
                  <w:tcBorders>
                    <w:tl2br w:val="nil"/>
                    <w:tr2bl w:val="nil"/>
                  </w:tcBorders>
                  <w:noWrap w:val="0"/>
                  <w:tcMar>
                    <w:top w:w="0" w:type="dxa"/>
                    <w:left w:w="108" w:type="dxa"/>
                    <w:bottom w:w="0" w:type="dxa"/>
                    <w:right w:w="108" w:type="dxa"/>
                  </w:tcMar>
                  <w:vAlign w:val="center"/>
                </w:tcPr>
                <w:p w14:paraId="235F9876">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1F，总建筑面积1</w:t>
                  </w:r>
                  <w:r>
                    <w:rPr>
                      <w:rFonts w:hint="eastAsia" w:cs="Times New Roman"/>
                      <w:color w:val="auto"/>
                      <w:sz w:val="21"/>
                      <w:szCs w:val="21"/>
                      <w:highlight w:val="none"/>
                      <w:u w:val="none"/>
                      <w:lang w:val="en-US" w:eastAsia="zh-CN"/>
                    </w:rPr>
                    <w:t>996.74</w:t>
                  </w:r>
                  <w:r>
                    <w:rPr>
                      <w:rFonts w:hint="default" w:ascii="Times New Roman" w:hAnsi="Times New Roman" w:eastAsia="宋体" w:cs="Times New Roman"/>
                      <w:color w:val="auto"/>
                      <w:sz w:val="21"/>
                      <w:szCs w:val="21"/>
                      <w:highlight w:val="none"/>
                      <w:u w:val="none"/>
                      <w:lang w:val="en-US" w:eastAsia="zh-CN"/>
                    </w:rPr>
                    <w:t>m</w:t>
                  </w:r>
                  <w:r>
                    <w:rPr>
                      <w:rFonts w:hint="default" w:ascii="Times New Roman" w:hAnsi="Times New Roman" w:eastAsia="宋体" w:cs="Times New Roman"/>
                      <w:color w:val="auto"/>
                      <w:sz w:val="21"/>
                      <w:szCs w:val="21"/>
                      <w:highlight w:val="none"/>
                      <w:u w:val="none"/>
                      <w:vertAlign w:val="superscript"/>
                      <w:lang w:val="en-US" w:eastAsia="zh-CN"/>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洁净车间</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主要</w:t>
                  </w:r>
                  <w:r>
                    <w:rPr>
                      <w:rFonts w:hint="eastAsia" w:ascii="Times New Roman" w:hAnsi="Times New Roman" w:eastAsia="宋体" w:cs="Times New Roman"/>
                      <w:color w:val="auto"/>
                      <w:sz w:val="21"/>
                      <w:szCs w:val="21"/>
                      <w:highlight w:val="none"/>
                      <w:u w:val="none"/>
                      <w:lang w:val="en-US" w:eastAsia="zh-CN"/>
                    </w:rPr>
                    <w:t>用于</w:t>
                  </w:r>
                  <w:r>
                    <w:rPr>
                      <w:rFonts w:hint="eastAsia" w:cs="Times New Roman"/>
                      <w:color w:val="auto"/>
                      <w:sz w:val="21"/>
                      <w:szCs w:val="21"/>
                      <w:highlight w:val="none"/>
                      <w:u w:val="none"/>
                      <w:lang w:val="en-US" w:eastAsia="zh-CN"/>
                    </w:rPr>
                    <w:t>复合膜生产，分为印刷间、复合间、制袋车间、品检中转库、膜中转库、分切间、固化室、薄膜印刷中转库等</w:t>
                  </w:r>
                </w:p>
              </w:tc>
              <w:tc>
                <w:tcPr>
                  <w:tcW w:w="719" w:type="pct"/>
                  <w:tcBorders>
                    <w:tl2br w:val="nil"/>
                    <w:tr2bl w:val="nil"/>
                  </w:tcBorders>
                  <w:noWrap w:val="0"/>
                  <w:vAlign w:val="center"/>
                </w:tcPr>
                <w:p w14:paraId="316EB749">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360D1C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7BE87DDB">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59417BF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铝箔膜生产</w:t>
                  </w:r>
                  <w:r>
                    <w:rPr>
                      <w:rFonts w:hint="eastAsia" w:ascii="Times New Roman" w:hAnsi="Times New Roman" w:eastAsia="宋体" w:cs="Times New Roman"/>
                      <w:color w:val="auto"/>
                      <w:sz w:val="21"/>
                      <w:szCs w:val="21"/>
                      <w:highlight w:val="none"/>
                      <w:u w:val="none"/>
                      <w:lang w:val="en-US" w:eastAsia="zh-CN"/>
                    </w:rPr>
                    <w:t>车间</w:t>
                  </w:r>
                </w:p>
              </w:tc>
              <w:tc>
                <w:tcPr>
                  <w:tcW w:w="2644" w:type="pct"/>
                  <w:tcBorders>
                    <w:tl2br w:val="nil"/>
                    <w:tr2bl w:val="nil"/>
                  </w:tcBorders>
                  <w:noWrap w:val="0"/>
                  <w:tcMar>
                    <w:top w:w="0" w:type="dxa"/>
                    <w:left w:w="108" w:type="dxa"/>
                    <w:bottom w:w="0" w:type="dxa"/>
                    <w:right w:w="108" w:type="dxa"/>
                  </w:tcMar>
                  <w:vAlign w:val="center"/>
                </w:tcPr>
                <w:p w14:paraId="4EBA28F8">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1F，总建筑面积</w:t>
                  </w:r>
                  <w:r>
                    <w:rPr>
                      <w:rFonts w:hint="eastAsia" w:cs="Times New Roman"/>
                      <w:color w:val="auto"/>
                      <w:sz w:val="21"/>
                      <w:szCs w:val="21"/>
                      <w:highlight w:val="none"/>
                      <w:u w:val="none"/>
                      <w:lang w:val="en-US" w:eastAsia="zh-CN"/>
                    </w:rPr>
                    <w:t>302.25</w:t>
                  </w:r>
                  <w:r>
                    <w:rPr>
                      <w:rFonts w:hint="default" w:ascii="Times New Roman" w:hAnsi="Times New Roman" w:eastAsia="宋体" w:cs="Times New Roman"/>
                      <w:color w:val="auto"/>
                      <w:sz w:val="21"/>
                      <w:szCs w:val="21"/>
                      <w:highlight w:val="none"/>
                      <w:u w:val="none"/>
                      <w:lang w:val="en-US" w:eastAsia="zh-CN"/>
                    </w:rPr>
                    <w:t>m</w:t>
                  </w:r>
                  <w:r>
                    <w:rPr>
                      <w:rFonts w:hint="default" w:ascii="Times New Roman" w:hAnsi="Times New Roman" w:eastAsia="宋体" w:cs="Times New Roman"/>
                      <w:color w:val="auto"/>
                      <w:sz w:val="21"/>
                      <w:szCs w:val="21"/>
                      <w:highlight w:val="none"/>
                      <w:u w:val="none"/>
                      <w:vertAlign w:val="superscript"/>
                      <w:lang w:val="en-US" w:eastAsia="zh-CN"/>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洁净车间</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主要</w:t>
                  </w:r>
                  <w:r>
                    <w:rPr>
                      <w:rFonts w:hint="eastAsia" w:ascii="Times New Roman" w:hAnsi="Times New Roman" w:eastAsia="宋体" w:cs="Times New Roman"/>
                      <w:color w:val="auto"/>
                      <w:sz w:val="21"/>
                      <w:szCs w:val="21"/>
                      <w:highlight w:val="none"/>
                      <w:u w:val="none"/>
                      <w:lang w:val="en-US" w:eastAsia="zh-CN"/>
                    </w:rPr>
                    <w:t>用于</w:t>
                  </w:r>
                  <w:r>
                    <w:rPr>
                      <w:rFonts w:hint="eastAsia" w:cs="Times New Roman"/>
                      <w:color w:val="auto"/>
                      <w:sz w:val="21"/>
                      <w:szCs w:val="21"/>
                      <w:highlight w:val="none"/>
                      <w:u w:val="none"/>
                      <w:lang w:val="en-US" w:eastAsia="zh-CN"/>
                    </w:rPr>
                    <w:t>铝箔膜生产，分为印刷间、分切间等</w:t>
                  </w:r>
                </w:p>
              </w:tc>
              <w:tc>
                <w:tcPr>
                  <w:tcW w:w="719" w:type="pct"/>
                  <w:tcBorders>
                    <w:tl2br w:val="nil"/>
                    <w:tr2bl w:val="nil"/>
                  </w:tcBorders>
                  <w:noWrap w:val="0"/>
                  <w:vAlign w:val="center"/>
                </w:tcPr>
                <w:p w14:paraId="21DD2447">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4F38F7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0EB2FF16">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10A1E4B7">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PE</w:t>
                  </w:r>
                  <w:r>
                    <w:rPr>
                      <w:rFonts w:hint="eastAsia" w:ascii="Times New Roman" w:hAnsi="Times New Roman" w:eastAsia="宋体" w:cs="Times New Roman"/>
                      <w:color w:val="auto"/>
                      <w:sz w:val="21"/>
                      <w:szCs w:val="21"/>
                      <w:highlight w:val="none"/>
                      <w:u w:val="none"/>
                      <w:lang w:val="en-US" w:eastAsia="zh-CN"/>
                    </w:rPr>
                    <w:t>生产车间</w:t>
                  </w:r>
                </w:p>
              </w:tc>
              <w:tc>
                <w:tcPr>
                  <w:tcW w:w="2644" w:type="pct"/>
                  <w:tcBorders>
                    <w:tl2br w:val="nil"/>
                    <w:tr2bl w:val="nil"/>
                  </w:tcBorders>
                  <w:noWrap w:val="0"/>
                  <w:tcMar>
                    <w:top w:w="0" w:type="dxa"/>
                    <w:left w:w="108" w:type="dxa"/>
                    <w:bottom w:w="0" w:type="dxa"/>
                    <w:right w:w="108" w:type="dxa"/>
                  </w:tcMar>
                  <w:vAlign w:val="center"/>
                </w:tcPr>
                <w:p w14:paraId="09FEA5A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1F，总建筑面积</w:t>
                  </w:r>
                  <w:r>
                    <w:rPr>
                      <w:rFonts w:hint="eastAsia" w:cs="Times New Roman"/>
                      <w:color w:val="auto"/>
                      <w:sz w:val="21"/>
                      <w:szCs w:val="21"/>
                      <w:highlight w:val="none"/>
                      <w:u w:val="none"/>
                      <w:lang w:val="en-US" w:eastAsia="zh-CN"/>
                    </w:rPr>
                    <w:t>790</w:t>
                  </w:r>
                  <w:r>
                    <w:rPr>
                      <w:rFonts w:hint="default" w:ascii="Times New Roman" w:hAnsi="Times New Roman" w:eastAsia="宋体" w:cs="Times New Roman"/>
                      <w:color w:val="auto"/>
                      <w:sz w:val="21"/>
                      <w:szCs w:val="21"/>
                      <w:highlight w:val="none"/>
                      <w:u w:val="none"/>
                      <w:lang w:val="en-US" w:eastAsia="zh-CN"/>
                    </w:rPr>
                    <w:t>m</w:t>
                  </w:r>
                  <w:r>
                    <w:rPr>
                      <w:rFonts w:hint="default" w:ascii="Times New Roman" w:hAnsi="Times New Roman" w:eastAsia="宋体" w:cs="Times New Roman"/>
                      <w:color w:val="auto"/>
                      <w:sz w:val="21"/>
                      <w:szCs w:val="21"/>
                      <w:highlight w:val="none"/>
                      <w:u w:val="none"/>
                      <w:vertAlign w:val="superscript"/>
                      <w:lang w:val="en-US" w:eastAsia="zh-CN"/>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洁净车间</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主要</w:t>
                  </w:r>
                  <w:r>
                    <w:rPr>
                      <w:rFonts w:hint="eastAsia" w:ascii="Times New Roman" w:hAnsi="Times New Roman" w:eastAsia="宋体" w:cs="Times New Roman"/>
                      <w:color w:val="auto"/>
                      <w:sz w:val="21"/>
                      <w:szCs w:val="21"/>
                      <w:highlight w:val="none"/>
                      <w:u w:val="none"/>
                      <w:lang w:val="en-US" w:eastAsia="zh-CN"/>
                    </w:rPr>
                    <w:t>用于</w:t>
                  </w:r>
                  <w:r>
                    <w:rPr>
                      <w:rFonts w:hint="eastAsia" w:cs="Times New Roman"/>
                      <w:color w:val="auto"/>
                      <w:sz w:val="21"/>
                      <w:szCs w:val="21"/>
                      <w:highlight w:val="none"/>
                      <w:u w:val="none"/>
                      <w:lang w:val="en-US" w:eastAsia="zh-CN"/>
                    </w:rPr>
                    <w:t>PE膜生产，分为配混料区、吹膜间、中转库、制袋间等</w:t>
                  </w:r>
                </w:p>
              </w:tc>
              <w:tc>
                <w:tcPr>
                  <w:tcW w:w="719" w:type="pct"/>
                  <w:tcBorders>
                    <w:tl2br w:val="nil"/>
                    <w:tr2bl w:val="nil"/>
                  </w:tcBorders>
                  <w:noWrap w:val="0"/>
                  <w:vAlign w:val="center"/>
                </w:tcPr>
                <w:p w14:paraId="71F3C5C7">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3E54FA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tcMar>
                    <w:top w:w="0" w:type="dxa"/>
                    <w:left w:w="108" w:type="dxa"/>
                    <w:bottom w:w="0" w:type="dxa"/>
                    <w:right w:w="108" w:type="dxa"/>
                  </w:tcMar>
                  <w:vAlign w:val="center"/>
                </w:tcPr>
                <w:p w14:paraId="4AD2E10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储运工程</w:t>
                  </w:r>
                </w:p>
              </w:tc>
              <w:tc>
                <w:tcPr>
                  <w:tcW w:w="971" w:type="pct"/>
                  <w:tcBorders>
                    <w:tl2br w:val="nil"/>
                    <w:tr2bl w:val="nil"/>
                  </w:tcBorders>
                  <w:noWrap w:val="0"/>
                  <w:tcMar>
                    <w:top w:w="0" w:type="dxa"/>
                    <w:left w:w="108" w:type="dxa"/>
                    <w:bottom w:w="0" w:type="dxa"/>
                    <w:right w:w="108" w:type="dxa"/>
                  </w:tcMar>
                  <w:vAlign w:val="center"/>
                </w:tcPr>
                <w:p w14:paraId="6AF03067">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原料仓库</w:t>
                  </w:r>
                </w:p>
              </w:tc>
              <w:tc>
                <w:tcPr>
                  <w:tcW w:w="2644" w:type="pct"/>
                  <w:tcBorders>
                    <w:tl2br w:val="nil"/>
                    <w:tr2bl w:val="nil"/>
                  </w:tcBorders>
                  <w:noWrap w:val="0"/>
                  <w:tcMar>
                    <w:top w:w="0" w:type="dxa"/>
                    <w:left w:w="108" w:type="dxa"/>
                    <w:bottom w:w="0" w:type="dxa"/>
                    <w:right w:w="108" w:type="dxa"/>
                  </w:tcMar>
                  <w:vAlign w:val="center"/>
                </w:tcPr>
                <w:p w14:paraId="23B827B5">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FF"/>
                      <w:sz w:val="21"/>
                      <w:szCs w:val="21"/>
                      <w:highlight w:val="none"/>
                      <w:u w:val="none"/>
                      <w:lang w:val="en-US" w:eastAsia="zh-CN"/>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w:t>
                  </w:r>
                  <w:r>
                    <w:rPr>
                      <w:rFonts w:hint="default" w:ascii="Times New Roman" w:hAnsi="Times New Roman" w:eastAsia="宋体" w:cs="Times New Roman"/>
                      <w:color w:val="auto"/>
                      <w:sz w:val="21"/>
                      <w:szCs w:val="21"/>
                      <w:highlight w:val="none"/>
                      <w:u w:val="none"/>
                      <w:lang w:val="en-US" w:eastAsia="zh-CN"/>
                    </w:rPr>
                    <w:t>建筑面积100m</w:t>
                  </w:r>
                  <w:r>
                    <w:rPr>
                      <w:rFonts w:hint="default" w:ascii="Times New Roman" w:hAnsi="Times New Roman" w:eastAsia="宋体" w:cs="Times New Roman"/>
                      <w:color w:val="auto"/>
                      <w:sz w:val="21"/>
                      <w:szCs w:val="21"/>
                      <w:highlight w:val="none"/>
                      <w:u w:val="none"/>
                      <w:vertAlign w:val="superscript"/>
                      <w:lang w:val="en-US" w:eastAsia="zh-CN"/>
                    </w:rPr>
                    <w:t>2</w:t>
                  </w:r>
                  <w:r>
                    <w:rPr>
                      <w:rFonts w:hint="default" w:ascii="Times New Roman" w:hAnsi="Times New Roman" w:eastAsia="宋体" w:cs="Times New Roman"/>
                      <w:color w:val="auto"/>
                      <w:sz w:val="21"/>
                      <w:szCs w:val="21"/>
                      <w:highlight w:val="none"/>
                      <w:u w:val="none"/>
                      <w:lang w:val="en-US" w:eastAsia="zh-CN"/>
                    </w:rPr>
                    <w:t>，主要用于原材料贮存</w:t>
                  </w:r>
                </w:p>
              </w:tc>
              <w:tc>
                <w:tcPr>
                  <w:tcW w:w="719" w:type="pct"/>
                  <w:tcBorders>
                    <w:tl2br w:val="nil"/>
                    <w:tr2bl w:val="nil"/>
                  </w:tcBorders>
                  <w:noWrap w:val="0"/>
                  <w:vAlign w:val="center"/>
                </w:tcPr>
                <w:p w14:paraId="329FD405">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74C06D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26D9ED2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0D99F05F">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化学品仓库</w:t>
                  </w:r>
                </w:p>
              </w:tc>
              <w:tc>
                <w:tcPr>
                  <w:tcW w:w="2644" w:type="pct"/>
                  <w:tcBorders>
                    <w:tl2br w:val="nil"/>
                    <w:tr2bl w:val="nil"/>
                  </w:tcBorders>
                  <w:noWrap w:val="0"/>
                  <w:tcMar>
                    <w:top w:w="0" w:type="dxa"/>
                    <w:left w:w="108" w:type="dxa"/>
                    <w:bottom w:w="0" w:type="dxa"/>
                    <w:right w:w="108" w:type="dxa"/>
                  </w:tcMar>
                  <w:vAlign w:val="center"/>
                </w:tcPr>
                <w:p w14:paraId="6A06B555">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FF"/>
                      <w:sz w:val="21"/>
                      <w:szCs w:val="21"/>
                      <w:highlight w:val="none"/>
                      <w:u w:val="none"/>
                      <w:lang w:val="en-US" w:eastAsia="zh-CN"/>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50</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用于存放油墨、稀释剂、胶粘剂等</w:t>
                  </w:r>
                </w:p>
              </w:tc>
              <w:tc>
                <w:tcPr>
                  <w:tcW w:w="719" w:type="pct"/>
                  <w:tcBorders>
                    <w:tl2br w:val="nil"/>
                    <w:tr2bl w:val="nil"/>
                  </w:tcBorders>
                  <w:noWrap w:val="0"/>
                  <w:vAlign w:val="center"/>
                </w:tcPr>
                <w:p w14:paraId="189C8DCD">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0C45EB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1695427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454DAD2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sz w:val="21"/>
                      <w:szCs w:val="21"/>
                      <w:highlight w:val="none"/>
                      <w:u w:val="none"/>
                      <w:lang w:val="en-US" w:eastAsia="zh-CN"/>
                    </w:rPr>
                    <w:t>成品仓库</w:t>
                  </w:r>
                </w:p>
              </w:tc>
              <w:tc>
                <w:tcPr>
                  <w:tcW w:w="2644" w:type="pct"/>
                  <w:tcBorders>
                    <w:tl2br w:val="nil"/>
                    <w:tr2bl w:val="nil"/>
                  </w:tcBorders>
                  <w:noWrap w:val="0"/>
                  <w:tcMar>
                    <w:top w:w="0" w:type="dxa"/>
                    <w:left w:w="108" w:type="dxa"/>
                    <w:bottom w:w="0" w:type="dxa"/>
                    <w:right w:w="108" w:type="dxa"/>
                  </w:tcMar>
                  <w:vAlign w:val="center"/>
                </w:tcPr>
                <w:p w14:paraId="33534F5B">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sz w:val="21"/>
                      <w:szCs w:val="21"/>
                      <w:highlight w:val="none"/>
                      <w:u w:val="none"/>
                      <w:lang w:val="en-US" w:eastAsia="zh-CN" w:bidi="ar-SA"/>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400</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p>
              </w:tc>
              <w:tc>
                <w:tcPr>
                  <w:tcW w:w="719" w:type="pct"/>
                  <w:tcBorders>
                    <w:tl2br w:val="nil"/>
                    <w:tr2bl w:val="nil"/>
                  </w:tcBorders>
                  <w:noWrap w:val="0"/>
                  <w:vAlign w:val="center"/>
                </w:tcPr>
                <w:p w14:paraId="509EFED4">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660BD5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tcMar>
                    <w:top w:w="0" w:type="dxa"/>
                    <w:left w:w="108" w:type="dxa"/>
                    <w:bottom w:w="0" w:type="dxa"/>
                    <w:right w:w="108" w:type="dxa"/>
                  </w:tcMar>
                  <w:vAlign w:val="center"/>
                </w:tcPr>
                <w:p w14:paraId="2D810B15">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辅助工程</w:t>
                  </w:r>
                </w:p>
              </w:tc>
              <w:tc>
                <w:tcPr>
                  <w:tcW w:w="971" w:type="pct"/>
                  <w:tcBorders>
                    <w:tl2br w:val="nil"/>
                    <w:tr2bl w:val="nil"/>
                  </w:tcBorders>
                  <w:noWrap w:val="0"/>
                  <w:tcMar>
                    <w:top w:w="0" w:type="dxa"/>
                    <w:left w:w="108" w:type="dxa"/>
                    <w:bottom w:w="0" w:type="dxa"/>
                    <w:right w:w="108" w:type="dxa"/>
                  </w:tcMar>
                  <w:vAlign w:val="center"/>
                </w:tcPr>
                <w:p w14:paraId="343004B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办公</w:t>
                  </w:r>
                  <w:r>
                    <w:rPr>
                      <w:rFonts w:hint="eastAsia" w:ascii="Times New Roman" w:hAnsi="Times New Roman" w:eastAsia="宋体" w:cs="Times New Roman"/>
                      <w:color w:val="auto"/>
                      <w:sz w:val="21"/>
                      <w:szCs w:val="21"/>
                      <w:highlight w:val="none"/>
                      <w:u w:val="none"/>
                      <w:lang w:val="en-US" w:eastAsia="zh-CN"/>
                    </w:rPr>
                    <w:t>区</w:t>
                  </w:r>
                </w:p>
              </w:tc>
              <w:tc>
                <w:tcPr>
                  <w:tcW w:w="2644" w:type="pct"/>
                  <w:tcBorders>
                    <w:tl2br w:val="nil"/>
                    <w:tr2bl w:val="nil"/>
                  </w:tcBorders>
                  <w:noWrap w:val="0"/>
                  <w:tcMar>
                    <w:top w:w="0" w:type="dxa"/>
                    <w:left w:w="108" w:type="dxa"/>
                    <w:bottom w:w="0" w:type="dxa"/>
                    <w:right w:w="108" w:type="dxa"/>
                  </w:tcMar>
                  <w:vAlign w:val="center"/>
                </w:tcPr>
                <w:p w14:paraId="478C076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0000FF"/>
                      <w:sz w:val="21"/>
                      <w:szCs w:val="21"/>
                      <w:highlight w:val="none"/>
                      <w:u w:val="none"/>
                      <w:lang w:val="en-US" w:eastAsia="zh-CN"/>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25</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用于员工办公</w:t>
                  </w:r>
                </w:p>
              </w:tc>
              <w:tc>
                <w:tcPr>
                  <w:tcW w:w="719" w:type="pct"/>
                  <w:tcBorders>
                    <w:tl2br w:val="nil"/>
                    <w:tr2bl w:val="nil"/>
                  </w:tcBorders>
                  <w:noWrap w:val="0"/>
                  <w:vAlign w:val="center"/>
                </w:tcPr>
                <w:p w14:paraId="416716EC">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val="en-US" w:eastAsia="zh-CN"/>
                    </w:rPr>
                    <w:t>新建</w:t>
                  </w:r>
                </w:p>
              </w:tc>
            </w:tr>
            <w:tr w14:paraId="1D51C2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79DBF9B2">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304FDDA6">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调胶房</w:t>
                  </w:r>
                </w:p>
              </w:tc>
              <w:tc>
                <w:tcPr>
                  <w:tcW w:w="2644" w:type="pct"/>
                  <w:tcBorders>
                    <w:tl2br w:val="nil"/>
                    <w:tr2bl w:val="nil"/>
                  </w:tcBorders>
                  <w:noWrap w:val="0"/>
                  <w:tcMar>
                    <w:top w:w="0" w:type="dxa"/>
                    <w:left w:w="108" w:type="dxa"/>
                    <w:bottom w:w="0" w:type="dxa"/>
                    <w:right w:w="108" w:type="dxa"/>
                  </w:tcMar>
                  <w:vAlign w:val="center"/>
                </w:tcPr>
                <w:p w14:paraId="14440C2A">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cs="Times New Roman"/>
                      <w:color w:val="auto"/>
                      <w:kern w:val="0"/>
                      <w:sz w:val="21"/>
                      <w:szCs w:val="21"/>
                      <w:highlight w:val="none"/>
                      <w:u w:val="none"/>
                      <w:lang w:val="en-US" w:eastAsia="zh-CN" w:bidi="ar-SA"/>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25</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用于胶粘剂与稀释剂混合搅拌</w:t>
                  </w:r>
                </w:p>
              </w:tc>
              <w:tc>
                <w:tcPr>
                  <w:tcW w:w="719" w:type="pct"/>
                  <w:tcBorders>
                    <w:tl2br w:val="nil"/>
                    <w:tr2bl w:val="nil"/>
                  </w:tcBorders>
                  <w:noWrap w:val="0"/>
                  <w:vAlign w:val="center"/>
                </w:tcPr>
                <w:p w14:paraId="6D32155D">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26C127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2822DFB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25FD93B0">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工具房</w:t>
                  </w:r>
                </w:p>
              </w:tc>
              <w:tc>
                <w:tcPr>
                  <w:tcW w:w="2644" w:type="pct"/>
                  <w:tcBorders>
                    <w:tl2br w:val="nil"/>
                    <w:tr2bl w:val="nil"/>
                  </w:tcBorders>
                  <w:noWrap w:val="0"/>
                  <w:tcMar>
                    <w:top w:w="0" w:type="dxa"/>
                    <w:left w:w="108" w:type="dxa"/>
                    <w:bottom w:w="0" w:type="dxa"/>
                    <w:right w:w="108" w:type="dxa"/>
                  </w:tcMar>
                  <w:vAlign w:val="center"/>
                </w:tcPr>
                <w:p w14:paraId="7C1BE91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eastAsia" w:cs="Times New Roman"/>
                      <w:color w:val="auto"/>
                      <w:kern w:val="0"/>
                      <w:sz w:val="21"/>
                      <w:szCs w:val="21"/>
                      <w:highlight w:val="none"/>
                      <w:u w:val="none"/>
                      <w:lang w:val="en-US" w:eastAsia="zh-CN" w:bidi="ar-SA"/>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50</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p>
              </w:tc>
              <w:tc>
                <w:tcPr>
                  <w:tcW w:w="719" w:type="pct"/>
                  <w:tcBorders>
                    <w:tl2br w:val="nil"/>
                    <w:tr2bl w:val="nil"/>
                  </w:tcBorders>
                  <w:noWrap w:val="0"/>
                  <w:vAlign w:val="center"/>
                </w:tcPr>
                <w:p w14:paraId="0B69AE36">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4DEEE3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tcMar>
                    <w:top w:w="0" w:type="dxa"/>
                    <w:left w:w="108" w:type="dxa"/>
                    <w:bottom w:w="0" w:type="dxa"/>
                    <w:right w:w="108" w:type="dxa"/>
                  </w:tcMar>
                  <w:vAlign w:val="center"/>
                </w:tcPr>
                <w:p w14:paraId="46A5FCC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0D923396">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更衣室</w:t>
                  </w:r>
                </w:p>
              </w:tc>
              <w:tc>
                <w:tcPr>
                  <w:tcW w:w="2644" w:type="pct"/>
                  <w:tcBorders>
                    <w:tl2br w:val="nil"/>
                    <w:tr2bl w:val="nil"/>
                  </w:tcBorders>
                  <w:noWrap w:val="0"/>
                  <w:tcMar>
                    <w:top w:w="0" w:type="dxa"/>
                    <w:left w:w="108" w:type="dxa"/>
                    <w:bottom w:w="0" w:type="dxa"/>
                    <w:right w:w="108" w:type="dxa"/>
                  </w:tcMar>
                  <w:vAlign w:val="center"/>
                </w:tcPr>
                <w:p w14:paraId="06EBB55F">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eastAsia" w:ascii="Times New Roman" w:hAnsi="Times New Roman" w:eastAsia="宋体" w:cs="Times New Roman"/>
                      <w:color w:val="0000FF"/>
                      <w:sz w:val="21"/>
                      <w:szCs w:val="21"/>
                      <w:highlight w:val="none"/>
                      <w:u w:val="none"/>
                      <w:lang w:val="en-US" w:eastAsia="zh-CN"/>
                    </w:rPr>
                  </w:pPr>
                  <w:r>
                    <w:rPr>
                      <w:rFonts w:hint="eastAsia" w:cs="Times New Roman"/>
                      <w:color w:val="auto"/>
                      <w:kern w:val="0"/>
                      <w:sz w:val="21"/>
                      <w:szCs w:val="21"/>
                      <w:highlight w:val="none"/>
                      <w:u w:val="none"/>
                      <w:lang w:val="en-US" w:eastAsia="zh-CN" w:bidi="ar-SA"/>
                    </w:rPr>
                    <w:t>钢架</w:t>
                  </w:r>
                  <w:r>
                    <w:rPr>
                      <w:rFonts w:hint="eastAsia" w:ascii="Times New Roman" w:hAnsi="Times New Roman" w:eastAsia="宋体" w:cs="Times New Roman"/>
                      <w:color w:val="auto"/>
                      <w:kern w:val="0"/>
                      <w:sz w:val="21"/>
                      <w:szCs w:val="21"/>
                      <w:highlight w:val="none"/>
                      <w:u w:val="none"/>
                      <w:lang w:val="en-US" w:eastAsia="zh-CN" w:bidi="ar-SA"/>
                    </w:rPr>
                    <w:t>结构，建筑面积</w:t>
                  </w:r>
                  <w:r>
                    <w:rPr>
                      <w:rFonts w:hint="eastAsia" w:cs="Times New Roman"/>
                      <w:color w:val="auto"/>
                      <w:kern w:val="0"/>
                      <w:sz w:val="21"/>
                      <w:szCs w:val="21"/>
                      <w:highlight w:val="none"/>
                      <w:u w:val="none"/>
                      <w:lang w:val="en-US" w:eastAsia="zh-CN" w:bidi="ar-SA"/>
                    </w:rPr>
                    <w:t>65</w:t>
                  </w:r>
                  <w:r>
                    <w:rPr>
                      <w:rFonts w:hint="eastAsia" w:ascii="Times New Roman" w:hAnsi="Times New Roman" w:eastAsia="宋体" w:cs="Times New Roman"/>
                      <w:color w:val="auto"/>
                      <w:kern w:val="0"/>
                      <w:sz w:val="21"/>
                      <w:szCs w:val="21"/>
                      <w:highlight w:val="none"/>
                      <w:u w:val="none"/>
                      <w:lang w:val="en-US" w:eastAsia="zh-CN" w:bidi="ar-SA"/>
                    </w:rPr>
                    <w:t>m</w:t>
                  </w:r>
                  <w:r>
                    <w:rPr>
                      <w:rFonts w:hint="eastAsia" w:ascii="Times New Roman" w:hAnsi="Times New Roman" w:eastAsia="宋体" w:cs="Times New Roman"/>
                      <w:color w:val="auto"/>
                      <w:kern w:val="0"/>
                      <w:sz w:val="21"/>
                      <w:szCs w:val="21"/>
                      <w:highlight w:val="none"/>
                      <w:u w:val="none"/>
                      <w:vertAlign w:val="superscript"/>
                      <w:lang w:val="en-US" w:eastAsia="zh-CN" w:bidi="ar-SA"/>
                    </w:rPr>
                    <w:t>2</w:t>
                  </w:r>
                </w:p>
              </w:tc>
              <w:tc>
                <w:tcPr>
                  <w:tcW w:w="719" w:type="pct"/>
                  <w:tcBorders>
                    <w:tl2br w:val="nil"/>
                    <w:tr2bl w:val="nil"/>
                  </w:tcBorders>
                  <w:noWrap w:val="0"/>
                  <w:vAlign w:val="center"/>
                </w:tcPr>
                <w:p w14:paraId="2440B42E">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796166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vAlign w:val="center"/>
                </w:tcPr>
                <w:p w14:paraId="791B953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公用工程</w:t>
                  </w:r>
                </w:p>
              </w:tc>
              <w:tc>
                <w:tcPr>
                  <w:tcW w:w="971" w:type="pct"/>
                  <w:tcBorders>
                    <w:tl2br w:val="nil"/>
                    <w:tr2bl w:val="nil"/>
                  </w:tcBorders>
                  <w:noWrap w:val="0"/>
                  <w:tcMar>
                    <w:top w:w="0" w:type="dxa"/>
                    <w:left w:w="108" w:type="dxa"/>
                    <w:bottom w:w="0" w:type="dxa"/>
                    <w:right w:w="108" w:type="dxa"/>
                  </w:tcMar>
                  <w:vAlign w:val="center"/>
                </w:tcPr>
                <w:p w14:paraId="457CB94E">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供水</w:t>
                  </w:r>
                </w:p>
              </w:tc>
              <w:tc>
                <w:tcPr>
                  <w:tcW w:w="2644" w:type="pct"/>
                  <w:tcBorders>
                    <w:tl2br w:val="nil"/>
                    <w:tr2bl w:val="nil"/>
                  </w:tcBorders>
                  <w:noWrap w:val="0"/>
                  <w:tcMar>
                    <w:top w:w="0" w:type="dxa"/>
                    <w:left w:w="108" w:type="dxa"/>
                    <w:bottom w:w="0" w:type="dxa"/>
                    <w:right w:w="108" w:type="dxa"/>
                  </w:tcMar>
                  <w:vAlign w:val="center"/>
                </w:tcPr>
                <w:p w14:paraId="4D38B3C8">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lang w:val="en-US"/>
                    </w:rPr>
                  </w:pPr>
                  <w:r>
                    <w:rPr>
                      <w:rFonts w:hint="default" w:ascii="Times New Roman" w:hAnsi="Times New Roman" w:eastAsia="宋体" w:cs="Times New Roman"/>
                      <w:color w:val="auto"/>
                      <w:sz w:val="21"/>
                      <w:szCs w:val="21"/>
                      <w:highlight w:val="none"/>
                      <w:u w:val="none"/>
                    </w:rPr>
                    <w:t>用水为</w:t>
                  </w:r>
                  <w:r>
                    <w:rPr>
                      <w:rFonts w:hint="eastAsia" w:ascii="Times New Roman" w:hAnsi="Times New Roman" w:eastAsia="宋体" w:cs="Times New Roman"/>
                      <w:color w:val="auto"/>
                      <w:sz w:val="21"/>
                      <w:szCs w:val="21"/>
                      <w:highlight w:val="none"/>
                      <w:u w:val="none"/>
                      <w:lang w:val="en-US" w:eastAsia="zh-CN"/>
                    </w:rPr>
                    <w:t>当地市政供水</w:t>
                  </w:r>
                </w:p>
              </w:tc>
              <w:tc>
                <w:tcPr>
                  <w:tcW w:w="719" w:type="pct"/>
                  <w:tcBorders>
                    <w:tl2br w:val="nil"/>
                    <w:tr2bl w:val="nil"/>
                  </w:tcBorders>
                  <w:noWrap w:val="0"/>
                  <w:vAlign w:val="center"/>
                </w:tcPr>
                <w:p w14:paraId="5469ADF5">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1D08BF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69111A47">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44EBC39E">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供电</w:t>
                  </w:r>
                </w:p>
              </w:tc>
              <w:tc>
                <w:tcPr>
                  <w:tcW w:w="2644" w:type="pct"/>
                  <w:tcBorders>
                    <w:tl2br w:val="nil"/>
                    <w:tr2bl w:val="nil"/>
                  </w:tcBorders>
                  <w:noWrap w:val="0"/>
                  <w:tcMar>
                    <w:top w:w="0" w:type="dxa"/>
                    <w:left w:w="108" w:type="dxa"/>
                    <w:bottom w:w="0" w:type="dxa"/>
                    <w:right w:w="108" w:type="dxa"/>
                  </w:tcMar>
                  <w:vAlign w:val="center"/>
                </w:tcPr>
                <w:p w14:paraId="0065159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用电来自</w:t>
                  </w:r>
                  <w:r>
                    <w:rPr>
                      <w:rFonts w:hint="default" w:ascii="Times New Roman" w:hAnsi="Times New Roman" w:eastAsia="宋体" w:cs="Times New Roman"/>
                      <w:color w:val="auto"/>
                      <w:sz w:val="21"/>
                      <w:szCs w:val="21"/>
                      <w:highlight w:val="none"/>
                      <w:u w:val="none"/>
                      <w:lang w:val="en-US" w:eastAsia="zh-CN"/>
                    </w:rPr>
                    <w:t>当地</w:t>
                  </w:r>
                  <w:r>
                    <w:rPr>
                      <w:rFonts w:hint="eastAsia" w:ascii="Times New Roman" w:hAnsi="Times New Roman" w:eastAsia="宋体" w:cs="Times New Roman"/>
                      <w:color w:val="auto"/>
                      <w:sz w:val="21"/>
                      <w:szCs w:val="21"/>
                      <w:highlight w:val="none"/>
                      <w:u w:val="none"/>
                      <w:lang w:val="en-US" w:eastAsia="zh-CN"/>
                    </w:rPr>
                    <w:t>园区</w:t>
                  </w:r>
                  <w:r>
                    <w:rPr>
                      <w:rFonts w:hint="default" w:ascii="Times New Roman" w:hAnsi="Times New Roman" w:eastAsia="宋体" w:cs="Times New Roman"/>
                      <w:color w:val="auto"/>
                      <w:sz w:val="21"/>
                      <w:szCs w:val="21"/>
                      <w:highlight w:val="none"/>
                      <w:u w:val="none"/>
                    </w:rPr>
                    <w:t>供电</w:t>
                  </w:r>
                </w:p>
              </w:tc>
              <w:tc>
                <w:tcPr>
                  <w:tcW w:w="719" w:type="pct"/>
                  <w:tcBorders>
                    <w:tl2br w:val="nil"/>
                    <w:tr2bl w:val="nil"/>
                  </w:tcBorders>
                  <w:noWrap w:val="0"/>
                  <w:vAlign w:val="center"/>
                </w:tcPr>
                <w:p w14:paraId="363649EA">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19AA5E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restart"/>
                  <w:tcBorders>
                    <w:tl2br w:val="nil"/>
                    <w:tr2bl w:val="nil"/>
                  </w:tcBorders>
                  <w:noWrap w:val="0"/>
                  <w:vAlign w:val="center"/>
                </w:tcPr>
                <w:p w14:paraId="6281C95A">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环保工程</w:t>
                  </w:r>
                </w:p>
              </w:tc>
              <w:tc>
                <w:tcPr>
                  <w:tcW w:w="971" w:type="pct"/>
                  <w:vMerge w:val="restart"/>
                  <w:tcBorders>
                    <w:tl2br w:val="nil"/>
                    <w:tr2bl w:val="nil"/>
                  </w:tcBorders>
                  <w:noWrap w:val="0"/>
                  <w:tcMar>
                    <w:top w:w="0" w:type="dxa"/>
                    <w:left w:w="108" w:type="dxa"/>
                    <w:bottom w:w="0" w:type="dxa"/>
                    <w:right w:w="108" w:type="dxa"/>
                  </w:tcMar>
                  <w:vAlign w:val="center"/>
                </w:tcPr>
                <w:p w14:paraId="4A85CE08">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废水</w:t>
                  </w:r>
                </w:p>
              </w:tc>
              <w:tc>
                <w:tcPr>
                  <w:tcW w:w="2644" w:type="pct"/>
                  <w:tcBorders>
                    <w:tl2br w:val="nil"/>
                    <w:tr2bl w:val="nil"/>
                  </w:tcBorders>
                  <w:noWrap w:val="0"/>
                  <w:tcMar>
                    <w:top w:w="0" w:type="dxa"/>
                    <w:left w:w="108" w:type="dxa"/>
                    <w:bottom w:w="0" w:type="dxa"/>
                    <w:right w:w="108" w:type="dxa"/>
                  </w:tcMar>
                  <w:vAlign w:val="center"/>
                </w:tcPr>
                <w:p w14:paraId="1E8E6EB0">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生活污水</w:t>
                  </w:r>
                  <w:r>
                    <w:rPr>
                      <w:rFonts w:hint="eastAsia"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经化粪池处理后排入园区污水管网</w:t>
                  </w:r>
                </w:p>
              </w:tc>
              <w:tc>
                <w:tcPr>
                  <w:tcW w:w="719" w:type="pct"/>
                  <w:tcBorders>
                    <w:tl2br w:val="nil"/>
                    <w:tr2bl w:val="nil"/>
                  </w:tcBorders>
                  <w:noWrap w:val="0"/>
                  <w:vAlign w:val="center"/>
                </w:tcPr>
                <w:p w14:paraId="208CE16A">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07FED2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6A6FD331">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971" w:type="pct"/>
                  <w:vMerge w:val="continue"/>
                  <w:tcBorders>
                    <w:tl2br w:val="nil"/>
                    <w:tr2bl w:val="nil"/>
                  </w:tcBorders>
                  <w:noWrap w:val="0"/>
                  <w:tcMar>
                    <w:top w:w="0" w:type="dxa"/>
                    <w:left w:w="108" w:type="dxa"/>
                    <w:bottom w:w="0" w:type="dxa"/>
                    <w:right w:w="108" w:type="dxa"/>
                  </w:tcMar>
                  <w:vAlign w:val="center"/>
                </w:tcPr>
                <w:p w14:paraId="2620E166">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p>
              </w:tc>
              <w:tc>
                <w:tcPr>
                  <w:tcW w:w="2644" w:type="pct"/>
                  <w:tcBorders>
                    <w:tl2br w:val="nil"/>
                    <w:tr2bl w:val="nil"/>
                  </w:tcBorders>
                  <w:noWrap w:val="0"/>
                  <w:tcMar>
                    <w:top w:w="0" w:type="dxa"/>
                    <w:left w:w="108" w:type="dxa"/>
                    <w:bottom w:w="0" w:type="dxa"/>
                    <w:right w:w="108" w:type="dxa"/>
                  </w:tcMar>
                  <w:vAlign w:val="center"/>
                </w:tcPr>
                <w:p w14:paraId="331F5107">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rPr>
                    <w:t>设备冷却水</w:t>
                  </w:r>
                  <w:r>
                    <w:rPr>
                      <w:rFonts w:hint="eastAsia" w:cs="Times New Roman"/>
                      <w:color w:val="auto"/>
                      <w:sz w:val="21"/>
                      <w:szCs w:val="21"/>
                      <w:highlight w:val="none"/>
                      <w:u w:val="none"/>
                      <w:lang w:val="en-US" w:eastAsia="zh-CN"/>
                    </w:rPr>
                    <w:t>循环使用，不外排</w:t>
                  </w:r>
                </w:p>
              </w:tc>
              <w:tc>
                <w:tcPr>
                  <w:tcW w:w="719" w:type="pct"/>
                  <w:tcBorders>
                    <w:tl2br w:val="nil"/>
                    <w:tr2bl w:val="nil"/>
                  </w:tcBorders>
                  <w:noWrap w:val="0"/>
                  <w:vAlign w:val="center"/>
                </w:tcPr>
                <w:p w14:paraId="6BBA2185">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1D950D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28D7A7B1">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2ECB5C62">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废气</w:t>
                  </w:r>
                </w:p>
              </w:tc>
              <w:tc>
                <w:tcPr>
                  <w:tcW w:w="2644" w:type="pct"/>
                  <w:tcBorders>
                    <w:tl2br w:val="nil"/>
                    <w:tr2bl w:val="nil"/>
                  </w:tcBorders>
                  <w:noWrap w:val="0"/>
                  <w:tcMar>
                    <w:top w:w="0" w:type="dxa"/>
                    <w:left w:w="108" w:type="dxa"/>
                    <w:bottom w:w="0" w:type="dxa"/>
                    <w:right w:w="108" w:type="dxa"/>
                  </w:tcMar>
                  <w:vAlign w:val="center"/>
                </w:tcPr>
                <w:p w14:paraId="4679A14B">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rPr>
                  </w:pPr>
                  <w:r>
                    <w:rPr>
                      <w:rFonts w:hint="eastAsia" w:ascii="Times New Roman" w:hAnsi="Times New Roman" w:eastAsia="宋体" w:cs="Times New Roman"/>
                      <w:color w:val="auto"/>
                      <w:sz w:val="21"/>
                      <w:szCs w:val="21"/>
                      <w:highlight w:val="none"/>
                      <w:u w:val="none"/>
                      <w:lang w:val="en-US" w:eastAsia="zh-CN"/>
                    </w:rPr>
                    <w:t>非甲烷总烃：</w:t>
                  </w:r>
                  <w:r>
                    <w:rPr>
                      <w:rFonts w:hint="eastAsia" w:cs="Times New Roman"/>
                      <w:color w:val="auto"/>
                      <w:sz w:val="21"/>
                      <w:szCs w:val="21"/>
                      <w:highlight w:val="none"/>
                      <w:u w:val="none"/>
                      <w:lang w:val="en-US" w:eastAsia="zh-CN"/>
                    </w:rPr>
                    <w:t>密闭收集</w:t>
                  </w:r>
                  <w:r>
                    <w:rPr>
                      <w:rFonts w:hint="eastAsia" w:ascii="Times New Roman" w:hAnsi="Times New Roman" w:eastAsia="宋体" w:cs="Times New Roman"/>
                      <w:color w:val="auto"/>
                      <w:sz w:val="21"/>
                      <w:szCs w:val="21"/>
                      <w:highlight w:val="none"/>
                      <w:u w:val="none"/>
                      <w:lang w:val="en-US" w:eastAsia="zh-CN"/>
                    </w:rPr>
                    <w:t>+</w:t>
                  </w:r>
                  <w:r>
                    <w:rPr>
                      <w:rFonts w:hint="eastAsia" w:cs="Times New Roman"/>
                      <w:color w:val="auto"/>
                      <w:sz w:val="21"/>
                      <w:szCs w:val="21"/>
                      <w:highlight w:val="none"/>
                      <w:u w:val="none"/>
                      <w:lang w:val="en-US" w:eastAsia="zh-CN"/>
                    </w:rPr>
                    <w:t>沸石转轮浓缩+RTO装置</w:t>
                  </w:r>
                  <w:r>
                    <w:rPr>
                      <w:rFonts w:hint="eastAsia" w:ascii="Times New Roman" w:hAnsi="Times New Roman" w:eastAsia="宋体" w:cs="Times New Roman"/>
                      <w:color w:val="auto"/>
                      <w:sz w:val="21"/>
                      <w:szCs w:val="21"/>
                      <w:highlight w:val="none"/>
                      <w:u w:val="none"/>
                      <w:lang w:val="en-US" w:eastAsia="zh-CN"/>
                    </w:rPr>
                    <w:t>+15m 高排放（DA00</w:t>
                  </w:r>
                  <w:r>
                    <w:rPr>
                      <w:rFonts w:hint="eastAsia" w:cs="Times New Roman"/>
                      <w:color w:val="auto"/>
                      <w:sz w:val="21"/>
                      <w:szCs w:val="21"/>
                      <w:highlight w:val="none"/>
                      <w:u w:val="none"/>
                      <w:lang w:val="en-US" w:eastAsia="zh-CN"/>
                    </w:rPr>
                    <w:t>1</w:t>
                  </w:r>
                  <w:r>
                    <w:rPr>
                      <w:rFonts w:hint="eastAsia" w:ascii="Times New Roman" w:hAnsi="Times New Roman" w:eastAsia="宋体" w:cs="Times New Roman"/>
                      <w:color w:val="auto"/>
                      <w:sz w:val="21"/>
                      <w:szCs w:val="21"/>
                      <w:highlight w:val="none"/>
                      <w:u w:val="none"/>
                      <w:lang w:val="en-US" w:eastAsia="zh-CN"/>
                    </w:rPr>
                    <w:t>）</w:t>
                  </w:r>
                </w:p>
              </w:tc>
              <w:tc>
                <w:tcPr>
                  <w:tcW w:w="719" w:type="pct"/>
                  <w:tcBorders>
                    <w:tl2br w:val="nil"/>
                    <w:tr2bl w:val="nil"/>
                  </w:tcBorders>
                  <w:noWrap w:val="0"/>
                  <w:vAlign w:val="center"/>
                </w:tcPr>
                <w:p w14:paraId="41DE8D5D">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新建</w:t>
                  </w:r>
                </w:p>
              </w:tc>
            </w:tr>
            <w:tr w14:paraId="62885C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04EC613A">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vMerge w:val="restart"/>
                  <w:tcBorders>
                    <w:tl2br w:val="nil"/>
                    <w:tr2bl w:val="nil"/>
                  </w:tcBorders>
                  <w:noWrap w:val="0"/>
                  <w:tcMar>
                    <w:top w:w="0" w:type="dxa"/>
                    <w:left w:w="108" w:type="dxa"/>
                    <w:bottom w:w="0" w:type="dxa"/>
                    <w:right w:w="108" w:type="dxa"/>
                  </w:tcMar>
                  <w:vAlign w:val="center"/>
                </w:tcPr>
                <w:p w14:paraId="54BC9A2B">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固废</w:t>
                  </w:r>
                </w:p>
              </w:tc>
              <w:tc>
                <w:tcPr>
                  <w:tcW w:w="2644" w:type="pct"/>
                  <w:tcBorders>
                    <w:tl2br w:val="nil"/>
                    <w:tr2bl w:val="nil"/>
                  </w:tcBorders>
                  <w:noWrap w:val="0"/>
                  <w:tcMar>
                    <w:top w:w="0" w:type="dxa"/>
                    <w:left w:w="108" w:type="dxa"/>
                    <w:bottom w:w="0" w:type="dxa"/>
                    <w:right w:w="108" w:type="dxa"/>
                  </w:tcMar>
                  <w:vAlign w:val="center"/>
                </w:tcPr>
                <w:p w14:paraId="36C1188C">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生活垃圾</w:t>
                  </w:r>
                  <w:r>
                    <w:rPr>
                      <w:rFonts w:hint="eastAsia"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设置分类垃圾收集桶，交当地环卫部门统一处理</w:t>
                  </w:r>
                </w:p>
              </w:tc>
              <w:tc>
                <w:tcPr>
                  <w:tcW w:w="719" w:type="pct"/>
                  <w:tcBorders>
                    <w:tl2br w:val="nil"/>
                    <w:tr2bl w:val="nil"/>
                  </w:tcBorders>
                  <w:noWrap w:val="0"/>
                  <w:vAlign w:val="center"/>
                </w:tcPr>
                <w:p w14:paraId="106A90E6">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56CC99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26F11B4C">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vMerge w:val="continue"/>
                  <w:tcBorders>
                    <w:tl2br w:val="nil"/>
                    <w:tr2bl w:val="nil"/>
                  </w:tcBorders>
                  <w:noWrap w:val="0"/>
                  <w:vAlign w:val="center"/>
                </w:tcPr>
                <w:p w14:paraId="73E99B6D">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2644" w:type="pct"/>
                  <w:tcBorders>
                    <w:tl2br w:val="nil"/>
                    <w:tr2bl w:val="nil"/>
                  </w:tcBorders>
                  <w:noWrap w:val="0"/>
                  <w:tcMar>
                    <w:top w:w="0" w:type="dxa"/>
                    <w:left w:w="108" w:type="dxa"/>
                    <w:bottom w:w="0" w:type="dxa"/>
                    <w:right w:w="108" w:type="dxa"/>
                  </w:tcMar>
                  <w:vAlign w:val="center"/>
                </w:tcPr>
                <w:p w14:paraId="543153F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lang w:val="en-US"/>
                    </w:rPr>
                  </w:pPr>
                  <w:r>
                    <w:rPr>
                      <w:rFonts w:hint="eastAsia" w:ascii="Times New Roman" w:hAnsi="Times New Roman" w:eastAsia="宋体" w:cs="Times New Roman"/>
                      <w:color w:val="auto"/>
                      <w:sz w:val="21"/>
                      <w:szCs w:val="21"/>
                      <w:highlight w:val="none"/>
                      <w:u w:val="none"/>
                      <w:lang w:val="en-US" w:eastAsia="zh-CN"/>
                    </w:rPr>
                    <w:t>一般固体废物：一般固废暂存间</w:t>
                  </w:r>
                  <w:r>
                    <w:rPr>
                      <w:rFonts w:hint="eastAsia" w:ascii="Times New Roman" w:hAnsi="Times New Roman" w:eastAsia="宋体" w:cs="Times New Roman"/>
                      <w:color w:val="auto"/>
                      <w:sz w:val="21"/>
                      <w:szCs w:val="21"/>
                      <w:highlight w:val="none"/>
                      <w:u w:val="none"/>
                      <w:lang w:eastAsia="zh-CN"/>
                    </w:rPr>
                    <w:t>（</w:t>
                  </w:r>
                  <w:r>
                    <w:rPr>
                      <w:rFonts w:hint="eastAsia" w:cs="Times New Roman"/>
                      <w:color w:val="auto"/>
                      <w:sz w:val="21"/>
                      <w:szCs w:val="21"/>
                      <w:highlight w:val="none"/>
                      <w:u w:val="none"/>
                      <w:lang w:val="en-US" w:eastAsia="zh-CN"/>
                    </w:rPr>
                    <w:t>5</w:t>
                  </w:r>
                  <w:r>
                    <w:rPr>
                      <w:rFonts w:hint="eastAsia" w:ascii="Times New Roman" w:hAnsi="Times New Roman" w:eastAsia="宋体" w:cs="Times New Roman"/>
                      <w:color w:val="auto"/>
                      <w:sz w:val="21"/>
                      <w:szCs w:val="21"/>
                      <w:highlight w:val="none"/>
                      <w:u w:val="none"/>
                      <w:lang w:val="en-US" w:eastAsia="zh-CN"/>
                    </w:rPr>
                    <w:t>0m</w:t>
                  </w:r>
                  <w:r>
                    <w:rPr>
                      <w:rFonts w:hint="eastAsia" w:ascii="Times New Roman" w:hAnsi="Times New Roman" w:eastAsia="宋体" w:cs="Times New Roman"/>
                      <w:color w:val="auto"/>
                      <w:sz w:val="21"/>
                      <w:szCs w:val="21"/>
                      <w:highlight w:val="none"/>
                      <w:u w:val="none"/>
                      <w:vertAlign w:val="superscript"/>
                      <w:lang w:val="en-US" w:eastAsia="zh-CN"/>
                    </w:rPr>
                    <w:t>2</w:t>
                  </w:r>
                  <w:r>
                    <w:rPr>
                      <w:rFonts w:hint="eastAsia" w:ascii="Times New Roman" w:hAnsi="Times New Roman" w:eastAsia="宋体" w:cs="Times New Roman"/>
                      <w:color w:val="auto"/>
                      <w:sz w:val="21"/>
                      <w:szCs w:val="21"/>
                      <w:highlight w:val="none"/>
                      <w:u w:val="none"/>
                      <w:lang w:eastAsia="zh-CN"/>
                    </w:rPr>
                    <w:t>）</w:t>
                  </w:r>
                </w:p>
              </w:tc>
              <w:tc>
                <w:tcPr>
                  <w:tcW w:w="719" w:type="pct"/>
                  <w:tcBorders>
                    <w:tl2br w:val="nil"/>
                    <w:tr2bl w:val="nil"/>
                  </w:tcBorders>
                  <w:noWrap w:val="0"/>
                  <w:vAlign w:val="center"/>
                </w:tcPr>
                <w:p w14:paraId="6ACDF9A9">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529DFE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19FFD6EF">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vMerge w:val="continue"/>
                  <w:tcBorders>
                    <w:tl2br w:val="nil"/>
                    <w:tr2bl w:val="nil"/>
                  </w:tcBorders>
                  <w:noWrap w:val="0"/>
                  <w:vAlign w:val="center"/>
                </w:tcPr>
                <w:p w14:paraId="736449AB">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2644" w:type="pct"/>
                  <w:tcBorders>
                    <w:tl2br w:val="nil"/>
                    <w:tr2bl w:val="nil"/>
                  </w:tcBorders>
                  <w:noWrap w:val="0"/>
                  <w:tcMar>
                    <w:top w:w="0" w:type="dxa"/>
                    <w:left w:w="108" w:type="dxa"/>
                    <w:bottom w:w="0" w:type="dxa"/>
                    <w:right w:w="108" w:type="dxa"/>
                  </w:tcMar>
                  <w:vAlign w:val="center"/>
                </w:tcPr>
                <w:p w14:paraId="046B4C34">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危险废物</w:t>
                  </w:r>
                  <w:r>
                    <w:rPr>
                      <w:rFonts w:hint="eastAsia"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经收集后暂存危废间</w:t>
                  </w:r>
                  <w:r>
                    <w:rPr>
                      <w:rFonts w:hint="eastAsia" w:ascii="Times New Roman" w:hAnsi="Times New Roman" w:eastAsia="宋体" w:cs="Times New Roman"/>
                      <w:color w:val="auto"/>
                      <w:sz w:val="21"/>
                      <w:szCs w:val="21"/>
                      <w:highlight w:val="none"/>
                      <w:u w:val="none"/>
                      <w:lang w:eastAsia="zh-CN"/>
                    </w:rPr>
                    <w:t>（</w:t>
                  </w:r>
                  <w:r>
                    <w:rPr>
                      <w:rFonts w:hint="eastAsia" w:ascii="Times New Roman" w:hAnsi="Times New Roman" w:eastAsia="宋体" w:cs="Times New Roman"/>
                      <w:color w:val="auto"/>
                      <w:sz w:val="21"/>
                      <w:szCs w:val="21"/>
                      <w:highlight w:val="none"/>
                      <w:u w:val="none"/>
                      <w:lang w:val="en-US" w:eastAsia="zh-CN"/>
                    </w:rPr>
                    <w:t>20m</w:t>
                  </w:r>
                  <w:r>
                    <w:rPr>
                      <w:rFonts w:hint="eastAsia" w:ascii="Times New Roman" w:hAnsi="Times New Roman" w:eastAsia="宋体" w:cs="Times New Roman"/>
                      <w:color w:val="auto"/>
                      <w:sz w:val="21"/>
                      <w:szCs w:val="21"/>
                      <w:highlight w:val="none"/>
                      <w:u w:val="none"/>
                      <w:vertAlign w:val="superscript"/>
                      <w:lang w:val="en-US" w:eastAsia="zh-CN"/>
                    </w:rPr>
                    <w:t>2</w:t>
                  </w:r>
                  <w:r>
                    <w:rPr>
                      <w:rFonts w:hint="eastAsia"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，委托有资质单位处理</w:t>
                  </w:r>
                </w:p>
              </w:tc>
              <w:tc>
                <w:tcPr>
                  <w:tcW w:w="719" w:type="pct"/>
                  <w:tcBorders>
                    <w:tl2br w:val="nil"/>
                    <w:tr2bl w:val="nil"/>
                  </w:tcBorders>
                  <w:noWrap w:val="0"/>
                  <w:vAlign w:val="center"/>
                </w:tcPr>
                <w:p w14:paraId="67D5F4AF">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r w14:paraId="761898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trPr>
              <w:tc>
                <w:tcPr>
                  <w:tcW w:w="664" w:type="pct"/>
                  <w:vMerge w:val="continue"/>
                  <w:tcBorders>
                    <w:tl2br w:val="nil"/>
                    <w:tr2bl w:val="nil"/>
                  </w:tcBorders>
                  <w:noWrap w:val="0"/>
                  <w:vAlign w:val="center"/>
                </w:tcPr>
                <w:p w14:paraId="5B30F212">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kern w:val="0"/>
                      <w:sz w:val="21"/>
                      <w:szCs w:val="21"/>
                      <w:highlight w:val="none"/>
                      <w:u w:val="none"/>
                    </w:rPr>
                  </w:pPr>
                </w:p>
              </w:tc>
              <w:tc>
                <w:tcPr>
                  <w:tcW w:w="971" w:type="pct"/>
                  <w:tcBorders>
                    <w:tl2br w:val="nil"/>
                    <w:tr2bl w:val="nil"/>
                  </w:tcBorders>
                  <w:noWrap w:val="0"/>
                  <w:tcMar>
                    <w:top w:w="0" w:type="dxa"/>
                    <w:left w:w="108" w:type="dxa"/>
                    <w:bottom w:w="0" w:type="dxa"/>
                    <w:right w:w="108" w:type="dxa"/>
                  </w:tcMar>
                  <w:vAlign w:val="center"/>
                </w:tcPr>
                <w:p w14:paraId="55C79BAF">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噪声</w:t>
                  </w:r>
                </w:p>
              </w:tc>
              <w:tc>
                <w:tcPr>
                  <w:tcW w:w="2644" w:type="pct"/>
                  <w:tcBorders>
                    <w:tl2br w:val="nil"/>
                    <w:tr2bl w:val="nil"/>
                  </w:tcBorders>
                  <w:noWrap w:val="0"/>
                  <w:tcMar>
                    <w:top w:w="0" w:type="dxa"/>
                    <w:left w:w="108" w:type="dxa"/>
                    <w:bottom w:w="0" w:type="dxa"/>
                    <w:right w:w="108" w:type="dxa"/>
                  </w:tcMar>
                  <w:vAlign w:val="center"/>
                </w:tcPr>
                <w:p w14:paraId="49AAB882">
                  <w:pPr>
                    <w:pStyle w:val="99"/>
                    <w:keepNext w:val="0"/>
                    <w:keepLines w:val="0"/>
                    <w:pageBreakBefore w:val="0"/>
                    <w:suppressLineNumbers w:val="0"/>
                    <w:kinsoku/>
                    <w:wordWrap/>
                    <w:overflowPunct/>
                    <w:topLinePunct w:val="0"/>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项目通过封闭生产厂房、对高噪声设备安装减震垫、严格管理运输车辆、厂区实施绿化及距离衰减等措施</w:t>
                  </w:r>
                </w:p>
              </w:tc>
              <w:tc>
                <w:tcPr>
                  <w:tcW w:w="719" w:type="pct"/>
                  <w:tcBorders>
                    <w:tl2br w:val="nil"/>
                    <w:tr2bl w:val="nil"/>
                  </w:tcBorders>
                  <w:noWrap w:val="0"/>
                  <w:vAlign w:val="center"/>
                </w:tcPr>
                <w:p w14:paraId="0843BE75">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新建</w:t>
                  </w:r>
                </w:p>
              </w:tc>
            </w:tr>
          </w:tbl>
          <w:p w14:paraId="7EF02B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、项目</w:t>
            </w:r>
            <w:r>
              <w:rPr>
                <w:rFonts w:hint="default" w:ascii="Times New Roman" w:hAnsi="Times New Roman" w:cs="Times New Roman"/>
                <w:b/>
                <w:bCs/>
                <w:color w:val="auto"/>
                <w:sz w:val="24"/>
                <w:szCs w:val="24"/>
                <w:highlight w:val="none"/>
                <w:lang w:eastAsia="zh-CN"/>
              </w:rPr>
              <w:t>主要</w:t>
            </w:r>
            <w:r>
              <w:rPr>
                <w:rFonts w:hint="default" w:ascii="Times New Roman" w:hAnsi="Times New Roman" w:cs="Times New Roman"/>
                <w:b/>
                <w:bCs/>
                <w:color w:val="auto"/>
                <w:sz w:val="24"/>
                <w:szCs w:val="24"/>
                <w:highlight w:val="none"/>
              </w:rPr>
              <w:t>产品及</w:t>
            </w:r>
            <w:r>
              <w:rPr>
                <w:rFonts w:hint="default" w:ascii="Times New Roman" w:hAnsi="Times New Roman" w:cs="Times New Roman"/>
                <w:b/>
                <w:bCs/>
                <w:color w:val="auto"/>
                <w:sz w:val="24"/>
                <w:szCs w:val="24"/>
                <w:highlight w:val="none"/>
                <w:lang w:eastAsia="zh-CN"/>
              </w:rPr>
              <w:t>产能</w:t>
            </w:r>
          </w:p>
          <w:p w14:paraId="684718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本项目主要产品方案见下表。</w:t>
            </w:r>
          </w:p>
          <w:p w14:paraId="2FBDE3D2">
            <w:pPr>
              <w:keepNext w:val="0"/>
              <w:keepLines w:val="0"/>
              <w:pageBreakBefore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b/>
                <w:color w:val="auto"/>
              </w:rPr>
              <w:t>表2-</w:t>
            </w:r>
            <w:r>
              <w:rPr>
                <w:rFonts w:hint="eastAsia" w:ascii="Times New Roman" w:hAnsi="Times New Roman" w:eastAsia="宋体" w:cs="Times New Roman"/>
                <w:b/>
                <w:color w:val="auto"/>
                <w:lang w:val="en-US" w:eastAsia="zh-CN"/>
              </w:rPr>
              <w:t xml:space="preserve">2  </w:t>
            </w:r>
            <w:r>
              <w:rPr>
                <w:rFonts w:hint="default" w:ascii="Times New Roman" w:hAnsi="Times New Roman" w:eastAsia="宋体" w:cs="Times New Roman"/>
                <w:b/>
                <w:color w:val="auto"/>
              </w:rPr>
              <w:t>项目产品方案一览表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6"/>
              <w:gridCol w:w="1634"/>
              <w:gridCol w:w="1104"/>
              <w:gridCol w:w="927"/>
              <w:gridCol w:w="1369"/>
              <w:gridCol w:w="2404"/>
            </w:tblGrid>
            <w:tr w14:paraId="542456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tcBorders>
                    <w:tl2br w:val="nil"/>
                    <w:tr2bl w:val="nil"/>
                  </w:tcBorders>
                  <w:shd w:val="clear" w:color="auto" w:fill="auto"/>
                  <w:vAlign w:val="center"/>
                </w:tcPr>
                <w:p w14:paraId="11EC0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1002" w:type="pct"/>
                  <w:tcBorders>
                    <w:tl2br w:val="nil"/>
                    <w:tr2bl w:val="nil"/>
                  </w:tcBorders>
                  <w:shd w:val="clear" w:color="auto" w:fill="auto"/>
                  <w:vAlign w:val="center"/>
                </w:tcPr>
                <w:p w14:paraId="53D1CB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生产线名称</w:t>
                  </w:r>
                </w:p>
              </w:tc>
              <w:tc>
                <w:tcPr>
                  <w:tcW w:w="677" w:type="pct"/>
                  <w:tcBorders>
                    <w:tl2br w:val="nil"/>
                    <w:tr2bl w:val="nil"/>
                  </w:tcBorders>
                  <w:shd w:val="clear" w:color="auto" w:fill="auto"/>
                  <w:vAlign w:val="center"/>
                </w:tcPr>
                <w:p w14:paraId="159859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产品</w:t>
                  </w:r>
                </w:p>
              </w:tc>
              <w:tc>
                <w:tcPr>
                  <w:tcW w:w="568" w:type="pct"/>
                  <w:tcBorders>
                    <w:tl2br w:val="nil"/>
                    <w:tr2bl w:val="nil"/>
                  </w:tcBorders>
                  <w:shd w:val="clear" w:color="auto" w:fill="auto"/>
                  <w:vAlign w:val="center"/>
                </w:tcPr>
                <w:p w14:paraId="521AB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839" w:type="pct"/>
                  <w:tcBorders>
                    <w:tl2br w:val="nil"/>
                    <w:tr2bl w:val="nil"/>
                  </w:tcBorders>
                  <w:shd w:val="clear" w:color="auto" w:fill="auto"/>
                  <w:vAlign w:val="center"/>
                </w:tcPr>
                <w:p w14:paraId="5C248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数量</w:t>
                  </w:r>
                </w:p>
              </w:tc>
              <w:tc>
                <w:tcPr>
                  <w:tcW w:w="1474" w:type="pct"/>
                  <w:tcBorders>
                    <w:tl2br w:val="nil"/>
                    <w:tr2bl w:val="nil"/>
                  </w:tcBorders>
                  <w:shd w:val="clear" w:color="auto" w:fill="auto"/>
                  <w:vAlign w:val="center"/>
                </w:tcPr>
                <w:p w14:paraId="359D4E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说明</w:t>
                  </w:r>
                </w:p>
              </w:tc>
            </w:tr>
            <w:tr w14:paraId="41AD05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9" w:type="pct"/>
                  <w:tcBorders>
                    <w:tl2br w:val="nil"/>
                    <w:tr2bl w:val="nil"/>
                  </w:tcBorders>
                  <w:shd w:val="clear" w:color="auto" w:fill="auto"/>
                  <w:vAlign w:val="center"/>
                </w:tcPr>
                <w:p w14:paraId="78694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02" w:type="pct"/>
                  <w:tcBorders>
                    <w:tl2br w:val="nil"/>
                    <w:tr2bl w:val="nil"/>
                  </w:tcBorders>
                  <w:shd w:val="clear" w:color="auto" w:fill="auto"/>
                  <w:vAlign w:val="center"/>
                </w:tcPr>
                <w:p w14:paraId="138BC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复合膜印刷线1</w:t>
                  </w:r>
                </w:p>
              </w:tc>
              <w:tc>
                <w:tcPr>
                  <w:tcW w:w="677" w:type="pct"/>
                  <w:tcBorders>
                    <w:tl2br w:val="nil"/>
                    <w:tr2bl w:val="nil"/>
                  </w:tcBorders>
                  <w:shd w:val="clear" w:color="auto" w:fill="auto"/>
                  <w:vAlign w:val="center"/>
                </w:tcPr>
                <w:p w14:paraId="0D183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复合膜</w:t>
                  </w:r>
                </w:p>
              </w:tc>
              <w:tc>
                <w:tcPr>
                  <w:tcW w:w="568" w:type="pct"/>
                  <w:tcBorders>
                    <w:tl2br w:val="nil"/>
                    <w:tr2bl w:val="nil"/>
                  </w:tcBorders>
                  <w:shd w:val="clear" w:color="auto" w:fill="auto"/>
                  <w:vAlign w:val="center"/>
                </w:tcPr>
                <w:p w14:paraId="3B7C1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10303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w:t>
                  </w:r>
                  <w:r>
                    <w:rPr>
                      <w:rFonts w:hint="default" w:ascii="Times New Roman" w:hAnsi="Times New Roman" w:eastAsia="宋体" w:cs="Times New Roman"/>
                      <w:i w:val="0"/>
                      <w:iCs w:val="0"/>
                      <w:color w:val="103030"/>
                      <w:kern w:val="0"/>
                      <w:sz w:val="21"/>
                      <w:szCs w:val="21"/>
                      <w:u w:val="none"/>
                      <w:lang w:val="en-US" w:eastAsia="zh-CN" w:bidi="ar"/>
                    </w:rPr>
                    <w:t>a</w:t>
                  </w:r>
                </w:p>
              </w:tc>
              <w:tc>
                <w:tcPr>
                  <w:tcW w:w="839" w:type="pct"/>
                  <w:tcBorders>
                    <w:tl2br w:val="nil"/>
                    <w:tr2bl w:val="nil"/>
                  </w:tcBorders>
                  <w:shd w:val="clear" w:color="auto" w:fill="auto"/>
                  <w:vAlign w:val="center"/>
                </w:tcPr>
                <w:p w14:paraId="762F7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474" w:type="pct"/>
                  <w:tcBorders>
                    <w:tl2br w:val="nil"/>
                    <w:tr2bl w:val="nil"/>
                  </w:tcBorders>
                  <w:shd w:val="clear" w:color="auto" w:fill="auto"/>
                  <w:vAlign w:val="center"/>
                </w:tcPr>
                <w:p w14:paraId="0F434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r w14:paraId="230A65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tcBorders>
                    <w:tl2br w:val="nil"/>
                    <w:tr2bl w:val="nil"/>
                  </w:tcBorders>
                  <w:shd w:val="clear" w:color="auto" w:fill="auto"/>
                  <w:vAlign w:val="center"/>
                </w:tcPr>
                <w:p w14:paraId="0C3B0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002" w:type="pct"/>
                  <w:tcBorders>
                    <w:tl2br w:val="nil"/>
                    <w:tr2bl w:val="nil"/>
                  </w:tcBorders>
                  <w:shd w:val="clear" w:color="auto" w:fill="auto"/>
                  <w:vAlign w:val="center"/>
                </w:tcPr>
                <w:p w14:paraId="05673F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复合膜印刷线2</w:t>
                  </w:r>
                </w:p>
              </w:tc>
              <w:tc>
                <w:tcPr>
                  <w:tcW w:w="677" w:type="pct"/>
                  <w:tcBorders>
                    <w:tl2br w:val="nil"/>
                    <w:tr2bl w:val="nil"/>
                  </w:tcBorders>
                  <w:shd w:val="clear" w:color="auto" w:fill="auto"/>
                  <w:vAlign w:val="center"/>
                </w:tcPr>
                <w:p w14:paraId="20D34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栓剂片材</w:t>
                  </w:r>
                </w:p>
              </w:tc>
              <w:tc>
                <w:tcPr>
                  <w:tcW w:w="568" w:type="pct"/>
                  <w:tcBorders>
                    <w:tl2br w:val="nil"/>
                    <w:tr2bl w:val="nil"/>
                  </w:tcBorders>
                  <w:shd w:val="clear" w:color="auto" w:fill="auto"/>
                  <w:vAlign w:val="center"/>
                </w:tcPr>
                <w:p w14:paraId="61F337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10303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w:t>
                  </w:r>
                  <w:r>
                    <w:rPr>
                      <w:rFonts w:hint="default" w:ascii="Times New Roman" w:hAnsi="Times New Roman" w:eastAsia="宋体" w:cs="Times New Roman"/>
                      <w:i w:val="0"/>
                      <w:iCs w:val="0"/>
                      <w:color w:val="103030"/>
                      <w:kern w:val="0"/>
                      <w:sz w:val="21"/>
                      <w:szCs w:val="21"/>
                      <w:u w:val="none"/>
                      <w:lang w:val="en-US" w:eastAsia="zh-CN" w:bidi="ar"/>
                    </w:rPr>
                    <w:t>a</w:t>
                  </w:r>
                </w:p>
              </w:tc>
              <w:tc>
                <w:tcPr>
                  <w:tcW w:w="839" w:type="pct"/>
                  <w:tcBorders>
                    <w:tl2br w:val="nil"/>
                    <w:tr2bl w:val="nil"/>
                  </w:tcBorders>
                  <w:shd w:val="clear" w:color="auto" w:fill="auto"/>
                  <w:vAlign w:val="center"/>
                </w:tcPr>
                <w:p w14:paraId="69D90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240</w:t>
                  </w:r>
                </w:p>
              </w:tc>
              <w:tc>
                <w:tcPr>
                  <w:tcW w:w="1474" w:type="pct"/>
                  <w:tcBorders>
                    <w:tl2br w:val="nil"/>
                    <w:tr2bl w:val="nil"/>
                  </w:tcBorders>
                  <w:shd w:val="clear" w:color="auto" w:fill="auto"/>
                  <w:vAlign w:val="center"/>
                </w:tcPr>
                <w:p w14:paraId="45A7A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r w14:paraId="39EE04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tcBorders>
                    <w:tl2br w:val="nil"/>
                    <w:tr2bl w:val="nil"/>
                  </w:tcBorders>
                  <w:shd w:val="clear" w:color="auto" w:fill="auto"/>
                  <w:vAlign w:val="center"/>
                </w:tcPr>
                <w:p w14:paraId="5B576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002" w:type="pct"/>
                  <w:tcBorders>
                    <w:tl2br w:val="nil"/>
                    <w:tr2bl w:val="nil"/>
                  </w:tcBorders>
                  <w:shd w:val="clear" w:color="auto" w:fill="auto"/>
                  <w:vAlign w:val="center"/>
                </w:tcPr>
                <w:p w14:paraId="66C15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铝箔印刷线</w:t>
                  </w:r>
                </w:p>
              </w:tc>
              <w:tc>
                <w:tcPr>
                  <w:tcW w:w="677" w:type="pct"/>
                  <w:tcBorders>
                    <w:tl2br w:val="nil"/>
                    <w:tr2bl w:val="nil"/>
                  </w:tcBorders>
                  <w:shd w:val="clear" w:color="auto" w:fill="auto"/>
                  <w:vAlign w:val="center"/>
                </w:tcPr>
                <w:p w14:paraId="0C623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铝箔膜</w:t>
                  </w:r>
                </w:p>
              </w:tc>
              <w:tc>
                <w:tcPr>
                  <w:tcW w:w="568" w:type="pct"/>
                  <w:tcBorders>
                    <w:tl2br w:val="nil"/>
                    <w:tr2bl w:val="nil"/>
                  </w:tcBorders>
                  <w:shd w:val="clear" w:color="auto" w:fill="auto"/>
                  <w:vAlign w:val="center"/>
                </w:tcPr>
                <w:p w14:paraId="4DA990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839" w:type="pct"/>
                  <w:tcBorders>
                    <w:tl2br w:val="nil"/>
                    <w:tr2bl w:val="nil"/>
                  </w:tcBorders>
                  <w:shd w:val="clear" w:color="auto" w:fill="auto"/>
                  <w:vAlign w:val="center"/>
                </w:tcPr>
                <w:p w14:paraId="5134D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1474" w:type="pct"/>
                  <w:tcBorders>
                    <w:tl2br w:val="nil"/>
                    <w:tr2bl w:val="nil"/>
                  </w:tcBorders>
                  <w:shd w:val="clear" w:color="auto" w:fill="auto"/>
                  <w:vAlign w:val="center"/>
                </w:tcPr>
                <w:p w14:paraId="72E50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20304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r w14:paraId="37F036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vMerge w:val="restart"/>
                  <w:tcBorders>
                    <w:tl2br w:val="nil"/>
                    <w:tr2bl w:val="nil"/>
                  </w:tcBorders>
                  <w:shd w:val="clear" w:color="auto" w:fill="auto"/>
                  <w:vAlign w:val="center"/>
                </w:tcPr>
                <w:p w14:paraId="1913D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002" w:type="pct"/>
                  <w:vMerge w:val="restart"/>
                  <w:tcBorders>
                    <w:tl2br w:val="nil"/>
                    <w:tr2bl w:val="nil"/>
                  </w:tcBorders>
                  <w:shd w:val="clear" w:color="auto" w:fill="auto"/>
                  <w:vAlign w:val="center"/>
                </w:tcPr>
                <w:p w14:paraId="2CB60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PE膜生产线</w:t>
                  </w:r>
                </w:p>
              </w:tc>
              <w:tc>
                <w:tcPr>
                  <w:tcW w:w="677" w:type="pct"/>
                  <w:tcBorders>
                    <w:tl2br w:val="nil"/>
                    <w:tr2bl w:val="nil"/>
                  </w:tcBorders>
                  <w:shd w:val="clear" w:color="auto" w:fill="auto"/>
                  <w:vAlign w:val="center"/>
                </w:tcPr>
                <w:p w14:paraId="55550D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 E 膜</w:t>
                  </w:r>
                </w:p>
              </w:tc>
              <w:tc>
                <w:tcPr>
                  <w:tcW w:w="568" w:type="pct"/>
                  <w:tcBorders>
                    <w:tl2br w:val="nil"/>
                    <w:tr2bl w:val="nil"/>
                  </w:tcBorders>
                  <w:shd w:val="clear" w:color="auto" w:fill="auto"/>
                  <w:vAlign w:val="center"/>
                </w:tcPr>
                <w:p w14:paraId="23FE0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839" w:type="pct"/>
                  <w:tcBorders>
                    <w:tl2br w:val="nil"/>
                    <w:tr2bl w:val="nil"/>
                  </w:tcBorders>
                  <w:shd w:val="clear" w:color="auto" w:fill="auto"/>
                  <w:vAlign w:val="center"/>
                </w:tcPr>
                <w:p w14:paraId="3BCF7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150</w:t>
                  </w:r>
                </w:p>
              </w:tc>
              <w:tc>
                <w:tcPr>
                  <w:tcW w:w="1474" w:type="pct"/>
                  <w:tcBorders>
                    <w:tl2br w:val="nil"/>
                    <w:tr2bl w:val="nil"/>
                  </w:tcBorders>
                  <w:shd w:val="clear" w:color="auto" w:fill="auto"/>
                  <w:vAlign w:val="center"/>
                </w:tcPr>
                <w:p w14:paraId="01400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用于生产复合膜</w:t>
                  </w:r>
                  <w:r>
                    <w:rPr>
                      <w:rFonts w:hint="eastAsia" w:ascii="Times New Roman" w:hAnsi="Times New Roman" w:eastAsia="宋体" w:cs="Times New Roman"/>
                      <w:i w:val="0"/>
                      <w:iCs w:val="0"/>
                      <w:color w:val="000000"/>
                      <w:kern w:val="0"/>
                      <w:sz w:val="21"/>
                      <w:szCs w:val="21"/>
                      <w:u w:val="none"/>
                      <w:lang w:val="en-US" w:eastAsia="zh-CN" w:bidi="ar"/>
                    </w:rPr>
                    <w:t>，不外售</w:t>
                  </w:r>
                </w:p>
              </w:tc>
            </w:tr>
            <w:tr w14:paraId="5ED80E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vMerge w:val="continue"/>
                  <w:tcBorders>
                    <w:tl2br w:val="nil"/>
                    <w:tr2bl w:val="nil"/>
                  </w:tcBorders>
                  <w:shd w:val="clear" w:color="auto" w:fill="auto"/>
                  <w:vAlign w:val="center"/>
                </w:tcPr>
                <w:p w14:paraId="211F0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1002" w:type="pct"/>
                  <w:vMerge w:val="continue"/>
                  <w:tcBorders>
                    <w:tl2br w:val="nil"/>
                    <w:tr2bl w:val="nil"/>
                  </w:tcBorders>
                  <w:shd w:val="clear" w:color="auto" w:fill="auto"/>
                  <w:vAlign w:val="center"/>
                </w:tcPr>
                <w:p w14:paraId="37054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677" w:type="pct"/>
                  <w:tcBorders>
                    <w:tl2br w:val="nil"/>
                    <w:tr2bl w:val="nil"/>
                  </w:tcBorders>
                  <w:shd w:val="clear" w:color="auto" w:fill="auto"/>
                  <w:vAlign w:val="center"/>
                </w:tcPr>
                <w:p w14:paraId="0B6C90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 E 袋</w:t>
                  </w:r>
                </w:p>
              </w:tc>
              <w:tc>
                <w:tcPr>
                  <w:tcW w:w="568" w:type="pct"/>
                  <w:tcBorders>
                    <w:tl2br w:val="nil"/>
                    <w:tr2bl w:val="nil"/>
                  </w:tcBorders>
                  <w:shd w:val="clear" w:color="auto" w:fill="auto"/>
                  <w:vAlign w:val="center"/>
                </w:tcPr>
                <w:p w14:paraId="7E9B7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20304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w:t>
                  </w:r>
                  <w:r>
                    <w:rPr>
                      <w:rFonts w:hint="default" w:ascii="Times New Roman" w:hAnsi="Times New Roman" w:eastAsia="宋体" w:cs="Times New Roman"/>
                      <w:i w:val="0"/>
                      <w:iCs w:val="0"/>
                      <w:color w:val="203040"/>
                      <w:kern w:val="0"/>
                      <w:sz w:val="21"/>
                      <w:szCs w:val="21"/>
                      <w:u w:val="none"/>
                      <w:lang w:val="en-US" w:eastAsia="zh-CN" w:bidi="ar"/>
                    </w:rPr>
                    <w:t>a</w:t>
                  </w:r>
                </w:p>
              </w:tc>
              <w:tc>
                <w:tcPr>
                  <w:tcW w:w="839" w:type="pct"/>
                  <w:tcBorders>
                    <w:tl2br w:val="nil"/>
                    <w:tr2bl w:val="nil"/>
                  </w:tcBorders>
                  <w:shd w:val="clear" w:color="auto" w:fill="auto"/>
                  <w:vAlign w:val="center"/>
                </w:tcPr>
                <w:p w14:paraId="55635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1</w:t>
                  </w:r>
                  <w:r>
                    <w:rPr>
                      <w:rFonts w:hint="default" w:ascii="Times New Roman" w:hAnsi="Times New Roman" w:eastAsia="宋体" w:cs="Times New Roman"/>
                      <w:i w:val="0"/>
                      <w:iCs w:val="0"/>
                      <w:color w:val="auto"/>
                      <w:kern w:val="0"/>
                      <w:sz w:val="21"/>
                      <w:szCs w:val="21"/>
                      <w:u w:val="none"/>
                      <w:lang w:val="en-US" w:eastAsia="zh-CN" w:bidi="ar"/>
                    </w:rPr>
                    <w:t>50</w:t>
                  </w:r>
                </w:p>
              </w:tc>
              <w:tc>
                <w:tcPr>
                  <w:tcW w:w="1474" w:type="pct"/>
                  <w:tcBorders>
                    <w:tl2br w:val="nil"/>
                    <w:tr2bl w:val="nil"/>
                  </w:tcBorders>
                  <w:shd w:val="clear" w:color="auto" w:fill="auto"/>
                  <w:vAlign w:val="center"/>
                </w:tcPr>
                <w:p w14:paraId="6E584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r w14:paraId="5F6892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vMerge w:val="continue"/>
                  <w:tcBorders>
                    <w:tl2br w:val="nil"/>
                    <w:tr2bl w:val="nil"/>
                  </w:tcBorders>
                  <w:shd w:val="clear" w:color="auto" w:fill="auto"/>
                  <w:vAlign w:val="center"/>
                </w:tcPr>
                <w:p w14:paraId="44299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1002" w:type="pct"/>
                  <w:vMerge w:val="continue"/>
                  <w:tcBorders>
                    <w:tl2br w:val="nil"/>
                    <w:tr2bl w:val="nil"/>
                  </w:tcBorders>
                  <w:shd w:val="clear" w:color="auto" w:fill="auto"/>
                  <w:vAlign w:val="center"/>
                </w:tcPr>
                <w:p w14:paraId="48767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677" w:type="pct"/>
                  <w:tcBorders>
                    <w:tl2br w:val="nil"/>
                    <w:tr2bl w:val="nil"/>
                  </w:tcBorders>
                  <w:shd w:val="clear" w:color="auto" w:fill="auto"/>
                  <w:vAlign w:val="center"/>
                </w:tcPr>
                <w:p w14:paraId="248D28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 E 膜</w:t>
                  </w:r>
                </w:p>
              </w:tc>
              <w:tc>
                <w:tcPr>
                  <w:tcW w:w="568" w:type="pct"/>
                  <w:tcBorders>
                    <w:tl2br w:val="nil"/>
                    <w:tr2bl w:val="nil"/>
                  </w:tcBorders>
                  <w:shd w:val="clear" w:color="auto" w:fill="auto"/>
                  <w:vAlign w:val="center"/>
                </w:tcPr>
                <w:p w14:paraId="3D1584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839" w:type="pct"/>
                  <w:tcBorders>
                    <w:tl2br w:val="nil"/>
                    <w:tr2bl w:val="nil"/>
                  </w:tcBorders>
                  <w:shd w:val="clear" w:color="auto" w:fill="auto"/>
                  <w:vAlign w:val="center"/>
                </w:tcPr>
                <w:p w14:paraId="2951A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4</w:t>
                  </w:r>
                  <w:r>
                    <w:rPr>
                      <w:rFonts w:hint="default" w:ascii="Times New Roman" w:hAnsi="Times New Roman" w:eastAsia="宋体" w:cs="Times New Roman"/>
                      <w:i w:val="0"/>
                      <w:iCs w:val="0"/>
                      <w:color w:val="auto"/>
                      <w:kern w:val="0"/>
                      <w:sz w:val="21"/>
                      <w:szCs w:val="21"/>
                      <w:u w:val="none"/>
                      <w:lang w:val="en-US" w:eastAsia="zh-CN" w:bidi="ar"/>
                    </w:rPr>
                    <w:t>00</w:t>
                  </w:r>
                </w:p>
              </w:tc>
              <w:tc>
                <w:tcPr>
                  <w:tcW w:w="1474" w:type="pct"/>
                  <w:tcBorders>
                    <w:tl2br w:val="nil"/>
                    <w:tr2bl w:val="nil"/>
                  </w:tcBorders>
                  <w:shd w:val="clear" w:color="auto" w:fill="auto"/>
                  <w:vAlign w:val="center"/>
                </w:tcPr>
                <w:p w14:paraId="2D1AA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r w14:paraId="513C55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39" w:type="pct"/>
                  <w:vMerge w:val="continue"/>
                  <w:tcBorders>
                    <w:tl2br w:val="nil"/>
                    <w:tr2bl w:val="nil"/>
                  </w:tcBorders>
                  <w:shd w:val="clear" w:color="auto" w:fill="auto"/>
                  <w:vAlign w:val="center"/>
                </w:tcPr>
                <w:p w14:paraId="16A9F9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p>
              </w:tc>
              <w:tc>
                <w:tcPr>
                  <w:tcW w:w="1002" w:type="pct"/>
                  <w:vMerge w:val="continue"/>
                  <w:tcBorders>
                    <w:tl2br w:val="nil"/>
                    <w:tr2bl w:val="nil"/>
                  </w:tcBorders>
                  <w:shd w:val="clear" w:color="auto" w:fill="auto"/>
                  <w:vAlign w:val="center"/>
                </w:tcPr>
                <w:p w14:paraId="23D74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677" w:type="pct"/>
                  <w:tcBorders>
                    <w:tl2br w:val="nil"/>
                    <w:tr2bl w:val="nil"/>
                  </w:tcBorders>
                  <w:shd w:val="clear" w:color="auto" w:fill="auto"/>
                  <w:vAlign w:val="center"/>
                </w:tcPr>
                <w:p w14:paraId="35B85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总计</w:t>
                  </w:r>
                </w:p>
              </w:tc>
              <w:tc>
                <w:tcPr>
                  <w:tcW w:w="568" w:type="pct"/>
                  <w:tcBorders>
                    <w:tl2br w:val="nil"/>
                    <w:tr2bl w:val="nil"/>
                  </w:tcBorders>
                  <w:shd w:val="clear" w:color="auto" w:fill="auto"/>
                  <w:vAlign w:val="center"/>
                </w:tcPr>
                <w:p w14:paraId="6EB09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839" w:type="pct"/>
                  <w:tcBorders>
                    <w:tl2br w:val="nil"/>
                    <w:tr2bl w:val="nil"/>
                  </w:tcBorders>
                  <w:shd w:val="clear" w:color="auto" w:fill="auto"/>
                  <w:vAlign w:val="center"/>
                </w:tcPr>
                <w:p w14:paraId="7ECCF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7</w:t>
                  </w:r>
                  <w:r>
                    <w:rPr>
                      <w:rFonts w:hint="default" w:ascii="Times New Roman" w:hAnsi="Times New Roman" w:eastAsia="宋体" w:cs="Times New Roman"/>
                      <w:i w:val="0"/>
                      <w:iCs w:val="0"/>
                      <w:color w:val="auto"/>
                      <w:kern w:val="0"/>
                      <w:sz w:val="21"/>
                      <w:szCs w:val="21"/>
                      <w:u w:val="none"/>
                      <w:lang w:val="en-US" w:eastAsia="zh-CN" w:bidi="ar"/>
                    </w:rPr>
                    <w:t>00</w:t>
                  </w:r>
                </w:p>
              </w:tc>
              <w:tc>
                <w:tcPr>
                  <w:tcW w:w="1474" w:type="pct"/>
                  <w:tcBorders>
                    <w:tl2br w:val="nil"/>
                    <w:tr2bl w:val="nil"/>
                  </w:tcBorders>
                  <w:shd w:val="clear" w:color="auto" w:fill="auto"/>
                  <w:vAlign w:val="center"/>
                </w:tcPr>
                <w:p w14:paraId="41B25B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203040"/>
                      <w:kern w:val="0"/>
                      <w:sz w:val="21"/>
                      <w:szCs w:val="21"/>
                      <w:u w:val="none"/>
                      <w:lang w:val="en-US" w:eastAsia="zh-CN" w:bidi="ar"/>
                    </w:rPr>
                    <w:t>/</w:t>
                  </w:r>
                </w:p>
              </w:tc>
            </w:tr>
          </w:tbl>
          <w:p w14:paraId="58004E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imes New Roman" w:hAnsi="Times New Roman" w:cs="Times New Roman"/>
                <w:b/>
                <w:bCs/>
                <w:color w:val="auto"/>
                <w:sz w:val="24"/>
                <w:szCs w:val="24"/>
                <w:highlight w:val="none"/>
                <w:lang w:val="en-US" w:eastAsia="zh-CN"/>
              </w:rPr>
            </w:pPr>
          </w:p>
          <w:p w14:paraId="0FD22C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rPr>
              <w:t>、项目主要</w:t>
            </w:r>
            <w:r>
              <w:rPr>
                <w:rFonts w:hint="default" w:ascii="Times New Roman" w:hAnsi="Times New Roman" w:cs="Times New Roman"/>
                <w:b/>
                <w:bCs/>
                <w:color w:val="auto"/>
                <w:sz w:val="24"/>
                <w:szCs w:val="24"/>
                <w:highlight w:val="none"/>
                <w:lang w:eastAsia="zh-CN"/>
              </w:rPr>
              <w:t>生产</w:t>
            </w:r>
            <w:r>
              <w:rPr>
                <w:rFonts w:hint="default" w:ascii="Times New Roman" w:hAnsi="Times New Roman" w:cs="Times New Roman"/>
                <w:b/>
                <w:bCs/>
                <w:color w:val="auto"/>
                <w:sz w:val="24"/>
                <w:szCs w:val="24"/>
                <w:highlight w:val="none"/>
              </w:rPr>
              <w:t>设施</w:t>
            </w:r>
          </w:p>
          <w:p w14:paraId="26411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项目主要</w:t>
            </w:r>
            <w:r>
              <w:rPr>
                <w:rFonts w:hint="default" w:ascii="Times New Roman" w:hAnsi="Times New Roman" w:cs="Times New Roman"/>
                <w:color w:val="auto"/>
                <w:sz w:val="24"/>
                <w:szCs w:val="24"/>
                <w:highlight w:val="none"/>
                <w:lang w:eastAsia="zh-CN"/>
              </w:rPr>
              <w:t>生产</w:t>
            </w:r>
            <w:r>
              <w:rPr>
                <w:rFonts w:hint="default" w:ascii="Times New Roman" w:hAnsi="Times New Roman" w:cs="Times New Roman"/>
                <w:color w:val="auto"/>
                <w:sz w:val="24"/>
                <w:szCs w:val="24"/>
                <w:highlight w:val="none"/>
              </w:rPr>
              <w:t>设施详见下表：</w:t>
            </w:r>
          </w:p>
          <w:p w14:paraId="34719D55">
            <w:pPr>
              <w:keepNext w:val="0"/>
              <w:keepLines w:val="0"/>
              <w:pageBreakBefore w:val="0"/>
              <w:widowControl/>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表2-</w:t>
            </w:r>
            <w:r>
              <w:rPr>
                <w:rFonts w:hint="eastAsia" w:ascii="Times New Roman" w:hAnsi="Times New Roman" w:cs="Times New Roman"/>
                <w:b/>
                <w:bCs/>
                <w:color w:val="auto"/>
                <w:highlight w:val="none"/>
                <w:lang w:val="en-US" w:eastAsia="zh-CN"/>
              </w:rPr>
              <w:t>3</w:t>
            </w:r>
            <w:r>
              <w:rPr>
                <w:rFonts w:hint="default" w:ascii="Times New Roman" w:hAnsi="Times New Roman" w:cs="Times New Roman"/>
                <w:b/>
                <w:bCs/>
                <w:color w:val="auto"/>
                <w:highlight w:val="none"/>
              </w:rPr>
              <w:t xml:space="preserve">  项目主要</w:t>
            </w:r>
            <w:r>
              <w:rPr>
                <w:rFonts w:hint="default" w:ascii="Times New Roman" w:hAnsi="Times New Roman" w:cs="Times New Roman"/>
                <w:b/>
                <w:bCs/>
                <w:color w:val="auto"/>
                <w:highlight w:val="none"/>
                <w:lang w:eastAsia="zh-CN"/>
              </w:rPr>
              <w:t>生产</w:t>
            </w:r>
            <w:r>
              <w:rPr>
                <w:rFonts w:hint="default" w:ascii="Times New Roman" w:hAnsi="Times New Roman" w:cs="Times New Roman"/>
                <w:b/>
                <w:bCs/>
                <w:color w:val="auto"/>
                <w:highlight w:val="none"/>
              </w:rPr>
              <w:t>设施一览表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118"/>
              <w:gridCol w:w="2083"/>
              <w:gridCol w:w="670"/>
              <w:gridCol w:w="675"/>
              <w:gridCol w:w="1608"/>
            </w:tblGrid>
            <w:tr w14:paraId="3572A6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1911" w:type="pct"/>
                  <w:vMerge w:val="restart"/>
                  <w:tcBorders>
                    <w:tl2br w:val="nil"/>
                    <w:tr2bl w:val="nil"/>
                  </w:tcBorders>
                  <w:shd w:val="clear" w:color="auto" w:fill="auto"/>
                  <w:vAlign w:val="center"/>
                </w:tcPr>
                <w:p w14:paraId="2EBEC8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设备名称</w:t>
                  </w:r>
                </w:p>
              </w:tc>
              <w:tc>
                <w:tcPr>
                  <w:tcW w:w="1277" w:type="pct"/>
                  <w:vMerge w:val="restart"/>
                  <w:tcBorders>
                    <w:tl2br w:val="nil"/>
                    <w:tr2bl w:val="nil"/>
                  </w:tcBorders>
                  <w:shd w:val="clear" w:color="auto" w:fill="auto"/>
                  <w:vAlign w:val="center"/>
                </w:tcPr>
                <w:p w14:paraId="6E510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规格及型号</w:t>
                  </w:r>
                </w:p>
              </w:tc>
              <w:tc>
                <w:tcPr>
                  <w:tcW w:w="410" w:type="pct"/>
                  <w:vMerge w:val="restart"/>
                  <w:tcBorders>
                    <w:tl2br w:val="nil"/>
                    <w:tr2bl w:val="nil"/>
                  </w:tcBorders>
                  <w:shd w:val="clear" w:color="auto" w:fill="auto"/>
                  <w:vAlign w:val="center"/>
                </w:tcPr>
                <w:p w14:paraId="4A32D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413" w:type="pct"/>
                  <w:vMerge w:val="restart"/>
                  <w:tcBorders>
                    <w:tl2br w:val="nil"/>
                    <w:tr2bl w:val="nil"/>
                  </w:tcBorders>
                  <w:shd w:val="clear" w:color="auto" w:fill="auto"/>
                  <w:vAlign w:val="center"/>
                </w:tcPr>
                <w:p w14:paraId="3BCC5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数量</w:t>
                  </w:r>
                </w:p>
              </w:tc>
              <w:tc>
                <w:tcPr>
                  <w:tcW w:w="986" w:type="pct"/>
                  <w:vMerge w:val="restart"/>
                  <w:tcBorders>
                    <w:tl2br w:val="nil"/>
                    <w:tr2bl w:val="nil"/>
                  </w:tcBorders>
                  <w:shd w:val="clear" w:color="auto" w:fill="auto"/>
                  <w:vAlign w:val="center"/>
                </w:tcPr>
                <w:p w14:paraId="6C243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使用部门</w:t>
                  </w:r>
                </w:p>
              </w:tc>
            </w:tr>
            <w:tr w14:paraId="4F075F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vMerge w:val="continue"/>
                  <w:tcBorders>
                    <w:tl2br w:val="nil"/>
                    <w:tr2bl w:val="nil"/>
                  </w:tcBorders>
                  <w:shd w:val="clear" w:color="auto" w:fill="auto"/>
                  <w:vAlign w:val="center"/>
                </w:tcPr>
                <w:p w14:paraId="04F889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b/>
                      <w:bCs/>
                      <w:i w:val="0"/>
                      <w:iCs w:val="0"/>
                      <w:color w:val="000000"/>
                      <w:sz w:val="21"/>
                      <w:szCs w:val="21"/>
                      <w:u w:val="none"/>
                    </w:rPr>
                  </w:pPr>
                </w:p>
              </w:tc>
              <w:tc>
                <w:tcPr>
                  <w:tcW w:w="1277" w:type="pct"/>
                  <w:vMerge w:val="continue"/>
                  <w:tcBorders>
                    <w:tl2br w:val="nil"/>
                    <w:tr2bl w:val="nil"/>
                  </w:tcBorders>
                  <w:shd w:val="clear" w:color="auto" w:fill="auto"/>
                  <w:vAlign w:val="center"/>
                </w:tcPr>
                <w:p w14:paraId="73B65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b/>
                      <w:bCs/>
                      <w:i w:val="0"/>
                      <w:iCs w:val="0"/>
                      <w:color w:val="000000"/>
                      <w:sz w:val="21"/>
                      <w:szCs w:val="21"/>
                      <w:u w:val="none"/>
                    </w:rPr>
                  </w:pPr>
                </w:p>
              </w:tc>
              <w:tc>
                <w:tcPr>
                  <w:tcW w:w="410" w:type="pct"/>
                  <w:vMerge w:val="continue"/>
                  <w:tcBorders>
                    <w:tl2br w:val="nil"/>
                    <w:tr2bl w:val="nil"/>
                  </w:tcBorders>
                  <w:shd w:val="clear" w:color="auto" w:fill="auto"/>
                  <w:vAlign w:val="center"/>
                </w:tcPr>
                <w:p w14:paraId="2D2BA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b/>
                      <w:bCs/>
                      <w:i w:val="0"/>
                      <w:iCs w:val="0"/>
                      <w:color w:val="000000"/>
                      <w:sz w:val="21"/>
                      <w:szCs w:val="21"/>
                      <w:u w:val="none"/>
                    </w:rPr>
                  </w:pPr>
                </w:p>
              </w:tc>
              <w:tc>
                <w:tcPr>
                  <w:tcW w:w="413" w:type="pct"/>
                  <w:vMerge w:val="continue"/>
                  <w:tcBorders>
                    <w:tl2br w:val="nil"/>
                    <w:tr2bl w:val="nil"/>
                  </w:tcBorders>
                  <w:shd w:val="clear" w:color="auto" w:fill="auto"/>
                  <w:vAlign w:val="center"/>
                </w:tcPr>
                <w:p w14:paraId="7A928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b/>
                      <w:bCs/>
                      <w:i w:val="0"/>
                      <w:iCs w:val="0"/>
                      <w:color w:val="000000"/>
                      <w:sz w:val="21"/>
                      <w:szCs w:val="21"/>
                      <w:u w:val="none"/>
                    </w:rPr>
                  </w:pPr>
                </w:p>
              </w:tc>
              <w:tc>
                <w:tcPr>
                  <w:tcW w:w="986" w:type="pct"/>
                  <w:vMerge w:val="continue"/>
                  <w:tcBorders>
                    <w:tl2br w:val="nil"/>
                    <w:tr2bl w:val="nil"/>
                  </w:tcBorders>
                  <w:shd w:val="clear" w:color="auto" w:fill="auto"/>
                  <w:vAlign w:val="center"/>
                </w:tcPr>
                <w:p w14:paraId="23F37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b/>
                      <w:bCs/>
                      <w:i w:val="0"/>
                      <w:iCs w:val="0"/>
                      <w:color w:val="000000"/>
                      <w:sz w:val="21"/>
                      <w:szCs w:val="21"/>
                      <w:u w:val="none"/>
                    </w:rPr>
                  </w:pPr>
                </w:p>
              </w:tc>
            </w:tr>
            <w:tr w14:paraId="6B314D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shd w:val="clear" w:color="auto" w:fill="auto"/>
                  <w:vAlign w:val="center"/>
                </w:tcPr>
                <w:p w14:paraId="6DF8C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(一)复合膜生产设备</w:t>
                  </w:r>
                </w:p>
              </w:tc>
            </w:tr>
            <w:tr w14:paraId="2C4887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75314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机组凹版印刷机</w:t>
                  </w:r>
                </w:p>
              </w:tc>
              <w:tc>
                <w:tcPr>
                  <w:tcW w:w="1277" w:type="pct"/>
                  <w:tcBorders>
                    <w:tl2br w:val="nil"/>
                    <w:tr2bl w:val="nil"/>
                  </w:tcBorders>
                  <w:shd w:val="clear" w:color="auto" w:fill="auto"/>
                  <w:vAlign w:val="center"/>
                </w:tcPr>
                <w:p w14:paraId="5830B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Oty250ew</w:t>
                  </w:r>
                </w:p>
              </w:tc>
              <w:tc>
                <w:tcPr>
                  <w:tcW w:w="410" w:type="pct"/>
                  <w:tcBorders>
                    <w:tl2br w:val="nil"/>
                    <w:tr2bl w:val="nil"/>
                  </w:tcBorders>
                  <w:shd w:val="clear" w:color="auto" w:fill="auto"/>
                  <w:vAlign w:val="center"/>
                </w:tcPr>
                <w:p w14:paraId="5F40E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0C0D2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345A0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印刷车间</w:t>
                  </w:r>
                </w:p>
              </w:tc>
            </w:tr>
            <w:tr w14:paraId="4DD5D6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285048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复卷机</w:t>
                  </w:r>
                </w:p>
              </w:tc>
              <w:tc>
                <w:tcPr>
                  <w:tcW w:w="1277" w:type="pct"/>
                  <w:tcBorders>
                    <w:tl2br w:val="nil"/>
                    <w:tr2bl w:val="nil"/>
                  </w:tcBorders>
                  <w:shd w:val="clear" w:color="auto" w:fill="auto"/>
                  <w:vAlign w:val="center"/>
                </w:tcPr>
                <w:p w14:paraId="12518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ER300</w:t>
                  </w:r>
                </w:p>
              </w:tc>
              <w:tc>
                <w:tcPr>
                  <w:tcW w:w="410" w:type="pct"/>
                  <w:tcBorders>
                    <w:tl2br w:val="nil"/>
                    <w:tr2bl w:val="nil"/>
                  </w:tcBorders>
                  <w:shd w:val="clear" w:color="auto" w:fill="auto"/>
                  <w:vAlign w:val="center"/>
                </w:tcPr>
                <w:p w14:paraId="4301E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0A039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459A3A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印刷车间</w:t>
                  </w:r>
                </w:p>
              </w:tc>
            </w:tr>
            <w:tr w14:paraId="2E5803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6B8E3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离线检测设备</w:t>
                  </w:r>
                </w:p>
              </w:tc>
              <w:tc>
                <w:tcPr>
                  <w:tcW w:w="1277" w:type="pct"/>
                  <w:tcBorders>
                    <w:tl2br w:val="nil"/>
                    <w:tr2bl w:val="nil"/>
                  </w:tcBorders>
                  <w:shd w:val="clear" w:color="auto" w:fill="auto"/>
                  <w:vAlign w:val="center"/>
                </w:tcPr>
                <w:p w14:paraId="006C5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YSPR15070</w:t>
                  </w:r>
                </w:p>
              </w:tc>
              <w:tc>
                <w:tcPr>
                  <w:tcW w:w="410" w:type="pct"/>
                  <w:tcBorders>
                    <w:tl2br w:val="nil"/>
                    <w:tr2bl w:val="nil"/>
                  </w:tcBorders>
                  <w:shd w:val="clear" w:color="auto" w:fill="auto"/>
                  <w:vAlign w:val="center"/>
                </w:tcPr>
                <w:p w14:paraId="4C8B0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1444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EAE9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印刷车间</w:t>
                  </w:r>
                </w:p>
              </w:tc>
            </w:tr>
            <w:tr w14:paraId="115A85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3A794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印刷质量自动检测设备</w:t>
                  </w:r>
                </w:p>
              </w:tc>
              <w:tc>
                <w:tcPr>
                  <w:tcW w:w="1277" w:type="pct"/>
                  <w:tcBorders>
                    <w:tl2br w:val="nil"/>
                    <w:tr2bl w:val="nil"/>
                  </w:tcBorders>
                  <w:shd w:val="clear" w:color="auto" w:fill="auto"/>
                  <w:vAlign w:val="center"/>
                </w:tcPr>
                <w:p w14:paraId="6DCBA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YSPR17048</w:t>
                  </w:r>
                </w:p>
              </w:tc>
              <w:tc>
                <w:tcPr>
                  <w:tcW w:w="410" w:type="pct"/>
                  <w:tcBorders>
                    <w:tl2br w:val="nil"/>
                    <w:tr2bl w:val="nil"/>
                  </w:tcBorders>
                  <w:shd w:val="clear" w:color="auto" w:fill="auto"/>
                  <w:vAlign w:val="center"/>
                </w:tcPr>
                <w:p w14:paraId="10E77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14B93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7EEF6B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印刷车间</w:t>
                  </w:r>
                </w:p>
              </w:tc>
            </w:tr>
            <w:tr w14:paraId="3C620D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75075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复合机</w:t>
                  </w:r>
                </w:p>
              </w:tc>
              <w:tc>
                <w:tcPr>
                  <w:tcW w:w="1277" w:type="pct"/>
                  <w:tcBorders>
                    <w:tl2br w:val="nil"/>
                    <w:tr2bl w:val="nil"/>
                  </w:tcBorders>
                  <w:shd w:val="clear" w:color="auto" w:fill="auto"/>
                  <w:vAlign w:val="center"/>
                </w:tcPr>
                <w:p w14:paraId="44E7E7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ZRFH1000A</w:t>
                  </w:r>
                </w:p>
              </w:tc>
              <w:tc>
                <w:tcPr>
                  <w:tcW w:w="410" w:type="pct"/>
                  <w:tcBorders>
                    <w:tl2br w:val="nil"/>
                    <w:tr2bl w:val="nil"/>
                  </w:tcBorders>
                  <w:shd w:val="clear" w:color="auto" w:fill="auto"/>
                  <w:vAlign w:val="center"/>
                </w:tcPr>
                <w:p w14:paraId="4C3F9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469E6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3ED85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复合膜车间</w:t>
                  </w:r>
                </w:p>
              </w:tc>
            </w:tr>
            <w:tr w14:paraId="7CB905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06DE71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无溶剂复合机</w:t>
                  </w:r>
                </w:p>
              </w:tc>
              <w:tc>
                <w:tcPr>
                  <w:tcW w:w="1277" w:type="pct"/>
                  <w:tcBorders>
                    <w:tl2br w:val="nil"/>
                    <w:tr2bl w:val="nil"/>
                  </w:tcBorders>
                  <w:shd w:val="clear" w:color="auto" w:fill="auto"/>
                  <w:vAlign w:val="center"/>
                </w:tcPr>
                <w:p w14:paraId="0AA28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Slf300a</w:t>
                  </w:r>
                </w:p>
              </w:tc>
              <w:tc>
                <w:tcPr>
                  <w:tcW w:w="410" w:type="pct"/>
                  <w:tcBorders>
                    <w:tl2br w:val="nil"/>
                    <w:tr2bl w:val="nil"/>
                  </w:tcBorders>
                  <w:shd w:val="clear" w:color="auto" w:fill="auto"/>
                  <w:vAlign w:val="center"/>
                </w:tcPr>
                <w:p w14:paraId="1DAB6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5ADEC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16D6B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复合膜车间</w:t>
                  </w:r>
                </w:p>
              </w:tc>
            </w:tr>
            <w:tr w14:paraId="173860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0DCFC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干燥机</w:t>
                  </w:r>
                </w:p>
              </w:tc>
              <w:tc>
                <w:tcPr>
                  <w:tcW w:w="1277" w:type="pct"/>
                  <w:tcBorders>
                    <w:tl2br w:val="nil"/>
                    <w:tr2bl w:val="nil"/>
                  </w:tcBorders>
                  <w:shd w:val="clear" w:color="auto" w:fill="auto"/>
                  <w:vAlign w:val="center"/>
                </w:tcPr>
                <w:p w14:paraId="1E1AAA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506030"/>
                      <w:sz w:val="21"/>
                      <w:szCs w:val="21"/>
                      <w:u w:val="none"/>
                    </w:rPr>
                  </w:pPr>
                  <w:r>
                    <w:rPr>
                      <w:rStyle w:val="157"/>
                      <w:rFonts w:hint="default" w:ascii="Times New Roman" w:hAnsi="Times New Roman" w:eastAsia="宋体" w:cs="Times New Roman"/>
                      <w:sz w:val="21"/>
                      <w:szCs w:val="21"/>
                      <w:lang w:val="en-US" w:eastAsia="zh-CN" w:bidi="ar"/>
                    </w:rPr>
                    <w:t>SLA</w:t>
                  </w:r>
                  <w:r>
                    <w:rPr>
                      <w:rFonts w:hint="default" w:ascii="Times New Roman" w:hAnsi="Times New Roman" w:eastAsia="宋体" w:cs="Times New Roman"/>
                      <w:i w:val="0"/>
                      <w:iCs w:val="0"/>
                      <w:color w:val="506030"/>
                      <w:kern w:val="0"/>
                      <w:sz w:val="21"/>
                      <w:szCs w:val="21"/>
                      <w:u w:val="none"/>
                      <w:lang w:val="en-US" w:eastAsia="zh-CN" w:bidi="ar"/>
                    </w:rPr>
                    <w:t>D</w:t>
                  </w:r>
                </w:p>
              </w:tc>
              <w:tc>
                <w:tcPr>
                  <w:tcW w:w="410" w:type="pct"/>
                  <w:tcBorders>
                    <w:tl2br w:val="nil"/>
                    <w:tr2bl w:val="nil"/>
                  </w:tcBorders>
                  <w:shd w:val="clear" w:color="auto" w:fill="auto"/>
                  <w:vAlign w:val="center"/>
                </w:tcPr>
                <w:p w14:paraId="033C9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ACD0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041D5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复合膜车间</w:t>
                  </w:r>
                </w:p>
              </w:tc>
            </w:tr>
            <w:tr w14:paraId="7188FB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16B2F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膜分切机</w:t>
                  </w:r>
                </w:p>
              </w:tc>
              <w:tc>
                <w:tcPr>
                  <w:tcW w:w="1277" w:type="pct"/>
                  <w:tcBorders>
                    <w:tl2br w:val="nil"/>
                    <w:tr2bl w:val="nil"/>
                  </w:tcBorders>
                  <w:shd w:val="clear" w:color="auto" w:fill="auto"/>
                  <w:vAlign w:val="center"/>
                </w:tcPr>
                <w:p w14:paraId="383DC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MS400</w:t>
                  </w:r>
                </w:p>
              </w:tc>
              <w:tc>
                <w:tcPr>
                  <w:tcW w:w="410" w:type="pct"/>
                  <w:tcBorders>
                    <w:tl2br w:val="nil"/>
                    <w:tr2bl w:val="nil"/>
                  </w:tcBorders>
                  <w:shd w:val="clear" w:color="auto" w:fill="auto"/>
                  <w:vAlign w:val="center"/>
                </w:tcPr>
                <w:p w14:paraId="44F27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756FC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986" w:type="pct"/>
                  <w:tcBorders>
                    <w:tl2br w:val="nil"/>
                    <w:tr2bl w:val="nil"/>
                  </w:tcBorders>
                  <w:shd w:val="clear" w:color="auto" w:fill="auto"/>
                  <w:vAlign w:val="center"/>
                </w:tcPr>
                <w:p w14:paraId="08B3C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分切膜车间</w:t>
                  </w:r>
                </w:p>
              </w:tc>
            </w:tr>
            <w:tr w14:paraId="10443C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6C8EFB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倒卷机</w:t>
                  </w:r>
                </w:p>
              </w:tc>
              <w:tc>
                <w:tcPr>
                  <w:tcW w:w="1277" w:type="pct"/>
                  <w:tcBorders>
                    <w:tl2br w:val="nil"/>
                    <w:tr2bl w:val="nil"/>
                  </w:tcBorders>
                  <w:shd w:val="clear" w:color="auto" w:fill="auto"/>
                  <w:vAlign w:val="center"/>
                </w:tcPr>
                <w:p w14:paraId="24C69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DF-A</w:t>
                  </w:r>
                </w:p>
              </w:tc>
              <w:tc>
                <w:tcPr>
                  <w:tcW w:w="410" w:type="pct"/>
                  <w:tcBorders>
                    <w:tl2br w:val="nil"/>
                    <w:tr2bl w:val="nil"/>
                  </w:tcBorders>
                  <w:shd w:val="clear" w:color="auto" w:fill="auto"/>
                  <w:vAlign w:val="center"/>
                </w:tcPr>
                <w:p w14:paraId="79E96F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76BCB9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7B9568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分切车间</w:t>
                  </w:r>
                </w:p>
              </w:tc>
            </w:tr>
            <w:tr w14:paraId="6E5DD9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32D2F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小倒卷机</w:t>
                  </w:r>
                </w:p>
              </w:tc>
              <w:tc>
                <w:tcPr>
                  <w:tcW w:w="1277" w:type="pct"/>
                  <w:tcBorders>
                    <w:tl2br w:val="nil"/>
                    <w:tr2bl w:val="nil"/>
                  </w:tcBorders>
                  <w:shd w:val="clear" w:color="auto" w:fill="auto"/>
                  <w:vAlign w:val="center"/>
                </w:tcPr>
                <w:p w14:paraId="2224F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Hg-500ra/l</w:t>
                  </w:r>
                </w:p>
              </w:tc>
              <w:tc>
                <w:tcPr>
                  <w:tcW w:w="410" w:type="pct"/>
                  <w:tcBorders>
                    <w:tl2br w:val="nil"/>
                    <w:tr2bl w:val="nil"/>
                  </w:tcBorders>
                  <w:shd w:val="clear" w:color="auto" w:fill="auto"/>
                  <w:vAlign w:val="center"/>
                </w:tcPr>
                <w:p w14:paraId="0683BA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21898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567AD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分切车间</w:t>
                  </w:r>
                </w:p>
              </w:tc>
            </w:tr>
            <w:tr w14:paraId="54DBE1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56FF5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电脑控制分切机</w:t>
                  </w:r>
                </w:p>
              </w:tc>
              <w:tc>
                <w:tcPr>
                  <w:tcW w:w="1277" w:type="pct"/>
                  <w:tcBorders>
                    <w:tl2br w:val="nil"/>
                    <w:tr2bl w:val="nil"/>
                  </w:tcBorders>
                  <w:shd w:val="clear" w:color="auto" w:fill="auto"/>
                  <w:vAlign w:val="center"/>
                </w:tcPr>
                <w:p w14:paraId="01913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HG-1300SF</w:t>
                  </w:r>
                </w:p>
              </w:tc>
              <w:tc>
                <w:tcPr>
                  <w:tcW w:w="410" w:type="pct"/>
                  <w:tcBorders>
                    <w:tl2br w:val="nil"/>
                    <w:tr2bl w:val="nil"/>
                  </w:tcBorders>
                  <w:shd w:val="clear" w:color="auto" w:fill="auto"/>
                  <w:vAlign w:val="center"/>
                </w:tcPr>
                <w:p w14:paraId="07A29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4F8BE9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1EA118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分切车间</w:t>
                  </w:r>
                </w:p>
              </w:tc>
            </w:tr>
            <w:tr w14:paraId="25235A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278753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制袋机</w:t>
                  </w:r>
                </w:p>
              </w:tc>
              <w:tc>
                <w:tcPr>
                  <w:tcW w:w="1277" w:type="pct"/>
                  <w:tcBorders>
                    <w:tl2br w:val="nil"/>
                    <w:tr2bl w:val="nil"/>
                  </w:tcBorders>
                  <w:shd w:val="clear" w:color="auto" w:fill="auto"/>
                  <w:vAlign w:val="center"/>
                </w:tcPr>
                <w:p w14:paraId="46A44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WSD-350</w:t>
                  </w:r>
                </w:p>
              </w:tc>
              <w:tc>
                <w:tcPr>
                  <w:tcW w:w="410" w:type="pct"/>
                  <w:tcBorders>
                    <w:tl2br w:val="nil"/>
                    <w:tr2bl w:val="nil"/>
                  </w:tcBorders>
                  <w:shd w:val="clear" w:color="auto" w:fill="auto"/>
                  <w:vAlign w:val="center"/>
                </w:tcPr>
                <w:p w14:paraId="14CF0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46E41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5891F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制袋车间</w:t>
                  </w:r>
                </w:p>
              </w:tc>
            </w:tr>
            <w:tr w14:paraId="5800FF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2051C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电动外抽(充)气包装机</w:t>
                  </w:r>
                </w:p>
              </w:tc>
              <w:tc>
                <w:tcPr>
                  <w:tcW w:w="1277" w:type="pct"/>
                  <w:tcBorders>
                    <w:tl2br w:val="nil"/>
                    <w:tr2bl w:val="nil"/>
                  </w:tcBorders>
                  <w:shd w:val="clear" w:color="auto" w:fill="auto"/>
                  <w:vAlign w:val="center"/>
                </w:tcPr>
                <w:p w14:paraId="39EEDD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w:t>
                  </w:r>
                </w:p>
              </w:tc>
              <w:tc>
                <w:tcPr>
                  <w:tcW w:w="410" w:type="pct"/>
                  <w:tcBorders>
                    <w:tl2br w:val="nil"/>
                    <w:tr2bl w:val="nil"/>
                  </w:tcBorders>
                  <w:shd w:val="clear" w:color="auto" w:fill="auto"/>
                  <w:vAlign w:val="center"/>
                </w:tcPr>
                <w:p w14:paraId="58425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11B4C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1F7A3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制袋车间</w:t>
                  </w:r>
                </w:p>
              </w:tc>
            </w:tr>
            <w:tr w14:paraId="79860C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58C09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封口机(脚踩式)</w:t>
                  </w:r>
                </w:p>
              </w:tc>
              <w:tc>
                <w:tcPr>
                  <w:tcW w:w="1277" w:type="pct"/>
                  <w:tcBorders>
                    <w:tl2br w:val="nil"/>
                    <w:tr2bl w:val="nil"/>
                  </w:tcBorders>
                  <w:shd w:val="clear" w:color="auto" w:fill="auto"/>
                  <w:vAlign w:val="center"/>
                </w:tcPr>
                <w:p w14:paraId="75309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w:t>
                  </w:r>
                </w:p>
              </w:tc>
              <w:tc>
                <w:tcPr>
                  <w:tcW w:w="410" w:type="pct"/>
                  <w:tcBorders>
                    <w:tl2br w:val="nil"/>
                    <w:tr2bl w:val="nil"/>
                  </w:tcBorders>
                  <w:shd w:val="clear" w:color="auto" w:fill="auto"/>
                  <w:vAlign w:val="center"/>
                </w:tcPr>
                <w:p w14:paraId="469DB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0E0CEB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21BCA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制袋车间</w:t>
                  </w:r>
                </w:p>
              </w:tc>
            </w:tr>
            <w:tr w14:paraId="37F260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shd w:val="clear" w:color="auto" w:fill="auto"/>
                  <w:vAlign w:val="center"/>
                </w:tcPr>
                <w:p w14:paraId="6CD80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(二)铝箔生产设备</w:t>
                  </w:r>
                </w:p>
              </w:tc>
            </w:tr>
            <w:tr w14:paraId="2BD796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2E0E8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铝箔机(印刷涂布机)</w:t>
                  </w:r>
                </w:p>
              </w:tc>
              <w:tc>
                <w:tcPr>
                  <w:tcW w:w="1277" w:type="pct"/>
                  <w:tcBorders>
                    <w:tl2br w:val="nil"/>
                    <w:tr2bl w:val="nil"/>
                  </w:tcBorders>
                  <w:shd w:val="clear" w:color="auto" w:fill="auto"/>
                  <w:vAlign w:val="center"/>
                </w:tcPr>
                <w:p w14:paraId="5D634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QHTB-650F</w:t>
                  </w:r>
                </w:p>
              </w:tc>
              <w:tc>
                <w:tcPr>
                  <w:tcW w:w="410" w:type="pct"/>
                  <w:tcBorders>
                    <w:tl2br w:val="nil"/>
                    <w:tr2bl w:val="nil"/>
                  </w:tcBorders>
                  <w:shd w:val="clear" w:color="auto" w:fill="auto"/>
                  <w:vAlign w:val="center"/>
                </w:tcPr>
                <w:p w14:paraId="04BD2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5D49F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2B6FF0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铝箔车间</w:t>
                  </w:r>
                </w:p>
              </w:tc>
            </w:tr>
            <w:tr w14:paraId="738962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404B8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微电脑控制铝箔立式分切机</w:t>
                  </w:r>
                </w:p>
              </w:tc>
              <w:tc>
                <w:tcPr>
                  <w:tcW w:w="1277" w:type="pct"/>
                  <w:tcBorders>
                    <w:tl2br w:val="nil"/>
                    <w:tr2bl w:val="nil"/>
                  </w:tcBorders>
                  <w:shd w:val="clear" w:color="auto" w:fill="auto"/>
                  <w:vAlign w:val="center"/>
                </w:tcPr>
                <w:p w14:paraId="2846C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WYSL-800M</w:t>
                  </w:r>
                </w:p>
              </w:tc>
              <w:tc>
                <w:tcPr>
                  <w:tcW w:w="410" w:type="pct"/>
                  <w:tcBorders>
                    <w:tl2br w:val="nil"/>
                    <w:tr2bl w:val="nil"/>
                  </w:tcBorders>
                  <w:shd w:val="clear" w:color="auto" w:fill="auto"/>
                  <w:vAlign w:val="center"/>
                </w:tcPr>
                <w:p w14:paraId="46922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6DAD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24C10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铝箔分切车间</w:t>
                  </w:r>
                </w:p>
              </w:tc>
            </w:tr>
            <w:tr w14:paraId="70B019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shd w:val="clear" w:color="auto" w:fill="auto"/>
                  <w:vAlign w:val="center"/>
                </w:tcPr>
                <w:p w14:paraId="6F66D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(三)</w:t>
                  </w:r>
                  <w:r>
                    <w:rPr>
                      <w:rFonts w:hint="default" w:ascii="Times New Roman" w:hAnsi="Times New Roman" w:eastAsia="宋体" w:cs="Times New Roman"/>
                      <w:i w:val="0"/>
                      <w:iCs w:val="0"/>
                      <w:color w:val="303010"/>
                      <w:kern w:val="0"/>
                      <w:sz w:val="21"/>
                      <w:szCs w:val="21"/>
                      <w:u w:val="none"/>
                      <w:lang w:val="en-US" w:eastAsia="zh-CN" w:bidi="ar"/>
                    </w:rPr>
                    <w:t>PE</w:t>
                  </w:r>
                  <w:r>
                    <w:rPr>
                      <w:rStyle w:val="157"/>
                      <w:rFonts w:hint="default" w:ascii="Times New Roman" w:hAnsi="Times New Roman" w:eastAsia="宋体" w:cs="Times New Roman"/>
                      <w:sz w:val="21"/>
                      <w:szCs w:val="21"/>
                      <w:lang w:val="en-US" w:eastAsia="zh-CN" w:bidi="ar"/>
                    </w:rPr>
                    <w:t>膜生产设备</w:t>
                  </w:r>
                </w:p>
              </w:tc>
            </w:tr>
            <w:tr w14:paraId="17BB87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1676F4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吹膜机</w:t>
                  </w:r>
                </w:p>
              </w:tc>
              <w:tc>
                <w:tcPr>
                  <w:tcW w:w="1277" w:type="pct"/>
                  <w:tcBorders>
                    <w:tl2br w:val="nil"/>
                    <w:tr2bl w:val="nil"/>
                  </w:tcBorders>
                  <w:shd w:val="clear" w:color="auto" w:fill="auto"/>
                  <w:vAlign w:val="center"/>
                </w:tcPr>
                <w:p w14:paraId="35629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SXGM-1400X3</w:t>
                  </w:r>
                </w:p>
              </w:tc>
              <w:tc>
                <w:tcPr>
                  <w:tcW w:w="410" w:type="pct"/>
                  <w:tcBorders>
                    <w:tl2br w:val="nil"/>
                    <w:tr2bl w:val="nil"/>
                  </w:tcBorders>
                  <w:shd w:val="clear" w:color="auto" w:fill="auto"/>
                  <w:vAlign w:val="center"/>
                </w:tcPr>
                <w:p w14:paraId="39D50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FED7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CC29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0D3F14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57CED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吹膜机</w:t>
                  </w:r>
                </w:p>
              </w:tc>
              <w:tc>
                <w:tcPr>
                  <w:tcW w:w="1277" w:type="pct"/>
                  <w:tcBorders>
                    <w:tl2br w:val="nil"/>
                    <w:tr2bl w:val="nil"/>
                  </w:tcBorders>
                  <w:shd w:val="clear" w:color="auto" w:fill="auto"/>
                  <w:vAlign w:val="center"/>
                </w:tcPr>
                <w:p w14:paraId="72F7C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SXGM-1200X</w:t>
                  </w:r>
                </w:p>
              </w:tc>
              <w:tc>
                <w:tcPr>
                  <w:tcW w:w="410" w:type="pct"/>
                  <w:tcBorders>
                    <w:tl2br w:val="nil"/>
                    <w:tr2bl w:val="nil"/>
                  </w:tcBorders>
                  <w:shd w:val="clear" w:color="auto" w:fill="auto"/>
                  <w:vAlign w:val="center"/>
                </w:tcPr>
                <w:p w14:paraId="5FCB1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11535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0307D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33F06B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6AC9A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吹膜机</w:t>
                  </w:r>
                </w:p>
              </w:tc>
              <w:tc>
                <w:tcPr>
                  <w:tcW w:w="1277" w:type="pct"/>
                  <w:tcBorders>
                    <w:tl2br w:val="nil"/>
                    <w:tr2bl w:val="nil"/>
                  </w:tcBorders>
                  <w:shd w:val="clear" w:color="auto" w:fill="auto"/>
                  <w:vAlign w:val="center"/>
                </w:tcPr>
                <w:p w14:paraId="4DF10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SXGM-1400X1</w:t>
                  </w:r>
                </w:p>
              </w:tc>
              <w:tc>
                <w:tcPr>
                  <w:tcW w:w="410" w:type="pct"/>
                  <w:tcBorders>
                    <w:tl2br w:val="nil"/>
                    <w:tr2bl w:val="nil"/>
                  </w:tcBorders>
                  <w:shd w:val="clear" w:color="auto" w:fill="auto"/>
                  <w:vAlign w:val="center"/>
                </w:tcPr>
                <w:p w14:paraId="3C59C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8B24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36C0B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12F93A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60114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粉碎机</w:t>
                  </w:r>
                </w:p>
              </w:tc>
              <w:tc>
                <w:tcPr>
                  <w:tcW w:w="1277" w:type="pct"/>
                  <w:tcBorders>
                    <w:tl2br w:val="nil"/>
                    <w:tr2bl w:val="nil"/>
                  </w:tcBorders>
                  <w:shd w:val="clear" w:color="auto" w:fill="auto"/>
                  <w:vAlign w:val="center"/>
                </w:tcPr>
                <w:p w14:paraId="561FD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ML-SC2-50HP</w:t>
                  </w:r>
                </w:p>
              </w:tc>
              <w:tc>
                <w:tcPr>
                  <w:tcW w:w="410" w:type="pct"/>
                  <w:tcBorders>
                    <w:tl2br w:val="nil"/>
                    <w:tr2bl w:val="nil"/>
                  </w:tcBorders>
                  <w:shd w:val="clear" w:color="auto" w:fill="auto"/>
                  <w:vAlign w:val="center"/>
                </w:tcPr>
                <w:p w14:paraId="5B0DC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3154FF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0909B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26142F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2A19B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PE粘粉碎机</w:t>
                  </w:r>
                </w:p>
              </w:tc>
              <w:tc>
                <w:tcPr>
                  <w:tcW w:w="1277" w:type="pct"/>
                  <w:tcBorders>
                    <w:tl2br w:val="nil"/>
                    <w:tr2bl w:val="nil"/>
                  </w:tcBorders>
                  <w:shd w:val="clear" w:color="auto" w:fill="auto"/>
                  <w:vAlign w:val="center"/>
                </w:tcPr>
                <w:p w14:paraId="3E5C0C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HX-123</w:t>
                  </w:r>
                </w:p>
              </w:tc>
              <w:tc>
                <w:tcPr>
                  <w:tcW w:w="410" w:type="pct"/>
                  <w:tcBorders>
                    <w:tl2br w:val="nil"/>
                    <w:tr2bl w:val="nil"/>
                  </w:tcBorders>
                  <w:shd w:val="clear" w:color="auto" w:fill="auto"/>
                  <w:vAlign w:val="center"/>
                </w:tcPr>
                <w:p w14:paraId="58100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3CECC7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E8FA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368FC9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69018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PE粘粉碎机</w:t>
                  </w:r>
                </w:p>
              </w:tc>
              <w:tc>
                <w:tcPr>
                  <w:tcW w:w="1277" w:type="pct"/>
                  <w:tcBorders>
                    <w:tl2br w:val="nil"/>
                    <w:tr2bl w:val="nil"/>
                  </w:tcBorders>
                  <w:shd w:val="clear" w:color="auto" w:fill="auto"/>
                  <w:vAlign w:val="center"/>
                </w:tcPr>
                <w:p w14:paraId="787B6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HD-123</w:t>
                  </w:r>
                </w:p>
              </w:tc>
              <w:tc>
                <w:tcPr>
                  <w:tcW w:w="410" w:type="pct"/>
                  <w:tcBorders>
                    <w:tl2br w:val="nil"/>
                    <w:tr2bl w:val="nil"/>
                  </w:tcBorders>
                  <w:shd w:val="clear" w:color="auto" w:fill="auto"/>
                  <w:vAlign w:val="center"/>
                </w:tcPr>
                <w:p w14:paraId="45711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3D96A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4C482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6FF291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37064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PE混料机</w:t>
                  </w:r>
                </w:p>
              </w:tc>
              <w:tc>
                <w:tcPr>
                  <w:tcW w:w="1277" w:type="pct"/>
                  <w:tcBorders>
                    <w:tl2br w:val="nil"/>
                    <w:tr2bl w:val="nil"/>
                  </w:tcBorders>
                  <w:shd w:val="clear" w:color="auto" w:fill="auto"/>
                  <w:vAlign w:val="center"/>
                </w:tcPr>
                <w:p w14:paraId="266874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ZHL-V500</w:t>
                  </w:r>
                </w:p>
              </w:tc>
              <w:tc>
                <w:tcPr>
                  <w:tcW w:w="410" w:type="pct"/>
                  <w:tcBorders>
                    <w:tl2br w:val="nil"/>
                    <w:tr2bl w:val="nil"/>
                  </w:tcBorders>
                  <w:shd w:val="clear" w:color="auto" w:fill="auto"/>
                  <w:vAlign w:val="center"/>
                </w:tcPr>
                <w:p w14:paraId="3A670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5367A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986" w:type="pct"/>
                  <w:tcBorders>
                    <w:tl2br w:val="nil"/>
                    <w:tr2bl w:val="nil"/>
                  </w:tcBorders>
                  <w:shd w:val="clear" w:color="auto" w:fill="auto"/>
                  <w:vAlign w:val="center"/>
                </w:tcPr>
                <w:p w14:paraId="2C01B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PE车间</w:t>
                  </w:r>
                </w:p>
              </w:tc>
            </w:tr>
            <w:tr w14:paraId="5A62D2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shd w:val="clear" w:color="auto" w:fill="auto"/>
                  <w:vAlign w:val="center"/>
                </w:tcPr>
                <w:p w14:paraId="3B3EF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(四)其他设备</w:t>
                  </w:r>
                </w:p>
              </w:tc>
            </w:tr>
            <w:tr w14:paraId="6FC0F0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3E038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数字控制高速复卷品检机</w:t>
                  </w:r>
                </w:p>
              </w:tc>
              <w:tc>
                <w:tcPr>
                  <w:tcW w:w="1277" w:type="pct"/>
                  <w:tcBorders>
                    <w:tl2br w:val="nil"/>
                    <w:tr2bl w:val="nil"/>
                  </w:tcBorders>
                  <w:shd w:val="clear" w:color="auto" w:fill="auto"/>
                  <w:vAlign w:val="center"/>
                </w:tcPr>
                <w:p w14:paraId="179EA6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ER-300</w:t>
                  </w:r>
                </w:p>
              </w:tc>
              <w:tc>
                <w:tcPr>
                  <w:tcW w:w="410" w:type="pct"/>
                  <w:tcBorders>
                    <w:tl2br w:val="nil"/>
                    <w:tr2bl w:val="nil"/>
                  </w:tcBorders>
                  <w:shd w:val="clear" w:color="auto" w:fill="auto"/>
                  <w:vAlign w:val="center"/>
                </w:tcPr>
                <w:p w14:paraId="3D8AAE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2BD10F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284E3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品检车间</w:t>
                  </w:r>
                </w:p>
              </w:tc>
            </w:tr>
            <w:tr w14:paraId="6F16E7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4A0224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螺杆式压缩机</w:t>
                  </w:r>
                </w:p>
              </w:tc>
              <w:tc>
                <w:tcPr>
                  <w:tcW w:w="1277" w:type="pct"/>
                  <w:tcBorders>
                    <w:tl2br w:val="nil"/>
                    <w:tr2bl w:val="nil"/>
                  </w:tcBorders>
                  <w:shd w:val="clear" w:color="auto" w:fill="auto"/>
                  <w:vAlign w:val="center"/>
                </w:tcPr>
                <w:p w14:paraId="29FF2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303040"/>
                      <w:sz w:val="21"/>
                      <w:szCs w:val="21"/>
                      <w:u w:val="none"/>
                    </w:rPr>
                  </w:pPr>
                  <w:r>
                    <w:rPr>
                      <w:rFonts w:hint="default" w:ascii="Times New Roman" w:hAnsi="Times New Roman" w:eastAsia="宋体" w:cs="Times New Roman"/>
                      <w:i w:val="0"/>
                      <w:iCs w:val="0"/>
                      <w:color w:val="303040"/>
                      <w:kern w:val="0"/>
                      <w:sz w:val="21"/>
                      <w:szCs w:val="21"/>
                      <w:u w:val="none"/>
                      <w:lang w:val="en-US" w:eastAsia="zh-CN" w:bidi="ar"/>
                    </w:rPr>
                    <w:t>60A</w:t>
                  </w:r>
                </w:p>
              </w:tc>
              <w:tc>
                <w:tcPr>
                  <w:tcW w:w="410" w:type="pct"/>
                  <w:tcBorders>
                    <w:tl2br w:val="nil"/>
                    <w:tr2bl w:val="nil"/>
                  </w:tcBorders>
                  <w:shd w:val="clear" w:color="auto" w:fill="auto"/>
                  <w:vAlign w:val="center"/>
                </w:tcPr>
                <w:p w14:paraId="4E85E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3129C0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702AA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维修部门</w:t>
                  </w:r>
                </w:p>
              </w:tc>
            </w:tr>
            <w:tr w14:paraId="644C35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56B11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空气压缩机</w:t>
                  </w:r>
                </w:p>
              </w:tc>
              <w:tc>
                <w:tcPr>
                  <w:tcW w:w="1277" w:type="pct"/>
                  <w:tcBorders>
                    <w:tl2br w:val="nil"/>
                    <w:tr2bl w:val="nil"/>
                  </w:tcBorders>
                  <w:shd w:val="clear" w:color="auto" w:fill="auto"/>
                  <w:vAlign w:val="center"/>
                </w:tcPr>
                <w:p w14:paraId="69CF1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LGD37/0123HD</w:t>
                  </w:r>
                </w:p>
              </w:tc>
              <w:tc>
                <w:tcPr>
                  <w:tcW w:w="410" w:type="pct"/>
                  <w:tcBorders>
                    <w:tl2br w:val="nil"/>
                    <w:tr2bl w:val="nil"/>
                  </w:tcBorders>
                  <w:shd w:val="clear" w:color="auto" w:fill="auto"/>
                  <w:vAlign w:val="center"/>
                </w:tcPr>
                <w:p w14:paraId="49F977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27A8F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986" w:type="pct"/>
                  <w:tcBorders>
                    <w:tl2br w:val="nil"/>
                    <w:tr2bl w:val="nil"/>
                  </w:tcBorders>
                  <w:shd w:val="clear" w:color="auto" w:fill="auto"/>
                  <w:vAlign w:val="center"/>
                </w:tcPr>
                <w:p w14:paraId="6BD71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维修部门</w:t>
                  </w:r>
                </w:p>
              </w:tc>
            </w:tr>
            <w:tr w14:paraId="677740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911" w:type="pct"/>
                  <w:tcBorders>
                    <w:tl2br w:val="nil"/>
                    <w:tr2bl w:val="nil"/>
                  </w:tcBorders>
                  <w:shd w:val="clear" w:color="auto" w:fill="auto"/>
                  <w:vAlign w:val="center"/>
                </w:tcPr>
                <w:p w14:paraId="7C47C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循环水塔</w:t>
                  </w:r>
                </w:p>
              </w:tc>
              <w:tc>
                <w:tcPr>
                  <w:tcW w:w="1277" w:type="pct"/>
                  <w:tcBorders>
                    <w:tl2br w:val="nil"/>
                    <w:tr2bl w:val="nil"/>
                  </w:tcBorders>
                  <w:shd w:val="clear" w:color="auto" w:fill="auto"/>
                  <w:vAlign w:val="center"/>
                </w:tcPr>
                <w:p w14:paraId="60CDD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101030"/>
                      <w:sz w:val="21"/>
                      <w:szCs w:val="21"/>
                      <w:u w:val="none"/>
                    </w:rPr>
                  </w:pPr>
                  <w:r>
                    <w:rPr>
                      <w:rFonts w:hint="eastAsia" w:ascii="Times New Roman" w:hAnsi="Times New Roman" w:eastAsia="宋体" w:cs="Times New Roman"/>
                      <w:i w:val="0"/>
                      <w:iCs w:val="0"/>
                      <w:color w:val="101030"/>
                      <w:kern w:val="0"/>
                      <w:sz w:val="21"/>
                      <w:szCs w:val="21"/>
                      <w:u w:val="none"/>
                      <w:lang w:val="en-US" w:eastAsia="zh-CN" w:bidi="ar"/>
                    </w:rPr>
                    <w:t>/</w:t>
                  </w:r>
                </w:p>
              </w:tc>
              <w:tc>
                <w:tcPr>
                  <w:tcW w:w="410" w:type="pct"/>
                  <w:tcBorders>
                    <w:tl2br w:val="nil"/>
                    <w:tr2bl w:val="nil"/>
                  </w:tcBorders>
                  <w:shd w:val="clear" w:color="auto" w:fill="auto"/>
                  <w:vAlign w:val="center"/>
                </w:tcPr>
                <w:p w14:paraId="0A6263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台</w:t>
                  </w:r>
                </w:p>
              </w:tc>
              <w:tc>
                <w:tcPr>
                  <w:tcW w:w="413" w:type="pct"/>
                  <w:tcBorders>
                    <w:tl2br w:val="nil"/>
                    <w:tr2bl w:val="nil"/>
                  </w:tcBorders>
                  <w:shd w:val="clear" w:color="auto" w:fill="auto"/>
                  <w:vAlign w:val="center"/>
                </w:tcPr>
                <w:p w14:paraId="6AC4E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986" w:type="pct"/>
                  <w:tcBorders>
                    <w:tl2br w:val="nil"/>
                    <w:tr2bl w:val="nil"/>
                  </w:tcBorders>
                  <w:shd w:val="clear" w:color="auto" w:fill="auto"/>
                  <w:vAlign w:val="center"/>
                </w:tcPr>
                <w:p w14:paraId="79F008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Style w:val="157"/>
                      <w:rFonts w:hint="default" w:ascii="Times New Roman" w:hAnsi="Times New Roman" w:eastAsia="宋体" w:cs="Times New Roman"/>
                      <w:sz w:val="21"/>
                      <w:szCs w:val="21"/>
                      <w:lang w:val="en-US" w:eastAsia="zh-CN" w:bidi="ar"/>
                    </w:rPr>
                    <w:t>维修部门</w:t>
                  </w:r>
                </w:p>
              </w:tc>
            </w:tr>
          </w:tbl>
          <w:p w14:paraId="6522B637">
            <w:pPr>
              <w:keepNext w:val="0"/>
              <w:keepLines w:val="0"/>
              <w:pageBreakBefore w:val="0"/>
              <w:suppressLineNumbers w:val="0"/>
              <w:kinsoku/>
              <w:wordWrap/>
              <w:overflowPunct/>
              <w:topLinePunct w:val="0"/>
              <w:bidi w:val="0"/>
              <w:adjustRightInd w:val="0"/>
              <w:snapToGrid w:val="0"/>
              <w:spacing w:before="120" w:beforeLines="50" w:beforeAutospacing="0" w:after="0" w:afterAutospacing="0" w:line="360" w:lineRule="auto"/>
              <w:ind w:left="0" w:right="0"/>
              <w:textAlignment w:val="auto"/>
              <w:rPr>
                <w:rFonts w:hint="default" w:ascii="Times New Roman" w:hAnsi="Times New Roman" w:eastAsia="宋体" w:cs="Times New Roman"/>
                <w:b/>
                <w:bCs/>
                <w:color w:val="auto"/>
                <w:sz w:val="24"/>
                <w:szCs w:val="24"/>
                <w:highlight w:val="none"/>
                <w:u w:val="none"/>
                <w:lang w:eastAsia="zh-CN"/>
              </w:rPr>
            </w:pPr>
            <w:r>
              <w:rPr>
                <w:rFonts w:hint="default" w:ascii="Times New Roman" w:hAnsi="Times New Roman" w:cs="Times New Roman"/>
                <w:b/>
                <w:bCs/>
                <w:color w:val="auto"/>
                <w:sz w:val="24"/>
                <w:szCs w:val="24"/>
                <w:highlight w:val="none"/>
                <w:u w:val="none"/>
                <w:lang w:val="en-US" w:eastAsia="zh-CN"/>
              </w:rPr>
              <w:t>6</w:t>
            </w:r>
            <w:r>
              <w:rPr>
                <w:rFonts w:hint="default" w:ascii="Times New Roman" w:hAnsi="Times New Roman" w:cs="Times New Roman"/>
                <w:b/>
                <w:bCs/>
                <w:color w:val="auto"/>
                <w:sz w:val="24"/>
                <w:szCs w:val="24"/>
                <w:highlight w:val="none"/>
                <w:u w:val="none"/>
              </w:rPr>
              <w:t>、项目主要原辅材料</w:t>
            </w:r>
            <w:r>
              <w:rPr>
                <w:rFonts w:hint="default" w:ascii="Times New Roman" w:hAnsi="Times New Roman" w:cs="Times New Roman"/>
                <w:b/>
                <w:bCs/>
                <w:color w:val="auto"/>
                <w:sz w:val="24"/>
                <w:szCs w:val="24"/>
                <w:highlight w:val="none"/>
                <w:u w:val="none"/>
                <w:lang w:eastAsia="zh-CN"/>
              </w:rPr>
              <w:t>的种类和用量</w:t>
            </w:r>
          </w:p>
          <w:p w14:paraId="4396AA77">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113" w:firstLine="480" w:firstLineChars="200"/>
              <w:textAlignment w:val="auto"/>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项目原辅材料使用情况见表2-</w:t>
            </w:r>
            <w:r>
              <w:rPr>
                <w:rFonts w:hint="eastAsia" w:hAnsi="Times New Roman" w:cs="Times New Roman"/>
                <w:color w:val="auto"/>
                <w:sz w:val="24"/>
                <w:u w:val="none"/>
                <w:lang w:val="en-US" w:eastAsia="zh-CN"/>
              </w:rPr>
              <w:t>4</w:t>
            </w:r>
            <w:r>
              <w:rPr>
                <w:rFonts w:hint="default" w:ascii="Times New Roman" w:hAnsi="Times New Roman" w:cs="Times New Roman"/>
                <w:color w:val="auto"/>
                <w:sz w:val="24"/>
                <w:u w:val="none"/>
              </w:rPr>
              <w:t>。</w:t>
            </w:r>
          </w:p>
          <w:p w14:paraId="05B38607">
            <w:pPr>
              <w:pStyle w:val="14"/>
              <w:keepNext w:val="0"/>
              <w:keepLines w:val="0"/>
              <w:pageBreakBefore w:val="0"/>
              <w:suppressLineNumbers w:val="0"/>
              <w:kinsoku/>
              <w:wordWrap/>
              <w:overflowPunct/>
              <w:topLinePunct w:val="0"/>
              <w:bidi w:val="0"/>
              <w:adjustRightInd w:val="0"/>
              <w:snapToGrid w:val="0"/>
              <w:spacing w:beforeAutospacing="0" w:after="0" w:afterAutospacing="0"/>
              <w:ind w:left="0" w:right="0"/>
              <w:textAlignment w:val="auto"/>
              <w:rPr>
                <w:rFonts w:hint="default" w:eastAsia="宋体" w:cs="Times New Roman"/>
                <w:b/>
                <w:color w:val="auto"/>
                <w:sz w:val="21"/>
                <w:szCs w:val="21"/>
                <w:u w:val="none"/>
              </w:rPr>
            </w:pPr>
            <w:r>
              <w:rPr>
                <w:rFonts w:hint="default" w:eastAsia="宋体" w:cs="Times New Roman"/>
                <w:b/>
                <w:color w:val="auto"/>
                <w:sz w:val="21"/>
                <w:szCs w:val="21"/>
                <w:u w:val="none"/>
              </w:rPr>
              <w:t>表2-</w:t>
            </w:r>
            <w:r>
              <w:rPr>
                <w:rFonts w:hint="eastAsia" w:eastAsia="宋体" w:cs="Times New Roman"/>
                <w:b/>
                <w:color w:val="auto"/>
                <w:sz w:val="21"/>
                <w:szCs w:val="21"/>
                <w:u w:val="none"/>
                <w:lang w:val="en-US" w:eastAsia="zh-CN"/>
              </w:rPr>
              <w:t>4</w:t>
            </w:r>
            <w:r>
              <w:rPr>
                <w:rFonts w:hint="default" w:eastAsia="宋体" w:cs="Times New Roman"/>
                <w:b/>
                <w:color w:val="auto"/>
                <w:sz w:val="21"/>
                <w:szCs w:val="21"/>
                <w:u w:val="none"/>
              </w:rPr>
              <w:t xml:space="preserve">  项目原辅材料消耗一览表</w:t>
            </w:r>
          </w:p>
          <w:tbl>
            <w:tblPr>
              <w:tblStyle w:val="44"/>
              <w:tblW w:w="498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3"/>
              <w:gridCol w:w="1775"/>
              <w:gridCol w:w="1808"/>
              <w:gridCol w:w="1359"/>
              <w:gridCol w:w="1180"/>
              <w:gridCol w:w="1344"/>
            </w:tblGrid>
            <w:tr w14:paraId="0B5C2F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6BECC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序号</w:t>
                  </w:r>
                </w:p>
              </w:tc>
              <w:tc>
                <w:tcPr>
                  <w:tcW w:w="1092" w:type="pct"/>
                  <w:tcBorders>
                    <w:tl2br w:val="nil"/>
                    <w:tr2bl w:val="nil"/>
                  </w:tcBorders>
                  <w:shd w:val="clear" w:color="auto" w:fill="auto"/>
                  <w:vAlign w:val="center"/>
                </w:tcPr>
                <w:p w14:paraId="547B1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材料名称</w:t>
                  </w:r>
                </w:p>
              </w:tc>
              <w:tc>
                <w:tcPr>
                  <w:tcW w:w="1112" w:type="pct"/>
                  <w:tcBorders>
                    <w:tl2br w:val="nil"/>
                    <w:tr2bl w:val="nil"/>
                  </w:tcBorders>
                  <w:shd w:val="clear" w:color="auto" w:fill="auto"/>
                  <w:vAlign w:val="center"/>
                </w:tcPr>
                <w:p w14:paraId="05759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型号</w:t>
                  </w:r>
                </w:p>
              </w:tc>
              <w:tc>
                <w:tcPr>
                  <w:tcW w:w="836" w:type="pct"/>
                  <w:tcBorders>
                    <w:tl2br w:val="nil"/>
                    <w:tr2bl w:val="nil"/>
                  </w:tcBorders>
                  <w:shd w:val="clear" w:color="auto" w:fill="auto"/>
                  <w:vAlign w:val="center"/>
                </w:tcPr>
                <w:p w14:paraId="7F01D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规格</w:t>
                  </w:r>
                </w:p>
              </w:tc>
              <w:tc>
                <w:tcPr>
                  <w:tcW w:w="726" w:type="pct"/>
                  <w:tcBorders>
                    <w:tl2br w:val="nil"/>
                    <w:tr2bl w:val="nil"/>
                  </w:tcBorders>
                  <w:shd w:val="clear" w:color="auto" w:fill="auto"/>
                  <w:vAlign w:val="center"/>
                </w:tcPr>
                <w:p w14:paraId="64156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用量</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(t/a)</w:t>
                  </w:r>
                </w:p>
              </w:tc>
              <w:tc>
                <w:tcPr>
                  <w:tcW w:w="825" w:type="pct"/>
                  <w:tcBorders>
                    <w:tl2br w:val="nil"/>
                    <w:tr2bl w:val="nil"/>
                  </w:tcBorders>
                  <w:shd w:val="clear" w:color="auto" w:fill="auto"/>
                  <w:vAlign w:val="center"/>
                </w:tcPr>
                <w:p w14:paraId="3A3A7E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备注/用途</w:t>
                  </w:r>
                </w:p>
              </w:tc>
            </w:tr>
            <w:tr w14:paraId="5554E5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000" w:type="pct"/>
                  <w:gridSpan w:val="6"/>
                  <w:tcBorders>
                    <w:tl2br w:val="nil"/>
                    <w:tr2bl w:val="nil"/>
                  </w:tcBorders>
                  <w:shd w:val="clear" w:color="auto" w:fill="auto"/>
                  <w:vAlign w:val="center"/>
                </w:tcPr>
                <w:p w14:paraId="5AD12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复合膜</w:t>
                  </w:r>
                </w:p>
              </w:tc>
            </w:tr>
            <w:tr w14:paraId="722CB0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0A439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w:t>
                  </w:r>
                </w:p>
              </w:tc>
              <w:tc>
                <w:tcPr>
                  <w:tcW w:w="1092" w:type="pct"/>
                  <w:tcBorders>
                    <w:tl2br w:val="nil"/>
                    <w:tr2bl w:val="nil"/>
                  </w:tcBorders>
                  <w:shd w:val="clear" w:color="auto" w:fill="auto"/>
                  <w:vAlign w:val="center"/>
                </w:tcPr>
                <w:p w14:paraId="65768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单层膜原料</w:t>
                  </w:r>
                </w:p>
              </w:tc>
              <w:tc>
                <w:tcPr>
                  <w:tcW w:w="1112" w:type="pct"/>
                  <w:tcBorders>
                    <w:tl2br w:val="nil"/>
                    <w:tr2bl w:val="nil"/>
                  </w:tcBorders>
                  <w:shd w:val="clear" w:color="auto" w:fill="auto"/>
                  <w:vAlign w:val="center"/>
                </w:tcPr>
                <w:p w14:paraId="3E4C3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BOPP、PET、PE、</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Al、VMCPP、VM PET等</w:t>
                  </w:r>
                </w:p>
              </w:tc>
              <w:tc>
                <w:tcPr>
                  <w:tcW w:w="836" w:type="pct"/>
                  <w:tcBorders>
                    <w:tl2br w:val="nil"/>
                    <w:tr2bl w:val="nil"/>
                  </w:tcBorders>
                  <w:shd w:val="clear" w:color="auto" w:fill="auto"/>
                  <w:vAlign w:val="center"/>
                </w:tcPr>
                <w:p w14:paraId="4AE36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根据客户委托要求定制</w:t>
                  </w:r>
                </w:p>
              </w:tc>
              <w:tc>
                <w:tcPr>
                  <w:tcW w:w="726" w:type="pct"/>
                  <w:tcBorders>
                    <w:tl2br w:val="nil"/>
                    <w:tr2bl w:val="nil"/>
                  </w:tcBorders>
                  <w:shd w:val="clear" w:color="auto" w:fill="auto"/>
                  <w:vAlign w:val="center"/>
                </w:tcPr>
                <w:p w14:paraId="27058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ascii="Times New Roman" w:hAnsi="Times New Roman" w:eastAsia="宋体" w:cs="Times New Roman"/>
                      <w:b w:val="0"/>
                      <w:bCs w:val="0"/>
                      <w:i w:val="0"/>
                      <w:iCs w:val="0"/>
                      <w:color w:val="auto"/>
                      <w:kern w:val="0"/>
                      <w:sz w:val="21"/>
                      <w:szCs w:val="21"/>
                      <w:u w:val="none"/>
                      <w:lang w:val="en-US" w:eastAsia="zh-CN" w:bidi="ar"/>
                    </w:rPr>
                    <w:t>3</w:t>
                  </w:r>
                  <w:r>
                    <w:rPr>
                      <w:rFonts w:hint="default" w:ascii="Times New Roman" w:hAnsi="Times New Roman" w:eastAsia="宋体" w:cs="Times New Roman"/>
                      <w:b w:val="0"/>
                      <w:bCs w:val="0"/>
                      <w:i w:val="0"/>
                      <w:iCs w:val="0"/>
                      <w:color w:val="auto"/>
                      <w:kern w:val="0"/>
                      <w:sz w:val="21"/>
                      <w:szCs w:val="21"/>
                      <w:u w:val="none"/>
                      <w:lang w:val="en-US" w:eastAsia="zh-CN" w:bidi="ar"/>
                    </w:rPr>
                    <w:t>00.00</w:t>
                  </w:r>
                </w:p>
              </w:tc>
              <w:tc>
                <w:tcPr>
                  <w:tcW w:w="825" w:type="pct"/>
                  <w:tcBorders>
                    <w:tl2br w:val="nil"/>
                    <w:tr2bl w:val="nil"/>
                  </w:tcBorders>
                  <w:shd w:val="clear" w:color="auto" w:fill="auto"/>
                  <w:vAlign w:val="center"/>
                </w:tcPr>
                <w:p w14:paraId="4FB8A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3层或2层复合膜原料</w:t>
                  </w:r>
                </w:p>
              </w:tc>
            </w:tr>
            <w:tr w14:paraId="6EF050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785F7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w:t>
                  </w:r>
                </w:p>
              </w:tc>
              <w:tc>
                <w:tcPr>
                  <w:tcW w:w="1092" w:type="pct"/>
                  <w:tcBorders>
                    <w:tl2br w:val="nil"/>
                    <w:tr2bl w:val="nil"/>
                  </w:tcBorders>
                  <w:shd w:val="clear" w:color="auto" w:fill="auto"/>
                  <w:vAlign w:val="center"/>
                </w:tcPr>
                <w:p w14:paraId="6A875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凹版油墨</w:t>
                  </w:r>
                </w:p>
              </w:tc>
              <w:tc>
                <w:tcPr>
                  <w:tcW w:w="1112" w:type="pct"/>
                  <w:tcBorders>
                    <w:tl2br w:val="nil"/>
                    <w:tr2bl w:val="nil"/>
                  </w:tcBorders>
                  <w:shd w:val="clear" w:color="auto" w:fill="auto"/>
                  <w:vAlign w:val="center"/>
                </w:tcPr>
                <w:p w14:paraId="7F8CA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MULT STAR油墨</w:t>
                  </w:r>
                </w:p>
              </w:tc>
              <w:tc>
                <w:tcPr>
                  <w:tcW w:w="836" w:type="pct"/>
                  <w:tcBorders>
                    <w:tl2br w:val="nil"/>
                    <w:tr2bl w:val="nil"/>
                  </w:tcBorders>
                  <w:shd w:val="clear" w:color="auto" w:fill="auto"/>
                  <w:vAlign w:val="center"/>
                </w:tcPr>
                <w:p w14:paraId="73611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18kg/桶</w:t>
                  </w:r>
                </w:p>
              </w:tc>
              <w:tc>
                <w:tcPr>
                  <w:tcW w:w="726" w:type="pct"/>
                  <w:tcBorders>
                    <w:tl2br w:val="nil"/>
                    <w:tr2bl w:val="nil"/>
                  </w:tcBorders>
                  <w:shd w:val="clear" w:color="auto" w:fill="auto"/>
                  <w:vAlign w:val="center"/>
                </w:tcPr>
                <w:p w14:paraId="32367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eastAsia" w:cs="Times New Roman"/>
                      <w:b w:val="0"/>
                      <w:bCs w:val="0"/>
                      <w:i w:val="0"/>
                      <w:iCs w:val="0"/>
                      <w:color w:val="auto"/>
                      <w:kern w:val="0"/>
                      <w:sz w:val="21"/>
                      <w:szCs w:val="21"/>
                      <w:u w:val="none"/>
                      <w:lang w:val="en-US" w:eastAsia="zh-CN" w:bidi="ar"/>
                    </w:rPr>
                    <w:t>0.5</w:t>
                  </w:r>
                </w:p>
              </w:tc>
              <w:tc>
                <w:tcPr>
                  <w:tcW w:w="825" w:type="pct"/>
                  <w:tcBorders>
                    <w:tl2br w:val="nil"/>
                    <w:tr2bl w:val="nil"/>
                  </w:tcBorders>
                  <w:shd w:val="clear" w:color="auto" w:fill="auto"/>
                  <w:vAlign w:val="center"/>
                </w:tcPr>
                <w:p w14:paraId="55F33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复合膜辅料</w:t>
                  </w:r>
                </w:p>
              </w:tc>
            </w:tr>
            <w:tr w14:paraId="5969E7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03B66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3</w:t>
                  </w:r>
                </w:p>
              </w:tc>
              <w:tc>
                <w:tcPr>
                  <w:tcW w:w="1092" w:type="pct"/>
                  <w:tcBorders>
                    <w:tl2br w:val="nil"/>
                    <w:tr2bl w:val="nil"/>
                  </w:tcBorders>
                  <w:shd w:val="clear" w:color="auto" w:fill="auto"/>
                  <w:vAlign w:val="center"/>
                </w:tcPr>
                <w:p w14:paraId="7F290E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聚氨酯胶粘剂</w:t>
                  </w:r>
                </w:p>
              </w:tc>
              <w:tc>
                <w:tcPr>
                  <w:tcW w:w="1112" w:type="pct"/>
                  <w:tcBorders>
                    <w:tl2br w:val="nil"/>
                    <w:tr2bl w:val="nil"/>
                  </w:tcBorders>
                  <w:shd w:val="clear" w:color="auto" w:fill="auto"/>
                  <w:vAlign w:val="center"/>
                </w:tcPr>
                <w:p w14:paraId="1CC19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6B83EC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20kg/桶</w:t>
                  </w:r>
                </w:p>
              </w:tc>
              <w:tc>
                <w:tcPr>
                  <w:tcW w:w="726" w:type="pct"/>
                  <w:tcBorders>
                    <w:tl2br w:val="nil"/>
                    <w:tr2bl w:val="nil"/>
                  </w:tcBorders>
                  <w:shd w:val="clear" w:color="auto" w:fill="auto"/>
                  <w:vAlign w:val="center"/>
                </w:tcPr>
                <w:p w14:paraId="7A513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ascii="Times New Roman" w:hAnsi="Times New Roman" w:eastAsia="宋体" w:cs="Times New Roman"/>
                      <w:b w:val="0"/>
                      <w:bCs w:val="0"/>
                      <w:i w:val="0"/>
                      <w:iCs w:val="0"/>
                      <w:color w:val="auto"/>
                      <w:kern w:val="0"/>
                      <w:sz w:val="21"/>
                      <w:szCs w:val="21"/>
                      <w:u w:val="none"/>
                      <w:lang w:val="en-US" w:eastAsia="zh-CN" w:bidi="ar"/>
                    </w:rPr>
                    <w:t>2</w:t>
                  </w:r>
                </w:p>
              </w:tc>
              <w:tc>
                <w:tcPr>
                  <w:tcW w:w="825" w:type="pct"/>
                  <w:tcBorders>
                    <w:tl2br w:val="nil"/>
                    <w:tr2bl w:val="nil"/>
                  </w:tcBorders>
                  <w:shd w:val="clear" w:color="auto" w:fill="auto"/>
                  <w:vAlign w:val="center"/>
                </w:tcPr>
                <w:p w14:paraId="3D228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复合膜辅料</w:t>
                  </w:r>
                </w:p>
              </w:tc>
            </w:tr>
            <w:tr w14:paraId="2AC348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692A0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4</w:t>
                  </w:r>
                </w:p>
              </w:tc>
              <w:tc>
                <w:tcPr>
                  <w:tcW w:w="1092" w:type="pct"/>
                  <w:tcBorders>
                    <w:tl2br w:val="nil"/>
                    <w:tr2bl w:val="nil"/>
                  </w:tcBorders>
                  <w:shd w:val="clear" w:color="auto" w:fill="auto"/>
                  <w:vAlign w:val="center"/>
                </w:tcPr>
                <w:p w14:paraId="27C28E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聚氨酯固化剂</w:t>
                  </w:r>
                </w:p>
              </w:tc>
              <w:tc>
                <w:tcPr>
                  <w:tcW w:w="1112" w:type="pct"/>
                  <w:tcBorders>
                    <w:tl2br w:val="nil"/>
                    <w:tr2bl w:val="nil"/>
                  </w:tcBorders>
                  <w:shd w:val="clear" w:color="auto" w:fill="auto"/>
                  <w:vAlign w:val="center"/>
                </w:tcPr>
                <w:p w14:paraId="5C9D1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31C368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4-5kg/桶</w:t>
                  </w:r>
                </w:p>
              </w:tc>
              <w:tc>
                <w:tcPr>
                  <w:tcW w:w="726" w:type="pct"/>
                  <w:tcBorders>
                    <w:tl2br w:val="nil"/>
                    <w:tr2bl w:val="nil"/>
                  </w:tcBorders>
                  <w:shd w:val="clear" w:color="auto" w:fill="auto"/>
                  <w:vAlign w:val="center"/>
                </w:tcPr>
                <w:p w14:paraId="2BF24F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0.4</w:t>
                  </w:r>
                </w:p>
              </w:tc>
              <w:tc>
                <w:tcPr>
                  <w:tcW w:w="825" w:type="pct"/>
                  <w:tcBorders>
                    <w:tl2br w:val="nil"/>
                    <w:tr2bl w:val="nil"/>
                  </w:tcBorders>
                  <w:shd w:val="clear" w:color="auto" w:fill="auto"/>
                  <w:vAlign w:val="center"/>
                </w:tcPr>
                <w:p w14:paraId="3DB72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复合膜辅料</w:t>
                  </w:r>
                </w:p>
              </w:tc>
            </w:tr>
            <w:tr w14:paraId="79C78B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4B054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5</w:t>
                  </w:r>
                </w:p>
              </w:tc>
              <w:tc>
                <w:tcPr>
                  <w:tcW w:w="1092" w:type="pct"/>
                  <w:tcBorders>
                    <w:tl2br w:val="nil"/>
                    <w:tr2bl w:val="nil"/>
                  </w:tcBorders>
                  <w:shd w:val="clear" w:color="auto" w:fill="auto"/>
                  <w:vAlign w:val="center"/>
                </w:tcPr>
                <w:p w14:paraId="2C125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无溶剂聚氨酯胶粘剂</w:t>
                  </w:r>
                </w:p>
              </w:tc>
              <w:tc>
                <w:tcPr>
                  <w:tcW w:w="1112" w:type="pct"/>
                  <w:tcBorders>
                    <w:tl2br w:val="nil"/>
                    <w:tr2bl w:val="nil"/>
                  </w:tcBorders>
                  <w:shd w:val="clear" w:color="auto" w:fill="auto"/>
                  <w:vAlign w:val="center"/>
                </w:tcPr>
                <w:p w14:paraId="06E41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FD-8200A</w:t>
                  </w:r>
                </w:p>
              </w:tc>
              <w:tc>
                <w:tcPr>
                  <w:tcW w:w="836" w:type="pct"/>
                  <w:tcBorders>
                    <w:tl2br w:val="nil"/>
                    <w:tr2bl w:val="nil"/>
                  </w:tcBorders>
                  <w:shd w:val="clear" w:color="auto" w:fill="auto"/>
                  <w:vAlign w:val="center"/>
                </w:tcPr>
                <w:p w14:paraId="66F98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20kg/桶</w:t>
                  </w:r>
                </w:p>
              </w:tc>
              <w:tc>
                <w:tcPr>
                  <w:tcW w:w="726" w:type="pct"/>
                  <w:tcBorders>
                    <w:tl2br w:val="nil"/>
                    <w:tr2bl w:val="nil"/>
                  </w:tcBorders>
                  <w:shd w:val="clear" w:color="auto" w:fill="auto"/>
                  <w:vAlign w:val="center"/>
                </w:tcPr>
                <w:p w14:paraId="54A016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eastAsia" w:ascii="Times New Roman" w:hAnsi="Times New Roman" w:eastAsia="宋体" w:cs="Times New Roman"/>
                      <w:b w:val="0"/>
                      <w:bCs w:val="0"/>
                      <w:i w:val="0"/>
                      <w:iCs w:val="0"/>
                      <w:color w:val="auto"/>
                      <w:kern w:val="0"/>
                      <w:sz w:val="21"/>
                      <w:szCs w:val="21"/>
                      <w:u w:val="none"/>
                      <w:lang w:val="en-US" w:eastAsia="zh-CN" w:bidi="ar"/>
                    </w:rPr>
                    <w:t>25</w:t>
                  </w:r>
                </w:p>
              </w:tc>
              <w:tc>
                <w:tcPr>
                  <w:tcW w:w="825" w:type="pct"/>
                  <w:tcBorders>
                    <w:tl2br w:val="nil"/>
                    <w:tr2bl w:val="nil"/>
                  </w:tcBorders>
                  <w:shd w:val="clear" w:color="auto" w:fill="auto"/>
                  <w:vAlign w:val="center"/>
                </w:tcPr>
                <w:p w14:paraId="60531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复合膜辅料</w:t>
                  </w:r>
                </w:p>
              </w:tc>
            </w:tr>
            <w:tr w14:paraId="706089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04338E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6</w:t>
                  </w:r>
                </w:p>
              </w:tc>
              <w:tc>
                <w:tcPr>
                  <w:tcW w:w="1092" w:type="pct"/>
                  <w:tcBorders>
                    <w:tl2br w:val="nil"/>
                    <w:tr2bl w:val="nil"/>
                  </w:tcBorders>
                  <w:shd w:val="clear" w:color="auto" w:fill="auto"/>
                  <w:vAlign w:val="center"/>
                </w:tcPr>
                <w:p w14:paraId="59FF4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乙酸乙酯</w:t>
                  </w:r>
                </w:p>
              </w:tc>
              <w:tc>
                <w:tcPr>
                  <w:tcW w:w="1112" w:type="pct"/>
                  <w:tcBorders>
                    <w:tl2br w:val="nil"/>
                    <w:tr2bl w:val="nil"/>
                  </w:tcBorders>
                  <w:shd w:val="clear" w:color="auto" w:fill="auto"/>
                  <w:vAlign w:val="center"/>
                </w:tcPr>
                <w:p w14:paraId="53076C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28D19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180kg/桶</w:t>
                  </w:r>
                </w:p>
              </w:tc>
              <w:tc>
                <w:tcPr>
                  <w:tcW w:w="726" w:type="pct"/>
                  <w:tcBorders>
                    <w:tl2br w:val="nil"/>
                    <w:tr2bl w:val="nil"/>
                  </w:tcBorders>
                  <w:shd w:val="clear" w:color="auto" w:fill="auto"/>
                  <w:vAlign w:val="center"/>
                </w:tcPr>
                <w:p w14:paraId="39790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cs="Times New Roman"/>
                      <w:b w:val="0"/>
                      <w:bCs w:val="0"/>
                      <w:i w:val="0"/>
                      <w:iCs w:val="0"/>
                      <w:color w:val="auto"/>
                      <w:kern w:val="0"/>
                      <w:sz w:val="21"/>
                      <w:szCs w:val="21"/>
                      <w:u w:val="none"/>
                      <w:lang w:val="en-US" w:eastAsia="zh-CN" w:bidi="ar"/>
                    </w:rPr>
                    <w:t>2</w:t>
                  </w:r>
                </w:p>
              </w:tc>
              <w:tc>
                <w:tcPr>
                  <w:tcW w:w="825" w:type="pct"/>
                  <w:tcBorders>
                    <w:tl2br w:val="nil"/>
                    <w:tr2bl w:val="nil"/>
                  </w:tcBorders>
                  <w:shd w:val="clear" w:color="auto" w:fill="auto"/>
                  <w:vAlign w:val="center"/>
                </w:tcPr>
                <w:p w14:paraId="3D7B46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复合和印刷</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溶剂</w:t>
                  </w:r>
                </w:p>
              </w:tc>
            </w:tr>
            <w:tr w14:paraId="320AB8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000" w:type="pct"/>
                  <w:gridSpan w:val="6"/>
                  <w:tcBorders>
                    <w:tl2br w:val="nil"/>
                    <w:tr2bl w:val="nil"/>
                  </w:tcBorders>
                  <w:shd w:val="clear" w:color="auto" w:fill="auto"/>
                  <w:vAlign w:val="center"/>
                </w:tcPr>
                <w:p w14:paraId="36294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铝箔</w:t>
                  </w:r>
                </w:p>
              </w:tc>
            </w:tr>
            <w:tr w14:paraId="59603A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40580F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w:t>
                  </w:r>
                </w:p>
              </w:tc>
              <w:tc>
                <w:tcPr>
                  <w:tcW w:w="1092" w:type="pct"/>
                  <w:tcBorders>
                    <w:tl2br w:val="nil"/>
                    <w:tr2bl w:val="nil"/>
                  </w:tcBorders>
                  <w:shd w:val="clear" w:color="auto" w:fill="auto"/>
                  <w:vAlign w:val="center"/>
                </w:tcPr>
                <w:p w14:paraId="4CE70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铝箔</w:t>
                  </w:r>
                </w:p>
              </w:tc>
              <w:tc>
                <w:tcPr>
                  <w:tcW w:w="1112" w:type="pct"/>
                  <w:tcBorders>
                    <w:tl2br w:val="nil"/>
                    <w:tr2bl w:val="nil"/>
                  </w:tcBorders>
                  <w:shd w:val="clear" w:color="auto" w:fill="auto"/>
                  <w:vAlign w:val="center"/>
                </w:tcPr>
                <w:p w14:paraId="57129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31A73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根据客户委托要求定制</w:t>
                  </w:r>
                </w:p>
              </w:tc>
              <w:tc>
                <w:tcPr>
                  <w:tcW w:w="726" w:type="pct"/>
                  <w:tcBorders>
                    <w:tl2br w:val="nil"/>
                    <w:tr2bl w:val="nil"/>
                  </w:tcBorders>
                  <w:shd w:val="clear" w:color="auto" w:fill="auto"/>
                  <w:vAlign w:val="center"/>
                </w:tcPr>
                <w:p w14:paraId="021DC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100.00</w:t>
                  </w:r>
                </w:p>
              </w:tc>
              <w:tc>
                <w:tcPr>
                  <w:tcW w:w="825" w:type="pct"/>
                  <w:tcBorders>
                    <w:tl2br w:val="nil"/>
                    <w:tr2bl w:val="nil"/>
                  </w:tcBorders>
                  <w:shd w:val="clear" w:color="auto" w:fill="auto"/>
                  <w:vAlign w:val="center"/>
                </w:tcPr>
                <w:p w14:paraId="41FE4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r>
            <w:tr w14:paraId="5E8C62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61DA3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w:t>
                  </w:r>
                </w:p>
              </w:tc>
              <w:tc>
                <w:tcPr>
                  <w:tcW w:w="1092" w:type="pct"/>
                  <w:tcBorders>
                    <w:tl2br w:val="nil"/>
                    <w:tr2bl w:val="nil"/>
                  </w:tcBorders>
                  <w:shd w:val="clear" w:color="auto" w:fill="auto"/>
                  <w:vAlign w:val="center"/>
                </w:tcPr>
                <w:p w14:paraId="103AB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油墨</w:t>
                  </w:r>
                </w:p>
              </w:tc>
              <w:tc>
                <w:tcPr>
                  <w:tcW w:w="1112" w:type="pct"/>
                  <w:tcBorders>
                    <w:tl2br w:val="nil"/>
                    <w:tr2bl w:val="nil"/>
                  </w:tcBorders>
                  <w:shd w:val="clear" w:color="auto" w:fill="auto"/>
                  <w:vAlign w:val="center"/>
                </w:tcPr>
                <w:p w14:paraId="314DD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VAT-NK</w:t>
                  </w:r>
                </w:p>
              </w:tc>
              <w:tc>
                <w:tcPr>
                  <w:tcW w:w="836" w:type="pct"/>
                  <w:tcBorders>
                    <w:tl2br w:val="nil"/>
                    <w:tr2bl w:val="nil"/>
                  </w:tcBorders>
                  <w:shd w:val="clear" w:color="auto" w:fill="auto"/>
                  <w:vAlign w:val="center"/>
                </w:tcPr>
                <w:p w14:paraId="077D0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18kg/桶</w:t>
                  </w:r>
                </w:p>
              </w:tc>
              <w:tc>
                <w:tcPr>
                  <w:tcW w:w="726" w:type="pct"/>
                  <w:tcBorders>
                    <w:tl2br w:val="nil"/>
                    <w:tr2bl w:val="nil"/>
                  </w:tcBorders>
                  <w:shd w:val="clear" w:color="auto" w:fill="auto"/>
                  <w:vAlign w:val="center"/>
                </w:tcPr>
                <w:p w14:paraId="75444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cs="Times New Roman"/>
                      <w:b w:val="0"/>
                      <w:bCs w:val="0"/>
                      <w:i w:val="0"/>
                      <w:iCs w:val="0"/>
                      <w:color w:val="auto"/>
                      <w:kern w:val="0"/>
                      <w:sz w:val="21"/>
                      <w:szCs w:val="21"/>
                      <w:u w:val="none"/>
                      <w:lang w:val="en-US" w:eastAsia="zh-CN" w:bidi="ar"/>
                    </w:rPr>
                    <w:t>0</w:t>
                  </w:r>
                  <w:r>
                    <w:rPr>
                      <w:rFonts w:hint="default" w:ascii="Times New Roman" w:hAnsi="Times New Roman" w:eastAsia="宋体" w:cs="Times New Roman"/>
                      <w:b w:val="0"/>
                      <w:bCs w:val="0"/>
                      <w:i w:val="0"/>
                      <w:iCs w:val="0"/>
                      <w:color w:val="auto"/>
                      <w:kern w:val="0"/>
                      <w:sz w:val="21"/>
                      <w:szCs w:val="21"/>
                      <w:u w:val="none"/>
                      <w:lang w:val="en-US" w:eastAsia="zh-CN" w:bidi="ar"/>
                    </w:rPr>
                    <w:t>.20</w:t>
                  </w:r>
                </w:p>
              </w:tc>
              <w:tc>
                <w:tcPr>
                  <w:tcW w:w="825" w:type="pct"/>
                  <w:tcBorders>
                    <w:tl2br w:val="nil"/>
                    <w:tr2bl w:val="nil"/>
                  </w:tcBorders>
                  <w:shd w:val="clear" w:color="auto" w:fill="auto"/>
                  <w:vAlign w:val="center"/>
                </w:tcPr>
                <w:p w14:paraId="3F1E7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铝箔辅料</w:t>
                  </w:r>
                </w:p>
              </w:tc>
            </w:tr>
            <w:tr w14:paraId="417786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08FA3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3</w:t>
                  </w:r>
                </w:p>
              </w:tc>
              <w:tc>
                <w:tcPr>
                  <w:tcW w:w="1092" w:type="pct"/>
                  <w:tcBorders>
                    <w:tl2br w:val="nil"/>
                    <w:tr2bl w:val="nil"/>
                  </w:tcBorders>
                  <w:shd w:val="clear" w:color="auto" w:fill="auto"/>
                  <w:vAlign w:val="center"/>
                </w:tcPr>
                <w:p w14:paraId="02B93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乙酸乙酯</w:t>
                  </w:r>
                </w:p>
              </w:tc>
              <w:tc>
                <w:tcPr>
                  <w:tcW w:w="1112" w:type="pct"/>
                  <w:tcBorders>
                    <w:tl2br w:val="nil"/>
                    <w:tr2bl w:val="nil"/>
                  </w:tcBorders>
                  <w:shd w:val="clear" w:color="auto" w:fill="auto"/>
                  <w:vAlign w:val="center"/>
                </w:tcPr>
                <w:p w14:paraId="3A4D59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56C8CB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180kg/桶</w:t>
                  </w:r>
                </w:p>
              </w:tc>
              <w:tc>
                <w:tcPr>
                  <w:tcW w:w="726" w:type="pct"/>
                  <w:tcBorders>
                    <w:tl2br w:val="nil"/>
                    <w:tr2bl w:val="nil"/>
                  </w:tcBorders>
                  <w:shd w:val="clear" w:color="auto" w:fill="auto"/>
                  <w:vAlign w:val="center"/>
                </w:tcPr>
                <w:p w14:paraId="372BB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cs="Times New Roman"/>
                      <w:b w:val="0"/>
                      <w:bCs w:val="0"/>
                      <w:i w:val="0"/>
                      <w:iCs w:val="0"/>
                      <w:color w:val="auto"/>
                      <w:kern w:val="0"/>
                      <w:sz w:val="21"/>
                      <w:szCs w:val="21"/>
                      <w:u w:val="none"/>
                      <w:lang w:val="en-US" w:eastAsia="zh-CN" w:bidi="ar"/>
                    </w:rPr>
                    <w:t>0</w:t>
                  </w:r>
                  <w:r>
                    <w:rPr>
                      <w:rFonts w:hint="default" w:ascii="Times New Roman" w:hAnsi="Times New Roman" w:eastAsia="宋体" w:cs="Times New Roman"/>
                      <w:b w:val="0"/>
                      <w:bCs w:val="0"/>
                      <w:i w:val="0"/>
                      <w:iCs w:val="0"/>
                      <w:color w:val="auto"/>
                      <w:kern w:val="0"/>
                      <w:sz w:val="21"/>
                      <w:szCs w:val="21"/>
                      <w:u w:val="none"/>
                      <w:lang w:val="en-US" w:eastAsia="zh-CN" w:bidi="ar"/>
                    </w:rPr>
                    <w:t>.50</w:t>
                  </w:r>
                </w:p>
              </w:tc>
              <w:tc>
                <w:tcPr>
                  <w:tcW w:w="825" w:type="pct"/>
                  <w:tcBorders>
                    <w:tl2br w:val="nil"/>
                    <w:tr2bl w:val="nil"/>
                  </w:tcBorders>
                  <w:shd w:val="clear" w:color="auto" w:fill="auto"/>
                  <w:vAlign w:val="center"/>
                </w:tcPr>
                <w:p w14:paraId="346FA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印刷溶剂</w:t>
                  </w:r>
                </w:p>
              </w:tc>
            </w:tr>
            <w:tr w14:paraId="57F997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26767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4</w:t>
                  </w:r>
                </w:p>
              </w:tc>
              <w:tc>
                <w:tcPr>
                  <w:tcW w:w="1092" w:type="pct"/>
                  <w:tcBorders>
                    <w:tl2br w:val="nil"/>
                    <w:tr2bl w:val="nil"/>
                  </w:tcBorders>
                  <w:shd w:val="clear" w:color="auto" w:fill="auto"/>
                  <w:vAlign w:val="center"/>
                </w:tcPr>
                <w:p w14:paraId="029BA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OP保护剂</w:t>
                  </w:r>
                </w:p>
              </w:tc>
              <w:tc>
                <w:tcPr>
                  <w:tcW w:w="1112" w:type="pct"/>
                  <w:tcBorders>
                    <w:tl2br w:val="nil"/>
                    <w:tr2bl w:val="nil"/>
                  </w:tcBorders>
                  <w:shd w:val="clear" w:color="auto" w:fill="auto"/>
                  <w:vAlign w:val="center"/>
                </w:tcPr>
                <w:p w14:paraId="158EB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38177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180kg/桶</w:t>
                  </w:r>
                </w:p>
              </w:tc>
              <w:tc>
                <w:tcPr>
                  <w:tcW w:w="726" w:type="pct"/>
                  <w:tcBorders>
                    <w:tl2br w:val="nil"/>
                    <w:tr2bl w:val="nil"/>
                  </w:tcBorders>
                  <w:shd w:val="clear" w:color="auto" w:fill="auto"/>
                  <w:vAlign w:val="center"/>
                </w:tcPr>
                <w:p w14:paraId="4A4CD4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eastAsia" w:cs="Times New Roman"/>
                      <w:b w:val="0"/>
                      <w:bCs w:val="0"/>
                      <w:i w:val="0"/>
                      <w:iCs w:val="0"/>
                      <w:color w:val="auto"/>
                      <w:kern w:val="0"/>
                      <w:sz w:val="21"/>
                      <w:szCs w:val="21"/>
                      <w:u w:val="none"/>
                      <w:lang w:val="en-US" w:eastAsia="zh-CN" w:bidi="ar"/>
                    </w:rPr>
                    <w:t>0.5</w:t>
                  </w:r>
                  <w:r>
                    <w:rPr>
                      <w:rFonts w:hint="default" w:ascii="Times New Roman" w:hAnsi="Times New Roman" w:eastAsia="宋体" w:cs="Times New Roman"/>
                      <w:b w:val="0"/>
                      <w:bCs w:val="0"/>
                      <w:i w:val="0"/>
                      <w:iCs w:val="0"/>
                      <w:color w:val="auto"/>
                      <w:kern w:val="0"/>
                      <w:sz w:val="21"/>
                      <w:szCs w:val="21"/>
                      <w:u w:val="none"/>
                      <w:lang w:val="en-US" w:eastAsia="zh-CN" w:bidi="ar"/>
                    </w:rPr>
                    <w:t>0</w:t>
                  </w:r>
                </w:p>
              </w:tc>
              <w:tc>
                <w:tcPr>
                  <w:tcW w:w="825" w:type="pct"/>
                  <w:tcBorders>
                    <w:tl2br w:val="nil"/>
                    <w:tr2bl w:val="nil"/>
                  </w:tcBorders>
                  <w:shd w:val="clear" w:color="auto" w:fill="auto"/>
                  <w:vAlign w:val="center"/>
                </w:tcPr>
                <w:p w14:paraId="65013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铝箔膜辅料</w:t>
                  </w:r>
                </w:p>
              </w:tc>
            </w:tr>
            <w:tr w14:paraId="2B04BD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178D0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5</w:t>
                  </w:r>
                </w:p>
              </w:tc>
              <w:tc>
                <w:tcPr>
                  <w:tcW w:w="1092" w:type="pct"/>
                  <w:tcBorders>
                    <w:tl2br w:val="nil"/>
                    <w:tr2bl w:val="nil"/>
                  </w:tcBorders>
                  <w:shd w:val="clear" w:color="auto" w:fill="auto"/>
                  <w:vAlign w:val="center"/>
                </w:tcPr>
                <w:p w14:paraId="5DB52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VC胶粘剂</w:t>
                  </w:r>
                </w:p>
              </w:tc>
              <w:tc>
                <w:tcPr>
                  <w:tcW w:w="1112" w:type="pct"/>
                  <w:tcBorders>
                    <w:tl2br w:val="nil"/>
                    <w:tr2bl w:val="nil"/>
                  </w:tcBorders>
                  <w:shd w:val="clear" w:color="auto" w:fill="auto"/>
                  <w:vAlign w:val="center"/>
                </w:tcPr>
                <w:p w14:paraId="5BBB33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1614D8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180kg/桶</w:t>
                  </w:r>
                </w:p>
              </w:tc>
              <w:tc>
                <w:tcPr>
                  <w:tcW w:w="726" w:type="pct"/>
                  <w:tcBorders>
                    <w:tl2br w:val="nil"/>
                    <w:tr2bl w:val="nil"/>
                  </w:tcBorders>
                  <w:shd w:val="clear" w:color="auto" w:fill="auto"/>
                  <w:vAlign w:val="center"/>
                </w:tcPr>
                <w:p w14:paraId="59577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eastAsia" w:cs="Times New Roman"/>
                      <w:b w:val="0"/>
                      <w:bCs w:val="0"/>
                      <w:i w:val="0"/>
                      <w:iCs w:val="0"/>
                      <w:color w:val="auto"/>
                      <w:kern w:val="0"/>
                      <w:sz w:val="21"/>
                      <w:szCs w:val="21"/>
                      <w:u w:val="none"/>
                      <w:lang w:val="en-US" w:eastAsia="zh-CN" w:bidi="ar"/>
                    </w:rPr>
                    <w:t>2</w:t>
                  </w:r>
                  <w:r>
                    <w:rPr>
                      <w:rFonts w:hint="default" w:ascii="Times New Roman" w:hAnsi="Times New Roman" w:eastAsia="宋体" w:cs="Times New Roman"/>
                      <w:b w:val="0"/>
                      <w:bCs w:val="0"/>
                      <w:i w:val="0"/>
                      <w:iCs w:val="0"/>
                      <w:color w:val="auto"/>
                      <w:kern w:val="0"/>
                      <w:sz w:val="21"/>
                      <w:szCs w:val="21"/>
                      <w:u w:val="none"/>
                      <w:lang w:val="en-US" w:eastAsia="zh-CN" w:bidi="ar"/>
                    </w:rPr>
                    <w:t>.00</w:t>
                  </w:r>
                </w:p>
              </w:tc>
              <w:tc>
                <w:tcPr>
                  <w:tcW w:w="825" w:type="pct"/>
                  <w:tcBorders>
                    <w:tl2br w:val="nil"/>
                    <w:tr2bl w:val="nil"/>
                  </w:tcBorders>
                  <w:shd w:val="clear" w:color="auto" w:fill="auto"/>
                  <w:vAlign w:val="center"/>
                </w:tcPr>
                <w:p w14:paraId="63F66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铝箔膜辅料</w:t>
                  </w:r>
                </w:p>
              </w:tc>
            </w:tr>
            <w:tr w14:paraId="2DA9FB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000" w:type="pct"/>
                  <w:gridSpan w:val="6"/>
                  <w:tcBorders>
                    <w:tl2br w:val="nil"/>
                    <w:tr2bl w:val="nil"/>
                  </w:tcBorders>
                  <w:shd w:val="clear" w:color="auto" w:fill="auto"/>
                  <w:vAlign w:val="center"/>
                </w:tcPr>
                <w:p w14:paraId="6034F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P E 膜</w:t>
                  </w:r>
                </w:p>
              </w:tc>
            </w:tr>
            <w:tr w14:paraId="14955C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03AB2D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w:t>
                  </w:r>
                </w:p>
              </w:tc>
              <w:tc>
                <w:tcPr>
                  <w:tcW w:w="1092" w:type="pct"/>
                  <w:tcBorders>
                    <w:tl2br w:val="nil"/>
                    <w:tr2bl w:val="nil"/>
                  </w:tcBorders>
                  <w:shd w:val="clear" w:color="auto" w:fill="auto"/>
                  <w:vAlign w:val="center"/>
                </w:tcPr>
                <w:p w14:paraId="2A62F6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PE粒子</w:t>
                  </w:r>
                </w:p>
              </w:tc>
              <w:tc>
                <w:tcPr>
                  <w:tcW w:w="1112" w:type="pct"/>
                  <w:tcBorders>
                    <w:tl2br w:val="nil"/>
                    <w:tr2bl w:val="nil"/>
                  </w:tcBorders>
                  <w:shd w:val="clear" w:color="auto" w:fill="auto"/>
                  <w:vAlign w:val="center"/>
                </w:tcPr>
                <w:p w14:paraId="1D74C1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1DC53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25kg/包</w:t>
                  </w:r>
                </w:p>
              </w:tc>
              <w:tc>
                <w:tcPr>
                  <w:tcW w:w="726" w:type="pct"/>
                  <w:tcBorders>
                    <w:tl2br w:val="nil"/>
                    <w:tr2bl w:val="nil"/>
                  </w:tcBorders>
                  <w:shd w:val="clear" w:color="auto" w:fill="auto"/>
                  <w:vAlign w:val="center"/>
                </w:tcPr>
                <w:p w14:paraId="3D8A7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b w:val="0"/>
                      <w:bCs w:val="0"/>
                      <w:i w:val="0"/>
                      <w:iCs w:val="0"/>
                      <w:color w:val="000000"/>
                      <w:sz w:val="21"/>
                      <w:szCs w:val="21"/>
                      <w:u w:val="none"/>
                      <w:lang w:val="en-US"/>
                    </w:rPr>
                  </w:pPr>
                  <w:r>
                    <w:rPr>
                      <w:rFonts w:hint="eastAsia" w:cs="Times New Roman"/>
                      <w:b w:val="0"/>
                      <w:bCs w:val="0"/>
                      <w:i w:val="0"/>
                      <w:iCs w:val="0"/>
                      <w:color w:val="000000"/>
                      <w:kern w:val="0"/>
                      <w:sz w:val="21"/>
                      <w:szCs w:val="21"/>
                      <w:u w:val="none"/>
                      <w:lang w:val="en-US" w:eastAsia="zh-CN" w:bidi="ar"/>
                    </w:rPr>
                    <w:t>7</w:t>
                  </w:r>
                  <w:r>
                    <w:rPr>
                      <w:rFonts w:hint="eastAsia" w:ascii="Times New Roman" w:hAnsi="Times New Roman" w:eastAsia="宋体" w:cs="Times New Roman"/>
                      <w:b w:val="0"/>
                      <w:bCs w:val="0"/>
                      <w:i w:val="0"/>
                      <w:iCs w:val="0"/>
                      <w:color w:val="000000"/>
                      <w:kern w:val="0"/>
                      <w:sz w:val="21"/>
                      <w:szCs w:val="21"/>
                      <w:u w:val="none"/>
                      <w:lang w:val="en-US" w:eastAsia="zh-CN" w:bidi="ar"/>
                    </w:rPr>
                    <w:t>00</w:t>
                  </w:r>
                </w:p>
              </w:tc>
              <w:tc>
                <w:tcPr>
                  <w:tcW w:w="825" w:type="pct"/>
                  <w:tcBorders>
                    <w:tl2br w:val="nil"/>
                    <w:tr2bl w:val="nil"/>
                  </w:tcBorders>
                  <w:shd w:val="clear" w:color="auto" w:fill="auto"/>
                  <w:vAlign w:val="center"/>
                </w:tcPr>
                <w:p w14:paraId="149198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PE膜原料</w:t>
                  </w:r>
                </w:p>
              </w:tc>
            </w:tr>
            <w:tr w14:paraId="1E7271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000" w:type="pct"/>
                  <w:gridSpan w:val="6"/>
                  <w:tcBorders>
                    <w:tl2br w:val="nil"/>
                    <w:tr2bl w:val="nil"/>
                  </w:tcBorders>
                  <w:shd w:val="clear" w:color="auto" w:fill="auto"/>
                  <w:vAlign w:val="center"/>
                </w:tcPr>
                <w:p w14:paraId="211BA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辅助/环保</w:t>
                  </w:r>
                </w:p>
              </w:tc>
            </w:tr>
            <w:tr w14:paraId="6417CB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51D9E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w:t>
                  </w:r>
                </w:p>
              </w:tc>
              <w:tc>
                <w:tcPr>
                  <w:tcW w:w="1092" w:type="pct"/>
                  <w:tcBorders>
                    <w:tl2br w:val="nil"/>
                    <w:tr2bl w:val="nil"/>
                  </w:tcBorders>
                  <w:shd w:val="clear" w:color="auto" w:fill="auto"/>
                  <w:vAlign w:val="center"/>
                </w:tcPr>
                <w:p w14:paraId="77B42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润滑油</w:t>
                  </w:r>
                </w:p>
              </w:tc>
              <w:tc>
                <w:tcPr>
                  <w:tcW w:w="1112" w:type="pct"/>
                  <w:tcBorders>
                    <w:tl2br w:val="nil"/>
                    <w:tr2bl w:val="nil"/>
                  </w:tcBorders>
                  <w:shd w:val="clear" w:color="auto" w:fill="auto"/>
                  <w:vAlign w:val="center"/>
                </w:tcPr>
                <w:p w14:paraId="095CC1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0198A6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180kg/桶</w:t>
                  </w:r>
                </w:p>
              </w:tc>
              <w:tc>
                <w:tcPr>
                  <w:tcW w:w="726" w:type="pct"/>
                  <w:tcBorders>
                    <w:tl2br w:val="nil"/>
                    <w:tr2bl w:val="nil"/>
                  </w:tcBorders>
                  <w:shd w:val="clear" w:color="auto" w:fill="auto"/>
                  <w:vAlign w:val="center"/>
                </w:tcPr>
                <w:p w14:paraId="02D4B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lang w:val="en-US"/>
                    </w:rPr>
                  </w:pPr>
                  <w:r>
                    <w:rPr>
                      <w:rFonts w:hint="eastAsia" w:ascii="Times New Roman" w:hAnsi="Times New Roman" w:eastAsia="宋体" w:cs="Times New Roman"/>
                      <w:b w:val="0"/>
                      <w:bCs w:val="0"/>
                      <w:i w:val="0"/>
                      <w:iCs w:val="0"/>
                      <w:color w:val="000000"/>
                      <w:kern w:val="0"/>
                      <w:sz w:val="21"/>
                      <w:szCs w:val="21"/>
                      <w:u w:val="none"/>
                      <w:lang w:val="en-US" w:eastAsia="zh-CN" w:bidi="ar"/>
                    </w:rPr>
                    <w:t>0.5</w:t>
                  </w:r>
                </w:p>
              </w:tc>
              <w:tc>
                <w:tcPr>
                  <w:tcW w:w="825" w:type="pct"/>
                  <w:tcBorders>
                    <w:tl2br w:val="nil"/>
                    <w:tr2bl w:val="nil"/>
                  </w:tcBorders>
                  <w:shd w:val="clear" w:color="auto" w:fill="auto"/>
                  <w:vAlign w:val="center"/>
                </w:tcPr>
                <w:p w14:paraId="690626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r>
            <w:tr w14:paraId="6A7574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760E8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w:t>
                  </w:r>
                </w:p>
              </w:tc>
              <w:tc>
                <w:tcPr>
                  <w:tcW w:w="1092" w:type="pct"/>
                  <w:tcBorders>
                    <w:tl2br w:val="nil"/>
                    <w:tr2bl w:val="nil"/>
                  </w:tcBorders>
                  <w:shd w:val="clear" w:color="auto" w:fill="auto"/>
                  <w:vAlign w:val="center"/>
                </w:tcPr>
                <w:p w14:paraId="3B553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天然气</w:t>
                  </w:r>
                </w:p>
              </w:tc>
              <w:tc>
                <w:tcPr>
                  <w:tcW w:w="1112" w:type="pct"/>
                  <w:tcBorders>
                    <w:tl2br w:val="nil"/>
                    <w:tr2bl w:val="nil"/>
                  </w:tcBorders>
                  <w:shd w:val="clear" w:color="auto" w:fill="auto"/>
                  <w:vAlign w:val="center"/>
                </w:tcPr>
                <w:p w14:paraId="36853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00520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726" w:type="pct"/>
                  <w:tcBorders>
                    <w:tl2br w:val="nil"/>
                    <w:tr2bl w:val="nil"/>
                  </w:tcBorders>
                  <w:shd w:val="clear" w:color="auto" w:fill="auto"/>
                  <w:vAlign w:val="center"/>
                </w:tcPr>
                <w:p w14:paraId="7B8785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30000Nm³</w:t>
                  </w:r>
                </w:p>
              </w:tc>
              <w:tc>
                <w:tcPr>
                  <w:tcW w:w="825" w:type="pct"/>
                  <w:tcBorders>
                    <w:tl2br w:val="nil"/>
                    <w:tr2bl w:val="nil"/>
                  </w:tcBorders>
                  <w:shd w:val="clear" w:color="auto" w:fill="auto"/>
                  <w:vAlign w:val="center"/>
                </w:tcPr>
                <w:p w14:paraId="5CAEA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RTO燃料</w:t>
                  </w:r>
                </w:p>
              </w:tc>
            </w:tr>
            <w:tr w14:paraId="53D3F2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8" w:type="pct"/>
                  <w:tcBorders>
                    <w:tl2br w:val="nil"/>
                    <w:tr2bl w:val="nil"/>
                  </w:tcBorders>
                  <w:shd w:val="clear" w:color="auto" w:fill="auto"/>
                  <w:vAlign w:val="center"/>
                </w:tcPr>
                <w:p w14:paraId="1A974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3</w:t>
                  </w:r>
                </w:p>
              </w:tc>
              <w:tc>
                <w:tcPr>
                  <w:tcW w:w="1092" w:type="pct"/>
                  <w:tcBorders>
                    <w:tl2br w:val="nil"/>
                    <w:tr2bl w:val="nil"/>
                  </w:tcBorders>
                  <w:shd w:val="clear" w:color="auto" w:fill="auto"/>
                  <w:vAlign w:val="center"/>
                </w:tcPr>
                <w:p w14:paraId="087FD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75%医用酒精</w:t>
                  </w:r>
                </w:p>
              </w:tc>
              <w:tc>
                <w:tcPr>
                  <w:tcW w:w="1112" w:type="pct"/>
                  <w:tcBorders>
                    <w:tl2br w:val="nil"/>
                    <w:tr2bl w:val="nil"/>
                  </w:tcBorders>
                  <w:shd w:val="clear" w:color="auto" w:fill="auto"/>
                  <w:vAlign w:val="center"/>
                </w:tcPr>
                <w:p w14:paraId="40D19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836" w:type="pct"/>
                  <w:tcBorders>
                    <w:tl2br w:val="nil"/>
                    <w:tr2bl w:val="nil"/>
                  </w:tcBorders>
                  <w:shd w:val="clear" w:color="auto" w:fill="auto"/>
                  <w:vAlign w:val="center"/>
                </w:tcPr>
                <w:p w14:paraId="22B88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500ml/瓶</w:t>
                  </w:r>
                </w:p>
              </w:tc>
              <w:tc>
                <w:tcPr>
                  <w:tcW w:w="726" w:type="pct"/>
                  <w:tcBorders>
                    <w:tl2br w:val="nil"/>
                    <w:tr2bl w:val="nil"/>
                  </w:tcBorders>
                  <w:shd w:val="clear" w:color="auto" w:fill="auto"/>
                  <w:vAlign w:val="center"/>
                </w:tcPr>
                <w:p w14:paraId="58296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FF0000"/>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0.01</w:t>
                  </w:r>
                </w:p>
              </w:tc>
              <w:tc>
                <w:tcPr>
                  <w:tcW w:w="825" w:type="pct"/>
                  <w:tcBorders>
                    <w:tl2br w:val="nil"/>
                    <w:tr2bl w:val="nil"/>
                  </w:tcBorders>
                  <w:shd w:val="clear" w:color="auto" w:fill="auto"/>
                  <w:vAlign w:val="center"/>
                </w:tcPr>
                <w:p w14:paraId="35AE5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消毒用</w:t>
                  </w:r>
                </w:p>
              </w:tc>
            </w:tr>
          </w:tbl>
          <w:p w14:paraId="183E5AA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注：设备清洗采用抹布擦拭(沾乙酸乙酯)</w:t>
            </w:r>
            <w:r>
              <w:rPr>
                <w:rFonts w:hint="eastAsia" w:cs="Times New Roman"/>
                <w:b w:val="0"/>
                <w:bCs w:val="0"/>
                <w:i w:val="0"/>
                <w:iCs w:val="0"/>
                <w:color w:val="000000"/>
                <w:kern w:val="0"/>
                <w:sz w:val="21"/>
                <w:szCs w:val="21"/>
                <w:u w:val="none"/>
                <w:lang w:val="en-US" w:eastAsia="zh-CN" w:bidi="ar"/>
              </w:rPr>
              <w:t>，</w:t>
            </w:r>
            <w:r>
              <w:rPr>
                <w:rFonts w:hint="default" w:ascii="Times New Roman" w:hAnsi="Times New Roman" w:eastAsia="宋体" w:cs="Times New Roman"/>
                <w:b w:val="0"/>
                <w:bCs w:val="0"/>
                <w:i w:val="0"/>
                <w:iCs w:val="0"/>
                <w:color w:val="000000"/>
                <w:kern w:val="0"/>
                <w:sz w:val="21"/>
                <w:szCs w:val="21"/>
                <w:u w:val="none"/>
                <w:lang w:val="en-US" w:eastAsia="zh-CN" w:bidi="ar"/>
              </w:rPr>
              <w:t>频次约2次/天，乙酸乙酯用量少，归入原辅材料乙酸乙酯总量中。</w:t>
            </w:r>
          </w:p>
          <w:p w14:paraId="72FBDA3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default" w:ascii="Times New Roman" w:hAnsi="Times New Roman" w:eastAsia="宋体" w:cs="Times New Roman"/>
                <w:b/>
                <w:color w:val="auto"/>
                <w:kern w:val="2"/>
                <w:sz w:val="21"/>
                <w:szCs w:val="21"/>
                <w:u w:val="none"/>
                <w:lang w:val="en-US" w:eastAsia="zh-CN" w:bidi="ar-SA"/>
              </w:rPr>
            </w:pPr>
            <w:r>
              <w:rPr>
                <w:rFonts w:hint="default" w:ascii="Times New Roman" w:hAnsi="Times New Roman" w:eastAsia="宋体" w:cs="Times New Roman"/>
                <w:b/>
                <w:color w:val="auto"/>
                <w:kern w:val="2"/>
                <w:sz w:val="21"/>
                <w:szCs w:val="21"/>
                <w:u w:val="none"/>
                <w:lang w:val="en-US" w:eastAsia="zh-CN" w:bidi="ar-SA"/>
              </w:rPr>
              <w:t>表</w:t>
            </w:r>
            <w:r>
              <w:rPr>
                <w:rFonts w:hint="eastAsia" w:cs="Times New Roman"/>
                <w:b/>
                <w:color w:val="auto"/>
                <w:kern w:val="2"/>
                <w:sz w:val="21"/>
                <w:szCs w:val="21"/>
                <w:u w:val="none"/>
                <w:lang w:val="en-US" w:eastAsia="zh-CN" w:bidi="ar-SA"/>
              </w:rPr>
              <w:t>2</w:t>
            </w:r>
            <w:r>
              <w:rPr>
                <w:rFonts w:hint="default" w:ascii="Times New Roman" w:hAnsi="Times New Roman" w:eastAsia="宋体" w:cs="Times New Roman"/>
                <w:b/>
                <w:color w:val="auto"/>
                <w:kern w:val="2"/>
                <w:sz w:val="21"/>
                <w:szCs w:val="21"/>
                <w:u w:val="none"/>
                <w:lang w:val="en-US" w:eastAsia="zh-CN" w:bidi="ar-SA"/>
              </w:rPr>
              <w:t>-5主要原辅材料理化性质一览表</w:t>
            </w:r>
          </w:p>
          <w:tbl>
            <w:tblPr>
              <w:tblStyle w:val="44"/>
              <w:tblW w:w="83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471"/>
              <w:gridCol w:w="2565"/>
              <w:gridCol w:w="2573"/>
            </w:tblGrid>
            <w:tr w14:paraId="6E3D5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76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1"/>
                      <w:szCs w:val="21"/>
                      <w:u w:val="none"/>
                    </w:rPr>
                  </w:pPr>
                  <w:r>
                    <w:rPr>
                      <w:rStyle w:val="159"/>
                      <w:rFonts w:hint="default" w:ascii="Times New Roman" w:hAnsi="Times New Roman" w:eastAsia="宋体" w:cs="Times New Roman"/>
                      <w:sz w:val="21"/>
                      <w:szCs w:val="21"/>
                      <w:lang w:val="en-US" w:eastAsia="zh-CN" w:bidi="ar"/>
                    </w:rPr>
                    <w:t>名称</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EB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1"/>
                      <w:szCs w:val="21"/>
                      <w:u w:val="none"/>
                    </w:rPr>
                  </w:pPr>
                  <w:r>
                    <w:rPr>
                      <w:rStyle w:val="159"/>
                      <w:rFonts w:hint="eastAsia" w:cs="Times New Roman"/>
                      <w:sz w:val="21"/>
                      <w:szCs w:val="21"/>
                      <w:lang w:val="en-US" w:eastAsia="zh-CN" w:bidi="ar"/>
                    </w:rPr>
                    <w:t>主要成分</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D6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1"/>
                      <w:szCs w:val="21"/>
                      <w:u w:val="none"/>
                    </w:rPr>
                  </w:pPr>
                  <w:r>
                    <w:rPr>
                      <w:rStyle w:val="159"/>
                      <w:rFonts w:hint="default" w:ascii="Times New Roman" w:hAnsi="Times New Roman" w:eastAsia="宋体" w:cs="Times New Roman"/>
                      <w:sz w:val="21"/>
                      <w:szCs w:val="21"/>
                      <w:lang w:val="en-US" w:eastAsia="zh-CN" w:bidi="ar"/>
                    </w:rPr>
                    <w:t>理化性质</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D3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000000"/>
                      <w:sz w:val="21"/>
                      <w:szCs w:val="21"/>
                      <w:u w:val="none"/>
                    </w:rPr>
                  </w:pPr>
                  <w:r>
                    <w:rPr>
                      <w:rStyle w:val="159"/>
                      <w:rFonts w:hint="default" w:ascii="Times New Roman" w:hAnsi="Times New Roman" w:eastAsia="宋体" w:cs="Times New Roman"/>
                      <w:sz w:val="21"/>
                      <w:szCs w:val="21"/>
                      <w:lang w:val="en-US" w:eastAsia="zh-CN" w:bidi="ar"/>
                    </w:rPr>
                    <w:t>毒理特性</w:t>
                  </w:r>
                </w:p>
              </w:tc>
            </w:tr>
            <w:tr w14:paraId="28BB0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C3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20403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凹版油</w:t>
                  </w:r>
                  <w:r>
                    <w:rPr>
                      <w:rFonts w:hint="default" w:ascii="Times New Roman" w:hAnsi="Times New Roman" w:eastAsia="宋体" w:cs="Times New Roman"/>
                      <w:i w:val="0"/>
                      <w:iCs w:val="0"/>
                      <w:color w:val="204030"/>
                      <w:kern w:val="0"/>
                      <w:sz w:val="21"/>
                      <w:szCs w:val="21"/>
                      <w:u w:val="none"/>
                      <w:lang w:val="en-US" w:eastAsia="zh-CN" w:bidi="ar"/>
                    </w:rPr>
                    <w:t>墨</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5EB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i w:val="0"/>
                      <w:iCs w:val="0"/>
                      <w:color w:val="305070"/>
                      <w:sz w:val="21"/>
                      <w:szCs w:val="21"/>
                      <w:u w:val="none"/>
                      <w:lang w:val="en-US" w:eastAsia="zh-CN"/>
                    </w:rPr>
                  </w:pPr>
                  <w:r>
                    <w:rPr>
                      <w:rFonts w:hint="eastAsia" w:ascii="Times New Roman" w:hAnsi="Times New Roman" w:eastAsia="宋体" w:cs="Times New Roman"/>
                      <w:b w:val="0"/>
                      <w:bCs w:val="0"/>
                      <w:i w:val="0"/>
                      <w:iCs w:val="0"/>
                      <w:color w:val="000000"/>
                      <w:kern w:val="0"/>
                      <w:sz w:val="21"/>
                      <w:szCs w:val="21"/>
                      <w:u w:val="none"/>
                      <w:lang w:val="en-US" w:eastAsia="zh-CN" w:bidi="ar"/>
                    </w:rPr>
                    <w:t>乙酸乙酯20~30%、乙酸丙酯10~20%、2-丙醇10~20%、1-甲氧基-2-丙醇5~10%、乙酸丁酯5~10%、正丙醇1~3%、1-乙氧基-2-丙醇1~3%、石脑油(石油)、重烷基的化合物≤0.1%、炭黑8~12%、氯乙烯与乙酸乙烯系列共聚树脂1~4%、聚合物0.5~1.5%、硅酸铝钠0.5~1%、硅胶0.5~1%、氯化聚丙烯0.1~0.2%、椰油烷基乙基二甲基季铵乙基硫酸盐0.01~0.05%、|H00000201315|Polyurethane Resin8~12%</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CAC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黑色液体</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cs="Times New Roman"/>
                      <w:i w:val="0"/>
                      <w:iCs w:val="0"/>
                      <w:color w:val="000000"/>
                      <w:kern w:val="0"/>
                      <w:sz w:val="21"/>
                      <w:szCs w:val="21"/>
                      <w:u w:val="none"/>
                      <w:lang w:val="en-US" w:eastAsia="zh-CN" w:bidi="ar"/>
                    </w:rPr>
                    <w:t>刺激性</w:t>
                  </w:r>
                  <w:r>
                    <w:rPr>
                      <w:rFonts w:hint="default" w:ascii="Times New Roman" w:hAnsi="Times New Roman" w:eastAsia="宋体" w:cs="Times New Roman"/>
                      <w:i w:val="0"/>
                      <w:iCs w:val="0"/>
                      <w:color w:val="000000"/>
                      <w:kern w:val="0"/>
                      <w:sz w:val="21"/>
                      <w:szCs w:val="21"/>
                      <w:u w:val="none"/>
                      <w:lang w:val="en-US" w:eastAsia="zh-CN" w:bidi="ar"/>
                    </w:rPr>
                    <w:t>气味，沸点：77.1℃(乙酯)或更高，闪点：≥-4℃,</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相对密度(水=1):0.8~1.4/25℃。可溶于醇、醚、酯等，不溶于水。</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EBAC">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易燃液体 - 类别 2</w:t>
                  </w:r>
                </w:p>
                <w:p w14:paraId="361C8F0F">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急性毒性 (吸入) - 类别4</w:t>
                  </w:r>
                </w:p>
                <w:p w14:paraId="6E4A158C">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严重眼损伤/眼刺激 - 类别 2A</w:t>
                  </w:r>
                </w:p>
                <w:p w14:paraId="13C24B21">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生殖细胞致突变性 - 类别 1B</w:t>
                  </w:r>
                </w:p>
                <w:p w14:paraId="0CFC50BD">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致癌性 - 类别 1B</w:t>
                  </w:r>
                </w:p>
                <w:p w14:paraId="267966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特异性靶器官毒性 一次接触(麻醉效应) - 类别 3</w:t>
                  </w:r>
                </w:p>
              </w:tc>
            </w:tr>
            <w:tr w14:paraId="1BDD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76F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聚氨酯胶粘剂</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A226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乙酸乙酯30~40%、乙酸甲酯10~20%、改性醇酸树脂45~55%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98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淡黄色黏稠液体，有乙酸乙酯的气味。闪点：-</w:t>
                  </w:r>
                  <w:r>
                    <w:rPr>
                      <w:rFonts w:hint="eastAsia"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lang w:val="en-US" w:eastAsia="zh-CN" w:bidi="ar"/>
                    </w:rPr>
                    <w:t>℃</w:t>
                  </w:r>
                  <w:r>
                    <w:rPr>
                      <w:rStyle w:val="160"/>
                      <w:rFonts w:hint="default" w:ascii="Times New Roman" w:hAnsi="Times New Roman" w:eastAsia="宋体" w:cs="Times New Roman"/>
                      <w:sz w:val="21"/>
                      <w:szCs w:val="21"/>
                      <w:lang w:val="en-US" w:eastAsia="zh-CN" w:bidi="ar"/>
                    </w:rPr>
                    <w:t>。</w:t>
                  </w:r>
                  <w:r>
                    <w:rPr>
                      <w:rStyle w:val="160"/>
                      <w:rFonts w:hint="default" w:ascii="Times New Roman" w:hAnsi="Times New Roman" w:eastAsia="宋体" w:cs="Times New Roman"/>
                      <w:sz w:val="21"/>
                      <w:szCs w:val="21"/>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不溶于水，可混溶于溶剂油、苯、醇、醚等多数有机溶剂。</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69B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rPr>
                    <w:t>特异性靶器官毒性 一次接触(麻醉效应) - 类别 3</w:t>
                  </w:r>
                </w:p>
              </w:tc>
            </w:tr>
            <w:tr w14:paraId="7A05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87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聚氨酯</w:t>
                  </w:r>
                  <w:r>
                    <w:rPr>
                      <w:rStyle w:val="163"/>
                      <w:rFonts w:hint="default" w:ascii="Times New Roman" w:hAnsi="Times New Roman" w:eastAsia="宋体" w:cs="Times New Roman"/>
                      <w:sz w:val="21"/>
                      <w:szCs w:val="21"/>
                      <w:lang w:val="en-US" w:eastAsia="zh-CN" w:bidi="ar"/>
                    </w:rPr>
                    <w:t>固</w:t>
                  </w:r>
                  <w:r>
                    <w:rPr>
                      <w:rFonts w:hint="default" w:ascii="Times New Roman" w:hAnsi="Times New Roman" w:eastAsia="宋体" w:cs="Times New Roman"/>
                      <w:i w:val="0"/>
                      <w:iCs w:val="0"/>
                      <w:color w:val="000000"/>
                      <w:kern w:val="0"/>
                      <w:sz w:val="21"/>
                      <w:szCs w:val="21"/>
                      <w:u w:val="none"/>
                      <w:lang w:val="en-US" w:eastAsia="zh-CN" w:bidi="ar"/>
                    </w:rPr>
                    <w:t>化剂</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DA4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乙酸乙酯</w:t>
                  </w:r>
                  <w:r>
                    <w:rPr>
                      <w:rFonts w:hint="eastAsia" w:cs="Times New Roman"/>
                      <w:b w:val="0"/>
                      <w:bCs w:val="0"/>
                      <w:i w:val="0"/>
                      <w:iCs w:val="0"/>
                      <w:color w:val="000000"/>
                      <w:kern w:val="0"/>
                      <w:sz w:val="21"/>
                      <w:szCs w:val="21"/>
                      <w:u w:val="none"/>
                      <w:lang w:val="en-US" w:eastAsia="zh-CN" w:bidi="ar"/>
                    </w:rPr>
                    <w:t>2</w:t>
                  </w:r>
                  <w:r>
                    <w:rPr>
                      <w:rFonts w:hint="eastAsia" w:ascii="Times New Roman" w:hAnsi="Times New Roman" w:eastAsia="宋体" w:cs="Times New Roman"/>
                      <w:b w:val="0"/>
                      <w:bCs w:val="0"/>
                      <w:i w:val="0"/>
                      <w:iCs w:val="0"/>
                      <w:color w:val="000000"/>
                      <w:kern w:val="0"/>
                      <w:sz w:val="21"/>
                      <w:szCs w:val="21"/>
                      <w:u w:val="none"/>
                      <w:lang w:val="en-US" w:eastAsia="zh-CN" w:bidi="ar"/>
                    </w:rPr>
                    <w:t>0~</w:t>
                  </w:r>
                  <w:r>
                    <w:rPr>
                      <w:rFonts w:hint="eastAsia" w:cs="Times New Roman"/>
                      <w:b w:val="0"/>
                      <w:bCs w:val="0"/>
                      <w:i w:val="0"/>
                      <w:iCs w:val="0"/>
                      <w:color w:val="000000"/>
                      <w:kern w:val="0"/>
                      <w:sz w:val="21"/>
                      <w:szCs w:val="21"/>
                      <w:u w:val="none"/>
                      <w:lang w:val="en-US" w:eastAsia="zh-CN" w:bidi="ar"/>
                    </w:rPr>
                    <w:t>3</w:t>
                  </w:r>
                  <w:r>
                    <w:rPr>
                      <w:rFonts w:hint="eastAsia" w:ascii="Times New Roman" w:hAnsi="Times New Roman" w:eastAsia="宋体" w:cs="Times New Roman"/>
                      <w:b w:val="0"/>
                      <w:bCs w:val="0"/>
                      <w:i w:val="0"/>
                      <w:iCs w:val="0"/>
                      <w:color w:val="000000"/>
                      <w:kern w:val="0"/>
                      <w:sz w:val="21"/>
                      <w:szCs w:val="21"/>
                      <w:u w:val="none"/>
                      <w:lang w:val="en-US" w:eastAsia="zh-CN" w:bidi="ar"/>
                    </w:rPr>
                    <w:t>0%、</w:t>
                  </w:r>
                  <w:r>
                    <w:rPr>
                      <w:rFonts w:hint="eastAsia" w:cs="Times New Roman"/>
                      <w:b w:val="0"/>
                      <w:bCs w:val="0"/>
                      <w:i w:val="0"/>
                      <w:iCs w:val="0"/>
                      <w:color w:val="000000"/>
                      <w:kern w:val="0"/>
                      <w:sz w:val="21"/>
                      <w:szCs w:val="21"/>
                      <w:u w:val="none"/>
                      <w:lang w:val="en-US" w:eastAsia="zh-CN" w:bidi="ar"/>
                    </w:rPr>
                    <w:t>其他70~80%</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5806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透明</w:t>
                  </w:r>
                  <w:r>
                    <w:rPr>
                      <w:rFonts w:hint="default" w:cs="Times New Roman"/>
                      <w:b w:val="0"/>
                      <w:bCs w:val="0"/>
                      <w:i w:val="0"/>
                      <w:iCs w:val="0"/>
                      <w:color w:val="000000"/>
                      <w:kern w:val="0"/>
                      <w:sz w:val="21"/>
                      <w:szCs w:val="21"/>
                      <w:u w:val="none"/>
                      <w:lang w:val="en-US" w:eastAsia="zh-CN" w:bidi="ar"/>
                    </w:rPr>
                    <w:t>液体，</w:t>
                  </w:r>
                  <w:r>
                    <w:rPr>
                      <w:rFonts w:hint="eastAsia" w:cs="Times New Roman"/>
                      <w:b w:val="0"/>
                      <w:bCs w:val="0"/>
                      <w:i w:val="0"/>
                      <w:iCs w:val="0"/>
                      <w:color w:val="000000"/>
                      <w:kern w:val="0"/>
                      <w:sz w:val="21"/>
                      <w:szCs w:val="21"/>
                      <w:u w:val="none"/>
                      <w:lang w:val="en-US" w:eastAsia="zh-CN" w:bidi="ar"/>
                    </w:rPr>
                    <w:t>刺激性气味</w:t>
                  </w:r>
                  <w:r>
                    <w:rPr>
                      <w:rFonts w:hint="default" w:cs="Times New Roman"/>
                      <w:b w:val="0"/>
                      <w:bCs w:val="0"/>
                      <w:i w:val="0"/>
                      <w:iCs w:val="0"/>
                      <w:color w:val="000000"/>
                      <w:kern w:val="0"/>
                      <w:sz w:val="21"/>
                      <w:szCs w:val="21"/>
                      <w:u w:val="none"/>
                      <w:lang w:val="en-US" w:eastAsia="zh-CN" w:bidi="ar"/>
                    </w:rPr>
                    <w:t>。沸点：77.1℃,闪点：-4℃</w:t>
                  </w:r>
                  <w:r>
                    <w:rPr>
                      <w:rFonts w:hint="eastAsia" w:cs="Times New Roman"/>
                      <w:b w:val="0"/>
                      <w:bCs w:val="0"/>
                      <w:i w:val="0"/>
                      <w:iCs w:val="0"/>
                      <w:color w:val="000000"/>
                      <w:kern w:val="0"/>
                      <w:sz w:val="21"/>
                      <w:szCs w:val="21"/>
                      <w:u w:val="none"/>
                      <w:lang w:val="en-US" w:eastAsia="zh-CN" w:bidi="ar"/>
                    </w:rPr>
                    <w:t>。</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ADBA1">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s="Times New Roman"/>
                      <w:b w:val="0"/>
                      <w:bCs w:val="0"/>
                      <w:i w:val="0"/>
                      <w:iCs w:val="0"/>
                      <w:color w:val="000000"/>
                      <w:kern w:val="0"/>
                      <w:sz w:val="21"/>
                      <w:szCs w:val="21"/>
                      <w:u w:val="none"/>
                      <w:lang w:val="en-US" w:eastAsia="zh-CN" w:bidi="ar"/>
                    </w:rPr>
                  </w:pPr>
                  <w:r>
                    <w:rPr>
                      <w:rFonts w:hint="default" w:cs="Times New Roman"/>
                      <w:b w:val="0"/>
                      <w:bCs w:val="0"/>
                      <w:i w:val="0"/>
                      <w:iCs w:val="0"/>
                      <w:color w:val="000000"/>
                      <w:kern w:val="0"/>
                      <w:sz w:val="21"/>
                      <w:szCs w:val="21"/>
                      <w:u w:val="none"/>
                      <w:lang w:val="en-US" w:eastAsia="zh-CN" w:bidi="ar"/>
                    </w:rPr>
                    <w:t>易燃液体 - 类别 2</w:t>
                  </w:r>
                </w:p>
                <w:p w14:paraId="388115C5">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s="Times New Roman"/>
                      <w:b w:val="0"/>
                      <w:bCs w:val="0"/>
                      <w:i w:val="0"/>
                      <w:iCs w:val="0"/>
                      <w:color w:val="000000"/>
                      <w:kern w:val="0"/>
                      <w:sz w:val="21"/>
                      <w:szCs w:val="21"/>
                      <w:u w:val="none"/>
                      <w:lang w:val="en-US" w:eastAsia="zh-CN" w:bidi="ar"/>
                    </w:rPr>
                  </w:pPr>
                  <w:r>
                    <w:rPr>
                      <w:rFonts w:hint="default" w:cs="Times New Roman"/>
                      <w:b w:val="0"/>
                      <w:bCs w:val="0"/>
                      <w:i w:val="0"/>
                      <w:iCs w:val="0"/>
                      <w:color w:val="000000"/>
                      <w:kern w:val="0"/>
                      <w:sz w:val="21"/>
                      <w:szCs w:val="21"/>
                      <w:u w:val="none"/>
                      <w:lang w:val="en-US" w:eastAsia="zh-CN" w:bidi="ar"/>
                    </w:rPr>
                    <w:t>急性毒性 (吸入) - 类别4</w:t>
                  </w:r>
                </w:p>
                <w:p w14:paraId="13EC31D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s="Times New Roman"/>
                      <w:b w:val="0"/>
                      <w:bCs w:val="0"/>
                      <w:i w:val="0"/>
                      <w:iCs w:val="0"/>
                      <w:color w:val="000000"/>
                      <w:kern w:val="0"/>
                      <w:sz w:val="21"/>
                      <w:szCs w:val="21"/>
                      <w:u w:val="none"/>
                      <w:lang w:val="en-US" w:eastAsia="zh-CN" w:bidi="ar"/>
                    </w:rPr>
                  </w:pPr>
                  <w:r>
                    <w:rPr>
                      <w:rFonts w:hint="default" w:cs="Times New Roman"/>
                      <w:b w:val="0"/>
                      <w:bCs w:val="0"/>
                      <w:i w:val="0"/>
                      <w:iCs w:val="0"/>
                      <w:color w:val="000000"/>
                      <w:kern w:val="0"/>
                      <w:sz w:val="21"/>
                      <w:szCs w:val="21"/>
                      <w:u w:val="none"/>
                      <w:lang w:val="en-US" w:eastAsia="zh-CN" w:bidi="ar"/>
                    </w:rPr>
                    <w:t>严重眼损伤/眼刺激 - 类别 2A</w:t>
                  </w:r>
                </w:p>
                <w:p w14:paraId="62A6B24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cs="Times New Roman"/>
                      <w:b w:val="0"/>
                      <w:bCs w:val="0"/>
                      <w:i w:val="0"/>
                      <w:iCs w:val="0"/>
                      <w:color w:val="000000"/>
                      <w:kern w:val="0"/>
                      <w:sz w:val="21"/>
                      <w:szCs w:val="21"/>
                      <w:u w:val="none"/>
                      <w:lang w:val="en-US" w:eastAsia="zh-CN" w:bidi="ar"/>
                    </w:rPr>
                  </w:pPr>
                  <w:r>
                    <w:rPr>
                      <w:rFonts w:hint="default" w:cs="Times New Roman"/>
                      <w:b w:val="0"/>
                      <w:bCs w:val="0"/>
                      <w:i w:val="0"/>
                      <w:iCs w:val="0"/>
                      <w:color w:val="000000"/>
                      <w:kern w:val="0"/>
                      <w:sz w:val="21"/>
                      <w:szCs w:val="21"/>
                      <w:u w:val="none"/>
                      <w:lang w:val="en-US" w:eastAsia="zh-CN" w:bidi="ar"/>
                    </w:rPr>
                    <w:t>特异性靶器官毒性 一次接触 (麻醉效应) - 类别3</w:t>
                  </w:r>
                </w:p>
              </w:tc>
            </w:tr>
            <w:tr w14:paraId="22F1C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1"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E1EC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无溶剂聚氨酯</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胶粘剂</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FAA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 xml:space="preserve">改性异氰酸酯 </w:t>
                  </w:r>
                </w:p>
                <w:p w14:paraId="253A347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55%、</w:t>
                  </w:r>
                </w:p>
                <w:p w14:paraId="6473B20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组合聚醚</w:t>
                  </w:r>
                  <w:r>
                    <w:rPr>
                      <w:rFonts w:hint="eastAsia" w:ascii="Times New Roman" w:hAnsi="Times New Roman" w:eastAsia="宋体" w:cs="Times New Roman"/>
                      <w:b w:val="0"/>
                      <w:bCs w:val="0"/>
                      <w:i w:val="0"/>
                      <w:iCs w:val="0"/>
                      <w:color w:val="000000"/>
                      <w:kern w:val="0"/>
                      <w:sz w:val="21"/>
                      <w:szCs w:val="21"/>
                      <w:u w:val="none"/>
                      <w:lang w:val="en-US" w:eastAsia="zh-CN" w:bidi="ar"/>
                    </w:rPr>
                    <w:t>45%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7C8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异氰酸酯预聚体，密度为1.</w:t>
                  </w:r>
                  <w:r>
                    <w:rPr>
                      <w:rFonts w:hint="eastAsia" w:cs="Times New Roman"/>
                      <w:i w:val="0"/>
                      <w:iCs w:val="0"/>
                      <w:color w:val="000000"/>
                      <w:kern w:val="0"/>
                      <w:sz w:val="21"/>
                      <w:szCs w:val="21"/>
                      <w:u w:val="none"/>
                      <w:lang w:val="en-US" w:eastAsia="zh-CN" w:bidi="ar"/>
                    </w:rPr>
                    <w:t>12</w:t>
                  </w:r>
                  <w:r>
                    <w:rPr>
                      <w:rFonts w:hint="default" w:ascii="Times New Roman" w:hAnsi="Times New Roman" w:eastAsia="宋体" w:cs="Times New Roman"/>
                      <w:i w:val="0"/>
                      <w:iCs w:val="0"/>
                      <w:color w:val="000000"/>
                      <w:kern w:val="0"/>
                      <w:sz w:val="21"/>
                      <w:szCs w:val="21"/>
                      <w:u w:val="none"/>
                      <w:lang w:val="en-US" w:eastAsia="zh-CN" w:bidi="ar"/>
                    </w:rPr>
                    <w:t>g/cm³(25℃)。</w:t>
                  </w:r>
                  <w:r>
                    <w:rPr>
                      <w:rFonts w:hint="eastAsia" w:ascii="Times New Roman" w:hAnsi="Times New Roman" w:eastAsia="宋体" w:cs="Times New Roman"/>
                      <w:i w:val="0"/>
                      <w:iCs w:val="0"/>
                      <w:color w:val="000000"/>
                      <w:kern w:val="0"/>
                      <w:sz w:val="21"/>
                      <w:szCs w:val="21"/>
                      <w:u w:val="none"/>
                      <w:lang w:val="en-US" w:eastAsia="zh-CN" w:bidi="ar"/>
                    </w:rPr>
                    <w:t>外观与性状：有色有微量溶剂气味液体。溶解性：不溶于水， 溶于醋酸乙酯、醋酸正丙酯、醋酸丁酯。主要用途： 塑料膜复合。</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2B0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无急性毒性资料。</w:t>
                  </w:r>
                </w:p>
              </w:tc>
            </w:tr>
            <w:tr w14:paraId="5BE37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D52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30404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铝箔油</w:t>
                  </w:r>
                  <w:r>
                    <w:rPr>
                      <w:rFonts w:hint="default" w:ascii="Times New Roman" w:hAnsi="Times New Roman" w:eastAsia="宋体" w:cs="Times New Roman"/>
                      <w:i w:val="0"/>
                      <w:iCs w:val="0"/>
                      <w:color w:val="304040"/>
                      <w:kern w:val="0"/>
                      <w:sz w:val="21"/>
                      <w:szCs w:val="21"/>
                      <w:u w:val="none"/>
                      <w:lang w:val="en-US" w:eastAsia="zh-CN" w:bidi="ar"/>
                    </w:rPr>
                    <w:t>墨</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5B2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2-丁酮30~40%、 醋酸乙酯5~10%、醋酸丙脂15~25%、4-甲基-2-戊酮5~10%、</w:t>
                  </w:r>
                  <w:r>
                    <w:rPr>
                      <w:rFonts w:hint="eastAsia" w:cs="Times New Roman"/>
                      <w:b w:val="0"/>
                      <w:bCs w:val="0"/>
                      <w:i w:val="0"/>
                      <w:iCs w:val="0"/>
                      <w:color w:val="000000"/>
                      <w:kern w:val="0"/>
                      <w:sz w:val="21"/>
                      <w:szCs w:val="21"/>
                      <w:u w:val="none"/>
                      <w:lang w:val="en-US" w:eastAsia="zh-CN" w:bidi="ar"/>
                    </w:rPr>
                    <w:t>其他15~45%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59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彩色或无色液体，芳香臭。沸点：77.1℃(醋酸乙酯类推),熔点：-83.6℃(醋酸乙酯类推),蒸气压：13.3Kpa</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(醋酸乙酯类推),比重：0.8~1.24/25℃。不溶于水。</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A96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易燃液体- 类别 2</w:t>
                  </w:r>
                </w:p>
                <w:p w14:paraId="032685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急性毒性 (吸入) - 类别4</w:t>
                  </w:r>
                </w:p>
                <w:p w14:paraId="7D410E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严重眼损伤/眼刺激-类别2A</w:t>
                  </w:r>
                </w:p>
                <w:p w14:paraId="00F4DE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sz w:val="21"/>
                      <w:szCs w:val="21"/>
                      <w:u w:val="none"/>
                    </w:rPr>
                    <w:t>特异性靶器官毒性一次接触 (麻醉效应) -类别 3</w:t>
                  </w:r>
                </w:p>
              </w:tc>
            </w:tr>
            <w:tr w14:paraId="671F6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6C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OP保护剂</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8E46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丙烯酸树脂15~25%、醋酸乙酯10~30%、醋酸丙脂5~15%、醋酸丁酯10~25%、丙二醇甲醚0~10%、乙醇10~30%</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BEBBD">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性状：无色至微黄色液体，有芳香气味，易挥发。</w:t>
                  </w:r>
                </w:p>
                <w:p w14:paraId="473C0D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沸点：</w:t>
                  </w:r>
                  <w:r>
                    <w:rPr>
                      <w:rFonts w:hint="eastAsia" w:cs="Times New Roman"/>
                      <w:i w:val="0"/>
                      <w:iCs w:val="0"/>
                      <w:color w:val="000000"/>
                      <w:kern w:val="0"/>
                      <w:sz w:val="21"/>
                      <w:szCs w:val="21"/>
                      <w:u w:val="none"/>
                      <w:lang w:val="en-US" w:eastAsia="zh-CN" w:bidi="ar"/>
                    </w:rPr>
                    <w:t>76-130</w:t>
                  </w:r>
                  <w:r>
                    <w:rPr>
                      <w:rFonts w:hint="default" w:ascii="Times New Roman" w:hAnsi="Times New Roman" w:eastAsia="宋体" w:cs="Times New Roman"/>
                      <w:i w:val="0"/>
                      <w:iCs w:val="0"/>
                      <w:color w:val="000000"/>
                      <w:kern w:val="0"/>
                      <w:sz w:val="21"/>
                      <w:szCs w:val="21"/>
                      <w:u w:val="none"/>
                      <w:lang w:val="en-US" w:eastAsia="zh-CN" w:bidi="ar"/>
                    </w:rPr>
                    <w:t>℃,相对密度:0.</w:t>
                  </w:r>
                  <w:r>
                    <w:rPr>
                      <w:rFonts w:hint="eastAsia" w:cs="Times New Roman"/>
                      <w:i w:val="0"/>
                      <w:iCs w:val="0"/>
                      <w:color w:val="000000"/>
                      <w:kern w:val="0"/>
                      <w:sz w:val="21"/>
                      <w:szCs w:val="21"/>
                      <w:u w:val="none"/>
                      <w:lang w:val="en-US" w:eastAsia="zh-CN" w:bidi="ar"/>
                    </w:rPr>
                    <w:t>87-0.97</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溶解性：微溶于水，溶于醇、酮、醚、氯仿等多数有机溶剂</w:t>
                  </w:r>
                  <w:r>
                    <w:rPr>
                      <w:rFonts w:hint="default" w:ascii="Times New Roman" w:hAnsi="Times New Roman" w:eastAsia="宋体" w:cs="Times New Roman"/>
                      <w:i w:val="0"/>
                      <w:iCs w:val="0"/>
                      <w:color w:val="000000"/>
                      <w:kern w:val="0"/>
                      <w:sz w:val="21"/>
                      <w:szCs w:val="21"/>
                      <w:u w:val="none"/>
                      <w:lang w:val="en-US" w:eastAsia="zh-CN" w:bidi="ar"/>
                    </w:rPr>
                    <w:t>。</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EA042">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易燃液体：类别2</w:t>
                  </w:r>
                </w:p>
                <w:p w14:paraId="5389937C">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皮肤腐蚀/刺激性：类别2</w:t>
                  </w:r>
                </w:p>
                <w:p w14:paraId="72FEA96D">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严重眼损伤/眼刺激：类别2A</w:t>
                  </w:r>
                </w:p>
                <w:p w14:paraId="027301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特异性靶器官毒性-单次接触：麻醉效应类别3危害水生环境，长期危害：类别2侵入途径：吸入、食入、经皮吸收。</w:t>
                  </w:r>
                </w:p>
              </w:tc>
            </w:tr>
            <w:tr w14:paraId="47BE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5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VC胶粘剂</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6E1DD">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树脂25%、醋酸乙酯20~35%、丁酮30~35%、醋酸正丙脂10~20%</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5F284">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性状：无色至微黄色液体，有芳香气味，易挥发。</w:t>
                  </w:r>
                </w:p>
                <w:p w14:paraId="0C8122EE">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闪点(℃):&lt;10</w:t>
                  </w:r>
                </w:p>
                <w:p w14:paraId="46A18B49">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沸点(℃):76-110</w:t>
                  </w:r>
                </w:p>
                <w:p w14:paraId="00266C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相对密度(水=1):0.92-0.96</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溶解性：微溶于水，溶于醇、酮、醚、氯仿等多数有机溶剂</w:t>
                  </w:r>
                  <w:r>
                    <w:rPr>
                      <w:rFonts w:hint="default" w:ascii="Times New Roman" w:hAnsi="Times New Roman" w:eastAsia="宋体" w:cs="Times New Roman"/>
                      <w:i w:val="0"/>
                      <w:iCs w:val="0"/>
                      <w:color w:val="000000"/>
                      <w:kern w:val="0"/>
                      <w:sz w:val="21"/>
                      <w:szCs w:val="21"/>
                      <w:u w:val="none"/>
                      <w:lang w:val="en-US" w:eastAsia="zh-CN" w:bidi="ar"/>
                    </w:rPr>
                    <w:t>。</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6CBE">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易燃液体：类别2</w:t>
                  </w:r>
                </w:p>
                <w:p w14:paraId="60B772B7">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皮肤腐蚀/刺激性：类别2</w:t>
                  </w:r>
                </w:p>
                <w:p w14:paraId="04CA3DBA">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严重眼损伤/眼刺激：类别2A</w:t>
                  </w:r>
                </w:p>
                <w:p w14:paraId="57668447">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特异性靶器官毒性-单次接触：麻醉效应类别3</w:t>
                  </w:r>
                </w:p>
                <w:p w14:paraId="2D3EA183">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危害水生环境，长期危害：类别2</w:t>
                  </w:r>
                </w:p>
                <w:p w14:paraId="56A3E6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侵入途径：吸入、食入、经皮吸收。</w:t>
                  </w:r>
                </w:p>
              </w:tc>
            </w:tr>
            <w:tr w14:paraId="2485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07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乙酸乙酯</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2FB7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C</w:t>
                  </w:r>
                  <w:r>
                    <w:rPr>
                      <w:rFonts w:hint="default" w:ascii="Times New Roman" w:hAnsi="Times New Roman" w:eastAsia="宋体" w:cs="Times New Roman"/>
                      <w:b w:val="0"/>
                      <w:bCs w:val="0"/>
                      <w:i w:val="0"/>
                      <w:iCs w:val="0"/>
                      <w:color w:val="000000"/>
                      <w:kern w:val="0"/>
                      <w:sz w:val="21"/>
                      <w:szCs w:val="21"/>
                      <w:u w:val="none"/>
                      <w:vertAlign w:val="subscript"/>
                      <w:lang w:val="en-US" w:eastAsia="zh-CN" w:bidi="ar"/>
                    </w:rPr>
                    <w:t>4</w:t>
                  </w:r>
                  <w:r>
                    <w:rPr>
                      <w:rFonts w:hint="default" w:ascii="Times New Roman" w:hAnsi="Times New Roman" w:eastAsia="宋体" w:cs="Times New Roman"/>
                      <w:b w:val="0"/>
                      <w:bCs w:val="0"/>
                      <w:i w:val="0"/>
                      <w:iCs w:val="0"/>
                      <w:color w:val="000000"/>
                      <w:kern w:val="0"/>
                      <w:sz w:val="21"/>
                      <w:szCs w:val="21"/>
                      <w:u w:val="none"/>
                      <w:lang w:val="en-US" w:eastAsia="zh-CN" w:bidi="ar"/>
                    </w:rPr>
                    <w:t>H</w:t>
                  </w:r>
                  <w:r>
                    <w:rPr>
                      <w:rFonts w:hint="eastAsia" w:cs="Times New Roman"/>
                      <w:b w:val="0"/>
                      <w:bCs w:val="0"/>
                      <w:i w:val="0"/>
                      <w:iCs w:val="0"/>
                      <w:color w:val="000000"/>
                      <w:kern w:val="0"/>
                      <w:sz w:val="21"/>
                      <w:szCs w:val="21"/>
                      <w:u w:val="none"/>
                      <w:vertAlign w:val="subscript"/>
                      <w:lang w:val="en-US" w:eastAsia="zh-CN" w:bidi="ar"/>
                    </w:rPr>
                    <w:t>8</w:t>
                  </w:r>
                  <w:r>
                    <w:rPr>
                      <w:rFonts w:hint="default" w:ascii="Times New Roman" w:hAnsi="Times New Roman" w:eastAsia="宋体" w:cs="Times New Roman"/>
                      <w:b w:val="0"/>
                      <w:bCs w:val="0"/>
                      <w:i w:val="0"/>
                      <w:iCs w:val="0"/>
                      <w:color w:val="000000"/>
                      <w:kern w:val="0"/>
                      <w:sz w:val="21"/>
                      <w:szCs w:val="21"/>
                      <w:u w:val="none"/>
                      <w:lang w:val="en-US" w:eastAsia="zh-CN" w:bidi="ar"/>
                    </w:rPr>
                    <w:t>O₂</w:t>
                  </w:r>
                  <w:r>
                    <w:rPr>
                      <w:rFonts w:hint="eastAsia" w:cs="Times New Roman"/>
                      <w:b w:val="0"/>
                      <w:bCs w:val="0"/>
                      <w:i w:val="0"/>
                      <w:iCs w:val="0"/>
                      <w:color w:val="000000"/>
                      <w:kern w:val="0"/>
                      <w:sz w:val="21"/>
                      <w:szCs w:val="21"/>
                      <w:u w:val="none"/>
                      <w:lang w:val="en-US" w:eastAsia="zh-CN" w:bidi="ar"/>
                    </w:rPr>
                    <w:t xml:space="preserve">  100%</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153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主要用作有机溶剂，乙酸乙酯是无色澄清液体，有芳香气味，易挥发。微溶于水，溶于醇、酮、醚、氯仿等多数有机溶剂。熔点-83.6℃。沸点77.2℃。闪点-4℃。相对密度(水=1):0.90,相对蒸气密度(空气=1):3.04, 饱和蒸汽压：13.3KPa(27℃)</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C46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急性毒性LD</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:5620mg/kg(大鼠</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经口);4940mg/kg(兔经口);LC</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:5760mg/kg,8小时(大鼠经</w:t>
                  </w:r>
                  <w:r>
                    <w:rPr>
                      <w:rStyle w:val="168"/>
                      <w:rFonts w:hint="default" w:ascii="Times New Roman" w:hAnsi="Times New Roman" w:eastAsia="宋体" w:cs="Times New Roman"/>
                      <w:sz w:val="21"/>
                      <w:szCs w:val="21"/>
                      <w:lang w:val="en-US" w:eastAsia="zh-CN" w:bidi="ar"/>
                    </w:rPr>
                    <w:t>口)</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生态毒性LC</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0:220-250mg/L(肥头鱼，96小时);EC</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:560mg/L(水蚤，48小时)。</w:t>
                  </w:r>
                </w:p>
              </w:tc>
            </w:tr>
            <w:tr w14:paraId="79EE4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D7B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 E粒子</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1DE7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181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高密度聚乙烯树脂，呈柱状或扁平状颗粒，相对密度(水=1)≥0.94。常温下不溶于已知溶剂，但与脂肪烃、芳香烃、卤代烃长时间接触时能溶胀。</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CF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无急性毒性资料。</w:t>
                  </w:r>
                </w:p>
              </w:tc>
            </w:tr>
            <w:tr w14:paraId="45C52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F08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医用</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酒精</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F2C9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乙醇75%</w:t>
                  </w:r>
                </w:p>
              </w:tc>
              <w:tc>
                <w:tcPr>
                  <w:tcW w:w="15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468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主要成分为乙醇，无色液体，密度0.8g/ml,与水与多数有机溶剂混溶</w:t>
                  </w:r>
                </w:p>
              </w:tc>
              <w:tc>
                <w:tcPr>
                  <w:tcW w:w="1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94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乙醇：LD</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:15010mg/kg(大鼠经口)、吸入(大鼠)LC</w:t>
                  </w:r>
                  <w:r>
                    <w:rPr>
                      <w:rFonts w:hint="eastAsia" w:ascii="Times New Roman" w:hAnsi="Times New Roman" w:eastAsia="宋体" w:cs="Times New Roman"/>
                      <w:i w:val="0"/>
                      <w:iCs w:val="0"/>
                      <w:color w:val="000000"/>
                      <w:kern w:val="0"/>
                      <w:sz w:val="21"/>
                      <w:szCs w:val="21"/>
                      <w:u w:val="none"/>
                      <w:vertAlign w:val="subscript"/>
                      <w:lang w:val="en-US" w:eastAsia="zh-CN" w:bidi="ar"/>
                    </w:rPr>
                    <w:t>50</w:t>
                  </w:r>
                  <w:r>
                    <w:rPr>
                      <w:rFonts w:hint="default" w:ascii="Times New Roman" w:hAnsi="Times New Roman" w:eastAsia="宋体" w:cs="Times New Roman"/>
                      <w:i w:val="0"/>
                      <w:iCs w:val="0"/>
                      <w:color w:val="000000"/>
                      <w:kern w:val="0"/>
                      <w:sz w:val="21"/>
                      <w:szCs w:val="21"/>
                      <w:u w:val="none"/>
                      <w:lang w:val="en-US" w:eastAsia="zh-CN" w:bidi="ar"/>
                    </w:rPr>
                    <w:t>:124.7mL/kg</w:t>
                  </w:r>
                </w:p>
              </w:tc>
            </w:tr>
          </w:tbl>
          <w:p w14:paraId="070C6EF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2" w:firstLineChars="196"/>
              <w:textAlignment w:val="auto"/>
              <w:rPr>
                <w:rFonts w:hint="default" w:ascii="Times New Roman" w:hAnsi="Times New Roman" w:cs="Times New Roman"/>
                <w:b/>
                <w:color w:val="000000"/>
                <w:sz w:val="24"/>
              </w:rPr>
            </w:pPr>
            <w:r>
              <w:rPr>
                <w:rFonts w:hint="eastAsia" w:ascii="Times New Roman" w:hAnsi="Times New Roman" w:cs="Times New Roman"/>
                <w:b/>
                <w:color w:val="000000"/>
                <w:sz w:val="24"/>
              </w:rPr>
              <w:t>8、</w:t>
            </w:r>
            <w:r>
              <w:rPr>
                <w:rFonts w:hint="default" w:ascii="Times New Roman" w:hAnsi="Times New Roman" w:cs="Times New Roman"/>
                <w:b/>
                <w:color w:val="000000"/>
                <w:sz w:val="24"/>
              </w:rPr>
              <w:t>公用工程</w:t>
            </w:r>
          </w:p>
          <w:p w14:paraId="774CE44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default" w:ascii="Times New Roman" w:hAnsi="Times New Roman" w:cs="Times New Roman"/>
                <w:color w:val="000000"/>
                <w:sz w:val="24"/>
              </w:rPr>
            </w:pPr>
            <w:r>
              <w:rPr>
                <w:rFonts w:hint="eastAsia" w:ascii="宋体" w:hAnsi="宋体" w:cs="宋体"/>
                <w:color w:val="000000"/>
                <w:sz w:val="24"/>
              </w:rPr>
              <w:t>①</w:t>
            </w:r>
            <w:r>
              <w:rPr>
                <w:rFonts w:hint="default" w:ascii="Times New Roman" w:hAnsi="Times New Roman" w:cs="Times New Roman"/>
                <w:color w:val="000000"/>
                <w:sz w:val="24"/>
              </w:rPr>
              <w:t>给水</w:t>
            </w:r>
            <w:r>
              <w:rPr>
                <w:rFonts w:hint="eastAsia" w:ascii="Times New Roman" w:hAnsi="Times New Roman" w:cs="Times New Roman"/>
                <w:color w:val="000000"/>
                <w:sz w:val="24"/>
              </w:rPr>
              <w:t>：</w:t>
            </w:r>
            <w:r>
              <w:rPr>
                <w:rFonts w:hint="eastAsia" w:ascii="Times New Roman" w:hAnsi="Times New Roman" w:cs="Times New Roman"/>
                <w:color w:val="000000"/>
                <w:sz w:val="24"/>
                <w:lang w:val="en-US" w:eastAsia="zh-CN"/>
              </w:rPr>
              <w:t>用水主要来自于市政供水</w:t>
            </w:r>
            <w:r>
              <w:rPr>
                <w:rFonts w:hint="eastAsia" w:ascii="Times New Roman" w:hAnsi="Times New Roman" w:cs="Times New Roman"/>
                <w:color w:val="000000"/>
                <w:sz w:val="24"/>
              </w:rPr>
              <w:t>。</w:t>
            </w:r>
          </w:p>
          <w:p w14:paraId="39E561F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eastAsia" w:ascii="Times New Roman" w:hAnsi="Times New Roman" w:eastAsia="宋体" w:cs="Times New Roman"/>
                <w:color w:val="000000"/>
                <w:sz w:val="24"/>
              </w:rPr>
            </w:pPr>
            <w:r>
              <w:rPr>
                <w:rFonts w:hint="eastAsia" w:ascii="宋体" w:hAnsi="宋体" w:cs="宋体"/>
                <w:color w:val="000000"/>
                <w:sz w:val="24"/>
              </w:rPr>
              <w:t>②</w:t>
            </w:r>
            <w:r>
              <w:rPr>
                <w:rFonts w:hint="default" w:ascii="Times New Roman" w:hAnsi="Times New Roman" w:cs="Times New Roman"/>
                <w:color w:val="000000"/>
                <w:sz w:val="24"/>
              </w:rPr>
              <w:t>排水系统</w:t>
            </w:r>
            <w:r>
              <w:rPr>
                <w:rFonts w:hint="eastAsia" w:ascii="Times New Roman" w:hAnsi="Times New Roman" w:cs="Times New Roman"/>
                <w:color w:val="000000"/>
                <w:sz w:val="24"/>
              </w:rPr>
              <w:t>：厂区内采取雨污分流措施。厂</w:t>
            </w:r>
            <w:r>
              <w:rPr>
                <w:rFonts w:hint="eastAsia" w:ascii="Times New Roman" w:hAnsi="Times New Roman" w:cs="Times New Roman"/>
                <w:color w:val="000000"/>
                <w:sz w:val="24"/>
                <w:lang w:val="en-US" w:eastAsia="zh-CN"/>
              </w:rPr>
              <w:t>区四周</w:t>
            </w:r>
            <w:r>
              <w:rPr>
                <w:rFonts w:hint="eastAsia" w:ascii="Times New Roman" w:hAnsi="Times New Roman" w:cs="Times New Roman"/>
                <w:color w:val="000000"/>
                <w:sz w:val="24"/>
              </w:rPr>
              <w:t>设置雨水沟</w:t>
            </w:r>
            <w:r>
              <w:rPr>
                <w:rFonts w:hint="eastAsia" w:ascii="Times New Roman" w:hAnsi="Times New Roman" w:cs="Times New Roman"/>
                <w:color w:val="000000"/>
                <w:sz w:val="24"/>
                <w:lang w:eastAsia="zh-CN"/>
              </w:rPr>
              <w:t>，排至园区市政雨水管网；</w:t>
            </w:r>
            <w:r>
              <w:rPr>
                <w:rFonts w:hint="eastAsia" w:ascii="Times New Roman" w:hAnsi="Times New Roman" w:cs="Times New Roman"/>
                <w:color w:val="000000"/>
                <w:sz w:val="24"/>
                <w:lang w:val="en-US" w:eastAsia="zh-CN"/>
              </w:rPr>
              <w:t>冷却水循环使用</w:t>
            </w:r>
            <w:r>
              <w:rPr>
                <w:rFonts w:hint="eastAsia" w:ascii="Times New Roman" w:hAnsi="Times New Roman" w:cs="Times New Roman"/>
                <w:color w:val="000000"/>
                <w:sz w:val="24"/>
                <w:lang w:eastAsia="zh-CN"/>
              </w:rPr>
              <w:t>，不外排；生活污水</w:t>
            </w:r>
            <w:r>
              <w:rPr>
                <w:rFonts w:hint="eastAsia" w:ascii="Times New Roman" w:hAnsi="Times New Roman" w:cs="Times New Roman"/>
                <w:color w:val="000000"/>
                <w:sz w:val="24"/>
                <w:lang w:val="en-US" w:eastAsia="zh-CN"/>
              </w:rPr>
              <w:t>经</w:t>
            </w:r>
            <w:r>
              <w:rPr>
                <w:rFonts w:hint="eastAsia" w:ascii="Times New Roman" w:hAnsi="Times New Roman" w:cs="Times New Roman"/>
                <w:color w:val="000000"/>
                <w:sz w:val="24"/>
                <w:lang w:eastAsia="zh-CN"/>
              </w:rPr>
              <w:t>化粪池处理</w:t>
            </w:r>
            <w:r>
              <w:rPr>
                <w:rFonts w:hint="eastAsia" w:ascii="Times New Roman" w:hAnsi="Times New Roman" w:cs="Times New Roman"/>
                <w:color w:val="000000"/>
                <w:sz w:val="24"/>
                <w:lang w:val="en-US" w:eastAsia="zh-CN"/>
              </w:rPr>
              <w:t>达标后排入园区污水管网</w:t>
            </w:r>
            <w:r>
              <w:rPr>
                <w:rFonts w:hint="eastAsia" w:ascii="Times New Roman" w:hAnsi="Times New Roman" w:eastAsia="宋体" w:cs="Times New Roman"/>
                <w:color w:val="000000"/>
                <w:sz w:val="24"/>
              </w:rPr>
              <w:t>。</w:t>
            </w:r>
          </w:p>
          <w:p w14:paraId="18D3174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③供电</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当地</w:t>
            </w:r>
            <w:r>
              <w:rPr>
                <w:rFonts w:hint="eastAsia" w:ascii="Times New Roman" w:hAnsi="Times New Roman" w:eastAsia="宋体" w:cs="Times New Roman"/>
                <w:color w:val="000000"/>
                <w:sz w:val="24"/>
                <w:lang w:eastAsia="zh-CN"/>
              </w:rPr>
              <w:t>供电网接入。</w:t>
            </w:r>
          </w:p>
          <w:p w14:paraId="3845EC6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2" w:firstLineChars="196"/>
              <w:textAlignment w:val="auto"/>
              <w:rPr>
                <w:rFonts w:hint="eastAsia" w:ascii="Times New Roman" w:hAnsi="Times New Roman" w:eastAsia="宋体" w:cs="Times New Roman"/>
                <w:b/>
                <w:bCs/>
                <w:color w:val="000000"/>
                <w:sz w:val="24"/>
                <w:lang w:eastAsia="zh-CN"/>
              </w:rPr>
            </w:pPr>
            <w:r>
              <w:rPr>
                <w:rFonts w:hint="eastAsia" w:ascii="Times New Roman" w:hAnsi="Times New Roman" w:eastAsia="宋体" w:cs="Times New Roman"/>
                <w:b/>
                <w:bCs/>
                <w:color w:val="000000"/>
                <w:sz w:val="24"/>
                <w:lang w:eastAsia="zh-CN"/>
              </w:rPr>
              <w:t>9、劳动定员与生产班制</w:t>
            </w:r>
          </w:p>
          <w:p w14:paraId="2C06A11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eastAsia="zh-CN"/>
              </w:rPr>
              <w:t>营运期年工作时间为</w:t>
            </w:r>
            <w:r>
              <w:rPr>
                <w:rFonts w:hint="eastAsia" w:cs="Times New Roman"/>
                <w:color w:val="000000"/>
                <w:sz w:val="24"/>
                <w:lang w:val="en-US" w:eastAsia="zh-CN"/>
              </w:rPr>
              <w:t>生产175</w:t>
            </w:r>
            <w:r>
              <w:rPr>
                <w:rFonts w:hint="eastAsia" w:ascii="Times New Roman" w:hAnsi="Times New Roman" w:eastAsia="宋体" w:cs="Times New Roman"/>
                <w:color w:val="000000"/>
                <w:sz w:val="24"/>
                <w:lang w:eastAsia="zh-CN"/>
              </w:rPr>
              <w:t>天</w:t>
            </w:r>
            <w:r>
              <w:rPr>
                <w:rFonts w:hint="eastAsia" w:cs="Times New Roman"/>
                <w:color w:val="000000"/>
                <w:sz w:val="24"/>
                <w:lang w:eastAsia="zh-CN"/>
              </w:rPr>
              <w:t>。</w:t>
            </w:r>
            <w:r>
              <w:rPr>
                <w:rFonts w:hint="eastAsia" w:ascii="Times New Roman" w:hAnsi="Times New Roman" w:eastAsia="宋体" w:cs="Times New Roman"/>
                <w:color w:val="000000"/>
                <w:sz w:val="24"/>
                <w:lang w:eastAsia="zh-CN"/>
              </w:rPr>
              <w:t>生产按一班制，每天工作</w:t>
            </w:r>
            <w:r>
              <w:rPr>
                <w:rFonts w:hint="eastAsia" w:cs="Times New Roman"/>
                <w:color w:val="000000"/>
                <w:sz w:val="24"/>
                <w:lang w:val="en-US" w:eastAsia="zh-CN"/>
              </w:rPr>
              <w:t>8</w:t>
            </w:r>
            <w:r>
              <w:rPr>
                <w:rFonts w:hint="eastAsia" w:ascii="Times New Roman" w:hAnsi="Times New Roman" w:eastAsia="宋体" w:cs="Times New Roman"/>
                <w:color w:val="000000"/>
                <w:sz w:val="24"/>
                <w:lang w:eastAsia="zh-CN"/>
              </w:rPr>
              <w:t>小时，夜间不进行生产，厂区</w:t>
            </w:r>
            <w:r>
              <w:rPr>
                <w:rFonts w:hint="eastAsia" w:cs="Times New Roman"/>
                <w:color w:val="000000"/>
                <w:sz w:val="24"/>
                <w:lang w:val="en-US" w:eastAsia="zh-CN"/>
              </w:rPr>
              <w:t>70</w:t>
            </w:r>
            <w:r>
              <w:rPr>
                <w:rFonts w:hint="eastAsia" w:ascii="Times New Roman" w:hAnsi="Times New Roman" w:eastAsia="宋体" w:cs="Times New Roman"/>
                <w:color w:val="000000"/>
                <w:sz w:val="24"/>
                <w:lang w:eastAsia="zh-CN"/>
              </w:rPr>
              <w:t>名员工，</w:t>
            </w:r>
            <w:r>
              <w:rPr>
                <w:rFonts w:hint="eastAsia" w:cs="Times New Roman"/>
                <w:color w:val="000000"/>
                <w:sz w:val="24"/>
                <w:lang w:val="en-US" w:eastAsia="zh-CN"/>
              </w:rPr>
              <w:t>不</w:t>
            </w:r>
            <w:r>
              <w:rPr>
                <w:rFonts w:hint="eastAsia" w:ascii="Times New Roman" w:hAnsi="Times New Roman" w:eastAsia="宋体" w:cs="Times New Roman"/>
                <w:color w:val="000000"/>
                <w:sz w:val="24"/>
                <w:lang w:eastAsia="zh-CN"/>
              </w:rPr>
              <w:t>在厂区食宿。</w:t>
            </w:r>
          </w:p>
          <w:p w14:paraId="1E410ABE">
            <w:pPr>
              <w:pStyle w:val="2"/>
              <w:keepNext w:val="0"/>
              <w:keepLines w:val="0"/>
              <w:pageBreakBefore w:val="0"/>
              <w:numPr>
                <w:ilvl w:val="0"/>
                <w:numId w:val="4"/>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项目水平衡分析</w:t>
            </w:r>
          </w:p>
          <w:p w14:paraId="40E2086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default" w:ascii="Times New Roman" w:hAnsi="Times New Roman" w:eastAsia="宋体" w:cs="Times New Roman"/>
                <w:color w:val="000000"/>
                <w:sz w:val="24"/>
                <w:u w:val="none"/>
                <w:lang w:val="en-US" w:eastAsia="zh-CN"/>
              </w:rPr>
            </w:pPr>
            <w:r>
              <w:rPr>
                <w:rFonts w:hint="eastAsia" w:ascii="Times New Roman" w:hAnsi="Times New Roman" w:eastAsia="宋体" w:cs="Times New Roman"/>
                <w:color w:val="000000"/>
                <w:sz w:val="24"/>
                <w:u w:val="none"/>
                <w:lang w:val="en-US" w:eastAsia="zh-CN"/>
              </w:rPr>
              <w:t>本项目废水主要是生活污水和冷却废水。本项目生产车间为无尘车间，生产过程中不产生废水，也不冲洗车间。</w:t>
            </w:r>
          </w:p>
          <w:p w14:paraId="6A129B9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70" w:firstLineChars="196"/>
              <w:textAlignment w:val="auto"/>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（1）</w:t>
            </w:r>
            <w:r>
              <w:rPr>
                <w:rFonts w:hint="eastAsia" w:ascii="Times New Roman" w:hAnsi="Times New Roman" w:eastAsia="宋体" w:cs="Times New Roman"/>
                <w:color w:val="000000"/>
                <w:sz w:val="24"/>
                <w:lang w:val="en-US" w:eastAsia="zh-CN"/>
              </w:rPr>
              <w:t>生活污水</w:t>
            </w:r>
          </w:p>
          <w:p w14:paraId="001F5302">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w:t>
            </w:r>
            <w:r>
              <w:rPr>
                <w:rFonts w:hint="eastAsia" w:ascii="Times New Roman" w:hAnsi="Times New Roman" w:eastAsia="宋体" w:cs="Times New Roman"/>
                <w:color w:val="auto"/>
                <w:sz w:val="24"/>
                <w:lang w:val="en-US" w:eastAsia="zh-CN"/>
              </w:rPr>
              <w:t>劳动定员</w:t>
            </w:r>
            <w:r>
              <w:rPr>
                <w:rFonts w:hint="eastAsia" w:cs="Times New Roman"/>
                <w:color w:val="auto"/>
                <w:sz w:val="24"/>
                <w:lang w:val="en-US" w:eastAsia="zh-CN"/>
              </w:rPr>
              <w:t>7</w:t>
            </w:r>
            <w:r>
              <w:rPr>
                <w:rFonts w:hint="eastAsia" w:ascii="Times New Roman" w:hAnsi="Times New Roman" w:eastAsia="宋体" w:cs="Times New Roman"/>
                <w:color w:val="auto"/>
                <w:sz w:val="24"/>
                <w:lang w:val="en-US" w:eastAsia="zh-CN"/>
              </w:rPr>
              <w:t>0人，</w:t>
            </w:r>
            <w:r>
              <w:rPr>
                <w:rFonts w:hint="eastAsia" w:cs="Times New Roman"/>
                <w:color w:val="auto"/>
                <w:sz w:val="24"/>
                <w:lang w:val="en-US" w:eastAsia="zh-CN"/>
              </w:rPr>
              <w:t>不</w:t>
            </w:r>
            <w:r>
              <w:rPr>
                <w:rFonts w:hint="default" w:ascii="Times New Roman" w:hAnsi="Times New Roman" w:eastAsia="宋体" w:cs="Times New Roman"/>
                <w:color w:val="auto"/>
                <w:sz w:val="24"/>
              </w:rPr>
              <w:t>在厂内食宿。</w:t>
            </w:r>
            <w:r>
              <w:rPr>
                <w:rFonts w:hint="eastAsia" w:cs="Times New Roman"/>
                <w:color w:val="auto"/>
                <w:sz w:val="24"/>
                <w:lang w:val="en-US" w:eastAsia="zh-CN"/>
              </w:rPr>
              <w:t>参考</w:t>
            </w:r>
            <w:r>
              <w:rPr>
                <w:rFonts w:hint="eastAsia" w:ascii="Times New Roman" w:hAnsi="Times New Roman" w:eastAsia="宋体" w:cs="Times New Roman"/>
                <w:color w:val="auto"/>
                <w:sz w:val="24"/>
                <w:lang w:val="en-US" w:eastAsia="zh-CN"/>
              </w:rPr>
              <w:t>《湖南省用水定额 第3部分：生活、服务业及建筑业》（DB43/T388.3—2025），</w:t>
            </w:r>
            <w:r>
              <w:rPr>
                <w:rFonts w:hint="eastAsia" w:cs="Times New Roman"/>
                <w:color w:val="auto"/>
                <w:sz w:val="24"/>
                <w:lang w:val="en-US" w:eastAsia="zh-CN"/>
              </w:rPr>
              <w:t>不</w:t>
            </w:r>
            <w:r>
              <w:rPr>
                <w:rFonts w:hint="eastAsia" w:ascii="Times New Roman" w:hAnsi="Times New Roman" w:eastAsia="宋体" w:cs="Times New Roman"/>
                <w:color w:val="auto"/>
                <w:sz w:val="24"/>
                <w:lang w:val="en-US" w:eastAsia="zh-CN"/>
              </w:rPr>
              <w:t>在厂内食宿</w:t>
            </w:r>
            <w:r>
              <w:rPr>
                <w:rFonts w:hint="default" w:ascii="Times New Roman" w:hAnsi="Times New Roman" w:eastAsia="宋体" w:cs="Times New Roman"/>
                <w:color w:val="auto"/>
                <w:sz w:val="24"/>
              </w:rPr>
              <w:t>员工</w:t>
            </w:r>
            <w:r>
              <w:rPr>
                <w:rFonts w:hint="eastAsia" w:ascii="Times New Roman" w:hAnsi="Times New Roman" w:eastAsia="宋体" w:cs="Times New Roman"/>
                <w:color w:val="auto"/>
                <w:sz w:val="24"/>
                <w:lang w:val="en-US" w:eastAsia="zh-CN"/>
              </w:rPr>
              <w:t>生活</w:t>
            </w:r>
            <w:r>
              <w:rPr>
                <w:rFonts w:hint="default" w:ascii="Times New Roman" w:hAnsi="Times New Roman" w:eastAsia="宋体" w:cs="Times New Roman"/>
                <w:color w:val="auto"/>
                <w:sz w:val="24"/>
              </w:rPr>
              <w:t>用水量以</w:t>
            </w:r>
            <w:r>
              <w:rPr>
                <w:rFonts w:hint="eastAsia" w:cs="Times New Roman"/>
                <w:color w:val="auto"/>
                <w:sz w:val="24"/>
                <w:lang w:val="en-US" w:eastAsia="zh-CN"/>
              </w:rPr>
              <w:t>38</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/人·</w:t>
            </w:r>
            <w:r>
              <w:rPr>
                <w:rFonts w:hint="eastAsia" w:cs="Times New Roman"/>
                <w:color w:val="auto"/>
                <w:sz w:val="24"/>
                <w:lang w:val="en-US" w:eastAsia="zh-CN"/>
              </w:rPr>
              <w:t>a</w:t>
            </w:r>
            <w:r>
              <w:rPr>
                <w:rFonts w:hint="default" w:ascii="Times New Roman" w:hAnsi="Times New Roman" w:eastAsia="宋体" w:cs="Times New Roman"/>
                <w:color w:val="auto"/>
                <w:sz w:val="24"/>
              </w:rPr>
              <w:t>计</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项目生活</w:t>
            </w:r>
            <w:r>
              <w:rPr>
                <w:rFonts w:hint="default" w:ascii="Times New Roman" w:hAnsi="Times New Roman" w:eastAsia="宋体" w:cs="Times New Roman"/>
                <w:color w:val="auto"/>
                <w:sz w:val="24"/>
              </w:rPr>
              <w:t>用水量为</w:t>
            </w:r>
            <w:r>
              <w:rPr>
                <w:rFonts w:hint="eastAsia" w:cs="Times New Roman"/>
                <w:color w:val="auto"/>
                <w:sz w:val="24"/>
                <w:lang w:val="en-US" w:eastAsia="zh-CN"/>
              </w:rPr>
              <w:t>2660</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/a。污水排放量约为用水量的80%，即营运期生活污水产生量</w:t>
            </w:r>
            <w:r>
              <w:rPr>
                <w:rFonts w:hint="eastAsia" w:cs="Times New Roman"/>
                <w:color w:val="auto"/>
                <w:sz w:val="24"/>
                <w:lang w:val="en-US" w:eastAsia="zh-CN"/>
              </w:rPr>
              <w:t>6.82</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/d（</w:t>
            </w:r>
            <w:r>
              <w:rPr>
                <w:rFonts w:hint="eastAsia" w:cs="Times New Roman"/>
                <w:color w:val="auto"/>
                <w:sz w:val="24"/>
                <w:lang w:val="en-US" w:eastAsia="zh-CN"/>
              </w:rPr>
              <w:t>2128</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/a）。员工生活污水经化粪池处理</w:t>
            </w:r>
            <w:r>
              <w:rPr>
                <w:rFonts w:hint="eastAsia" w:ascii="Times New Roman" w:hAnsi="Times New Roman" w:eastAsia="宋体" w:cs="Times New Roman"/>
                <w:color w:val="auto"/>
                <w:sz w:val="24"/>
              </w:rPr>
              <w:t>达到《污水综合排放标准》（GB8978-1996）中表 4 中三级标准排放限值</w:t>
            </w:r>
            <w:r>
              <w:rPr>
                <w:rFonts w:hint="eastAsia" w:ascii="Times New Roman" w:hAnsi="Times New Roman" w:eastAsia="宋体" w:cs="Times New Roman"/>
                <w:color w:val="auto"/>
                <w:sz w:val="24"/>
                <w:lang w:val="en-US" w:eastAsia="zh-CN"/>
              </w:rPr>
              <w:t>后</w:t>
            </w:r>
            <w:r>
              <w:rPr>
                <w:rFonts w:hint="default" w:ascii="Times New Roman" w:hAnsi="Times New Roman" w:eastAsia="宋体" w:cs="Times New Roman"/>
                <w:color w:val="auto"/>
                <w:sz w:val="24"/>
              </w:rPr>
              <w:t>外排</w:t>
            </w:r>
            <w:r>
              <w:rPr>
                <w:rFonts w:hint="eastAsia" w:ascii="Times New Roman" w:hAnsi="Times New Roman" w:eastAsia="宋体" w:cs="Times New Roman"/>
                <w:color w:val="auto"/>
                <w:sz w:val="24"/>
                <w:lang w:val="en-US" w:eastAsia="zh-CN"/>
              </w:rPr>
              <w:t>工业园污水管网</w:t>
            </w:r>
            <w:r>
              <w:rPr>
                <w:rFonts w:hint="default" w:ascii="Times New Roman" w:hAnsi="Times New Roman" w:eastAsia="宋体" w:cs="Times New Roman"/>
                <w:color w:val="auto"/>
                <w:sz w:val="24"/>
              </w:rPr>
              <w:t>。</w:t>
            </w:r>
          </w:p>
          <w:p w14:paraId="7CEB17D1">
            <w:pPr>
              <w:pStyle w:val="87"/>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jc w:val="both"/>
              <w:textAlignment w:val="auto"/>
              <w:rPr>
                <w:rFonts w:hint="eastAsia" w:eastAsia="宋体"/>
                <w:color w:val="auto"/>
                <w:szCs w:val="24"/>
                <w:lang w:eastAsia="zh-CN"/>
              </w:rPr>
            </w:pPr>
            <w:r>
              <w:rPr>
                <w:rFonts w:hint="default"/>
                <w:color w:val="auto"/>
                <w:szCs w:val="24"/>
              </w:rPr>
              <w:t>（</w:t>
            </w:r>
            <w:r>
              <w:rPr>
                <w:rFonts w:hint="eastAsia"/>
                <w:color w:val="auto"/>
                <w:szCs w:val="24"/>
                <w:lang w:val="en-US" w:eastAsia="zh-CN"/>
              </w:rPr>
              <w:t>2</w:t>
            </w:r>
            <w:r>
              <w:rPr>
                <w:rFonts w:hint="default"/>
                <w:color w:val="auto"/>
                <w:szCs w:val="24"/>
              </w:rPr>
              <w:t>）</w:t>
            </w:r>
            <w:r>
              <w:rPr>
                <w:rFonts w:hint="eastAsia"/>
                <w:color w:val="auto"/>
                <w:szCs w:val="24"/>
                <w:lang w:val="en-US" w:eastAsia="zh-CN"/>
              </w:rPr>
              <w:t>冷却废水</w:t>
            </w:r>
          </w:p>
          <w:p w14:paraId="676724AB">
            <w:pPr>
              <w:pStyle w:val="42"/>
              <w:keepNext w:val="0"/>
              <w:keepLines w:val="0"/>
              <w:pageBreakBefore w:val="0"/>
              <w:suppressLineNumbers w:val="0"/>
              <w:kinsoku/>
              <w:wordWrap/>
              <w:overflowPunct/>
              <w:topLinePunct w:val="0"/>
              <w:bidi w:val="0"/>
              <w:adjustRightInd w:val="0"/>
              <w:snapToGrid w:val="0"/>
              <w:spacing w:beforeAutospacing="0" w:after="0" w:afterAutospacing="0" w:line="360" w:lineRule="auto"/>
              <w:ind w:left="0" w:firstLine="480" w:firstLineChars="200"/>
              <w:textAlignment w:val="auto"/>
              <w:rPr>
                <w:rFonts w:hint="default" w:hAnsi="Times New Roman" w:cs="Times New Roman"/>
                <w:lang w:val="en-US" w:eastAsia="zh-CN"/>
              </w:rPr>
            </w:pPr>
            <w:r>
              <w:rPr>
                <w:rFonts w:hint="eastAsia" w:hAnsi="Times New Roman" w:cs="Times New Roman"/>
                <w:color w:val="auto"/>
                <w:sz w:val="24"/>
                <w:u w:val="none"/>
                <w:lang w:val="en-US" w:eastAsia="zh-CN"/>
              </w:rPr>
              <w:t>凹版印刷机、干式复合机等生产设备需要用循环冷却水对设备进行间接冷却，总循环水量为150m</w:t>
            </w:r>
            <w:r>
              <w:rPr>
                <w:rFonts w:hint="eastAsia" w:hAnsi="Times New Roman" w:cs="Times New Roman"/>
                <w:color w:val="auto"/>
                <w:sz w:val="24"/>
                <w:u w:val="none"/>
                <w:vertAlign w:val="superscript"/>
                <w:lang w:val="en-US" w:eastAsia="zh-CN"/>
              </w:rPr>
              <w:t>3</w:t>
            </w:r>
            <w:r>
              <w:rPr>
                <w:rFonts w:hint="eastAsia" w:hAnsi="Times New Roman" w:cs="Times New Roman"/>
                <w:color w:val="auto"/>
                <w:sz w:val="24"/>
                <w:u w:val="none"/>
                <w:lang w:val="en-US" w:eastAsia="zh-CN"/>
              </w:rPr>
              <w:t>/d，因蒸发、损耗等，平均每天消耗新鲜水2m</w:t>
            </w:r>
            <w:r>
              <w:rPr>
                <w:rFonts w:hint="eastAsia" w:hAnsi="Times New Roman" w:cs="Times New Roman"/>
                <w:color w:val="auto"/>
                <w:sz w:val="24"/>
                <w:u w:val="none"/>
                <w:vertAlign w:val="superscript"/>
                <w:lang w:val="en-US" w:eastAsia="zh-CN"/>
              </w:rPr>
              <w:t>3</w:t>
            </w:r>
            <w:r>
              <w:rPr>
                <w:rFonts w:hint="eastAsia" w:hAnsi="Times New Roman" w:cs="Times New Roman"/>
                <w:color w:val="auto"/>
                <w:sz w:val="24"/>
                <w:u w:val="none"/>
                <w:lang w:val="en-US" w:eastAsia="zh-CN"/>
              </w:rPr>
              <w:t>/d，项目采用闭式循环，根据多年实际运行情况，无循环冷却水外排。</w:t>
            </w:r>
          </w:p>
          <w:p w14:paraId="7762F65D">
            <w:pPr>
              <w:pStyle w:val="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3</w:t>
            </w:r>
            <w:r>
              <w:rPr>
                <w:rFonts w:hint="eastAsia" w:ascii="Times New Roman" w:hAnsi="Times New Roman" w:cs="Times New Roman"/>
                <w:color w:val="auto"/>
                <w:sz w:val="24"/>
                <w:szCs w:val="24"/>
                <w:highlight w:val="none"/>
                <w:u w:val="none"/>
                <w:lang w:eastAsia="zh-CN"/>
              </w:rPr>
              <w:t>）</w:t>
            </w:r>
            <w:r>
              <w:rPr>
                <w:rFonts w:hint="eastAsia" w:ascii="Times New Roman" w:hAnsi="Times New Roman" w:cs="Times New Roman"/>
                <w:color w:val="auto"/>
                <w:sz w:val="24"/>
                <w:szCs w:val="24"/>
                <w:highlight w:val="none"/>
                <w:u w:val="none"/>
                <w:lang w:val="en-US" w:eastAsia="zh-CN"/>
              </w:rPr>
              <w:t>项目水平衡</w:t>
            </w:r>
          </w:p>
          <w:p w14:paraId="6C48A5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color w:val="auto"/>
                <w:sz w:val="24"/>
                <w:szCs w:val="24"/>
                <w:highlight w:val="none"/>
                <w:u w:val="none"/>
                <w:lang w:eastAsia="zh-CN"/>
              </w:rPr>
            </w:pPr>
            <w:r>
              <w:rPr>
                <w:rFonts w:hint="default" w:ascii="Times New Roman" w:hAnsi="Times New Roman" w:cs="Times New Roman"/>
                <w:color w:val="auto"/>
                <w:sz w:val="24"/>
                <w:szCs w:val="24"/>
                <w:highlight w:val="none"/>
                <w:u w:val="none"/>
                <w:lang w:eastAsia="zh-CN"/>
              </w:rPr>
              <w:t>项目水平衡图见图</w:t>
            </w:r>
            <w:r>
              <w:rPr>
                <w:rFonts w:hint="eastAsia" w:ascii="Times New Roman" w:hAnsi="Times New Roman" w:cs="Times New Roman"/>
                <w:color w:val="auto"/>
                <w:sz w:val="24"/>
                <w:szCs w:val="24"/>
                <w:highlight w:val="none"/>
                <w:u w:val="none"/>
                <w:lang w:val="en-US" w:eastAsia="zh-CN"/>
              </w:rPr>
              <w:t>2-</w:t>
            </w:r>
            <w:r>
              <w:rPr>
                <w:rFonts w:hint="default" w:ascii="Times New Roman" w:hAnsi="Times New Roman" w:cs="Times New Roman"/>
                <w:color w:val="auto"/>
                <w:sz w:val="24"/>
                <w:szCs w:val="24"/>
                <w:highlight w:val="none"/>
                <w:u w:val="none"/>
                <w:lang w:eastAsia="zh-CN"/>
              </w:rPr>
              <w:t>1</w:t>
            </w:r>
            <w:r>
              <w:rPr>
                <w:rFonts w:hint="eastAsia" w:ascii="Times New Roman" w:hAnsi="Times New Roman" w:cs="Times New Roman"/>
                <w:color w:val="auto"/>
                <w:sz w:val="24"/>
                <w:szCs w:val="24"/>
                <w:highlight w:val="none"/>
                <w:u w:val="none"/>
                <w:lang w:eastAsia="zh-CN"/>
              </w:rPr>
              <w:t>。</w:t>
            </w:r>
          </w:p>
          <w:p w14:paraId="22BC8BD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Times New Roman" w:hAnsi="Times New Roman" w:cs="Times New Roman"/>
                <w:color w:val="auto"/>
                <w:sz w:val="24"/>
                <w:szCs w:val="24"/>
                <w:highlight w:val="none"/>
                <w:u w:val="single"/>
                <w:lang w:eastAsia="zh-CN"/>
              </w:rPr>
            </w:pPr>
            <w:r>
              <w:rPr>
                <w:rFonts w:hint="default"/>
              </w:rPr>
              <w:drawing>
                <wp:inline distT="0" distB="0" distL="114300" distR="114300">
                  <wp:extent cx="5176520" cy="2160270"/>
                  <wp:effectExtent l="0" t="0" r="508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176520" cy="2160270"/>
                          </a:xfrm>
                          <a:prstGeom prst="rect">
                            <a:avLst/>
                          </a:prstGeom>
                          <a:noFill/>
                          <a:ln>
                            <a:noFill/>
                          </a:ln>
                        </pic:spPr>
                      </pic:pic>
                    </a:graphicData>
                  </a:graphic>
                </wp:inline>
              </w:drawing>
            </w:r>
          </w:p>
          <w:p w14:paraId="2342EA27">
            <w:pPr>
              <w:pStyle w:val="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图2-1  项目水平衡图      单位：t/</w:t>
            </w:r>
            <w:r>
              <w:rPr>
                <w:rFonts w:hint="eastAsia" w:ascii="Times New Roman" w:hAnsi="Times New Roman" w:cs="Times New Roman"/>
                <w:b/>
                <w:bCs/>
                <w:color w:val="auto"/>
                <w:sz w:val="21"/>
                <w:szCs w:val="21"/>
                <w:highlight w:val="none"/>
                <w:u w:val="none"/>
                <w:lang w:val="en-US" w:eastAsia="zh-CN"/>
              </w:rPr>
              <w:t>a</w:t>
            </w:r>
          </w:p>
        </w:tc>
      </w:tr>
      <w:tr w14:paraId="72299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7" w:type="dxa"/>
            <w:noWrap w:val="0"/>
            <w:vAlign w:val="center"/>
          </w:tcPr>
          <w:p w14:paraId="7D4F7A61">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工艺流程和产排污环节</w:t>
            </w:r>
          </w:p>
        </w:tc>
        <w:tc>
          <w:tcPr>
            <w:tcW w:w="8373" w:type="dxa"/>
            <w:noWrap w:val="0"/>
            <w:vAlign w:val="top"/>
          </w:tcPr>
          <w:p w14:paraId="00624310">
            <w:pPr>
              <w:keepNext w:val="0"/>
              <w:keepLines w:val="0"/>
              <w:suppressLineNumbers w:val="0"/>
              <w:spacing w:before="120" w:beforeLines="50" w:beforeAutospacing="0" w:after="0" w:afterAutospacing="0" w:line="360" w:lineRule="auto"/>
              <w:ind w:left="0" w:right="0"/>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rPr>
              <w:t>1、施工期</w:t>
            </w:r>
            <w:r>
              <w:rPr>
                <w:rFonts w:hint="default" w:ascii="Times New Roman" w:hAnsi="Times New Roman" w:cs="Times New Roman"/>
                <w:b/>
                <w:bCs/>
                <w:color w:val="auto"/>
                <w:sz w:val="24"/>
                <w:szCs w:val="24"/>
                <w:highlight w:val="none"/>
                <w:lang w:val="en-US" w:eastAsia="zh-CN"/>
              </w:rPr>
              <w:t>工艺流程和产污环节分析</w:t>
            </w:r>
          </w:p>
          <w:p w14:paraId="1D5938F0">
            <w:pPr>
              <w:pStyle w:val="152"/>
              <w:keepNext w:val="0"/>
              <w:keepLines w:val="0"/>
              <w:suppressLineNumbers w:val="0"/>
              <w:spacing w:before="0" w:beforeAutospacing="0" w:after="0" w:afterAutospacing="0"/>
              <w:ind w:left="0" w:right="0" w:firstLine="480" w:firstLineChars="200"/>
              <w:rPr>
                <w:rFonts w:hint="eastAsia" w:ascii="Times New Roman" w:hAnsi="Times New Roman"/>
                <w:color w:val="auto"/>
                <w:kern w:val="2"/>
              </w:rPr>
            </w:pPr>
            <w:r>
              <w:rPr>
                <w:rFonts w:hint="eastAsia" w:ascii="Times New Roman" w:hAnsi="Times New Roman"/>
                <w:color w:val="auto"/>
                <w:kern w:val="2"/>
              </w:rPr>
              <w:t>项目租用现有标准厂房，只是进行简单的场地清理、设备安装，不涉及土地平整，对周边环境影响较小。</w:t>
            </w:r>
          </w:p>
          <w:p w14:paraId="1651B9E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b/>
                <w:bCs/>
                <w:color w:val="auto"/>
                <w:sz w:val="24"/>
                <w:szCs w:val="24"/>
                <w:highlight w:val="none"/>
              </w:rPr>
              <w:t>2、</w:t>
            </w:r>
            <w:r>
              <w:rPr>
                <w:rFonts w:hint="default" w:ascii="Times New Roman" w:hAnsi="Times New Roman" w:cs="Times New Roman"/>
                <w:b/>
                <w:bCs/>
                <w:color w:val="auto"/>
                <w:sz w:val="24"/>
                <w:szCs w:val="24"/>
                <w:highlight w:val="none"/>
                <w:lang w:eastAsia="zh-CN"/>
              </w:rPr>
              <w:t>运营期</w:t>
            </w:r>
            <w:r>
              <w:rPr>
                <w:rFonts w:hint="default" w:ascii="Times New Roman" w:hAnsi="Times New Roman" w:cs="Times New Roman"/>
                <w:b/>
                <w:bCs/>
                <w:color w:val="auto"/>
                <w:sz w:val="24"/>
                <w:szCs w:val="24"/>
                <w:highlight w:val="none"/>
                <w:lang w:val="en-US" w:eastAsia="zh-CN"/>
              </w:rPr>
              <w:t>工艺流程和产污环节分析</w:t>
            </w:r>
          </w:p>
          <w:p w14:paraId="7CFD3E10">
            <w:pPr>
              <w:keepNext w:val="0"/>
              <w:keepLines w:val="0"/>
              <w:suppressLineNumbers w:val="0"/>
              <w:spacing w:before="0" w:beforeAutospacing="0" w:after="0" w:afterAutospacing="0" w:line="300" w:lineRule="auto"/>
              <w:ind w:left="0" w:right="0"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w:t>
            </w:r>
            <w:r>
              <w:rPr>
                <w:rFonts w:hint="eastAsia"/>
                <w:sz w:val="24"/>
                <w:szCs w:val="24"/>
              </w:rPr>
              <w:t>药品包装用复合膜、袋印刷工艺流程及产污环节</w:t>
            </w:r>
          </w:p>
          <w:p w14:paraId="7078DCBD">
            <w:pPr>
              <w:keepNext w:val="0"/>
              <w:keepLines w:val="0"/>
              <w:suppressLineNumbers w:val="0"/>
              <w:spacing w:before="0" w:beforeAutospacing="0" w:after="0" w:afterAutospacing="0" w:line="360" w:lineRule="auto"/>
              <w:ind w:left="0" w:right="0" w:firstLine="480" w:firstLineChars="200"/>
              <w:rPr>
                <w:rFonts w:hint="eastAsia"/>
                <w:sz w:val="24"/>
                <w:szCs w:val="24"/>
              </w:rPr>
            </w:pPr>
            <w:r>
              <w:rPr>
                <w:rFonts w:hint="eastAsia"/>
                <w:sz w:val="24"/>
                <w:szCs w:val="24"/>
              </w:rPr>
              <w:t>项目药品包装用复合膜生产有 2 类产品，即双层复合膜和三层复合膜。以双层膜为例，阐述其生产工艺流程及产污环节，如下图。三层复合膜在此基础上增加一道复合工序，即得三层复合膜。</w:t>
            </w:r>
          </w:p>
          <w:p w14:paraId="37B5F8D9">
            <w:pPr>
              <w:pStyle w:val="66"/>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color w:val="auto"/>
                <w:highlight w:val="none"/>
                <w:lang w:val="en-US" w:eastAsia="zh-CN"/>
              </w:rPr>
            </w:pPr>
            <w:r>
              <w:drawing>
                <wp:inline distT="0" distB="0" distL="114300" distR="114300">
                  <wp:extent cx="5274310" cy="3942080"/>
                  <wp:effectExtent l="0" t="0" r="254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74310" cy="3942080"/>
                          </a:xfrm>
                          <a:prstGeom prst="rect">
                            <a:avLst/>
                          </a:prstGeom>
                          <a:noFill/>
                          <a:ln>
                            <a:noFill/>
                          </a:ln>
                        </pic:spPr>
                      </pic:pic>
                    </a:graphicData>
                  </a:graphic>
                </wp:inline>
              </w:drawing>
            </w:r>
          </w:p>
          <w:p w14:paraId="1187E323">
            <w:pPr>
              <w:keepNext w:val="0"/>
              <w:keepLines w:val="0"/>
              <w:suppressLineNumbers w:val="0"/>
              <w:spacing w:before="0" w:beforeAutospacing="0" w:after="0" w:afterAutospacing="0" w:line="340" w:lineRule="exact"/>
              <w:ind w:left="0" w:right="0"/>
              <w:jc w:val="center"/>
              <w:rPr>
                <w:rFonts w:hint="eastAsia" w:ascii="Times New Roman" w:hAnsi="Times New Roman" w:eastAsia="宋体" w:cs="Times New Roman"/>
                <w:color w:val="auto"/>
                <w:highlight w:val="none"/>
                <w:u w:val="none"/>
                <w:lang w:val="en-US" w:eastAsia="zh-CN"/>
              </w:rPr>
            </w:pPr>
            <w:r>
              <w:rPr>
                <w:rFonts w:hint="default" w:ascii="Times New Roman" w:hAnsi="Times New Roman" w:cs="Times New Roman"/>
                <w:b/>
                <w:szCs w:val="21"/>
                <w:u w:val="none"/>
              </w:rPr>
              <w:t>图2-</w:t>
            </w:r>
            <w:r>
              <w:rPr>
                <w:rFonts w:hint="eastAsia" w:cs="Times New Roman"/>
                <w:b/>
                <w:szCs w:val="21"/>
                <w:u w:val="none"/>
                <w:lang w:val="en-US" w:eastAsia="zh-CN"/>
              </w:rPr>
              <w:t>2</w:t>
            </w:r>
            <w:r>
              <w:rPr>
                <w:rFonts w:hint="default" w:ascii="Times New Roman" w:hAnsi="Times New Roman" w:cs="Times New Roman"/>
                <w:b/>
                <w:szCs w:val="21"/>
                <w:u w:val="none"/>
              </w:rPr>
              <w:t xml:space="preserve"> 项目</w:t>
            </w:r>
            <w:r>
              <w:rPr>
                <w:rFonts w:hint="eastAsia" w:ascii="Times New Roman" w:hAnsi="Times New Roman" w:cs="Times New Roman"/>
                <w:b/>
                <w:szCs w:val="21"/>
                <w:u w:val="none"/>
                <w:lang w:val="en-US" w:eastAsia="zh-CN"/>
              </w:rPr>
              <w:t>生产</w:t>
            </w:r>
            <w:r>
              <w:rPr>
                <w:rFonts w:hint="default" w:ascii="Times New Roman" w:hAnsi="Times New Roman" w:cs="Times New Roman"/>
                <w:b/>
                <w:szCs w:val="21"/>
                <w:u w:val="none"/>
              </w:rPr>
              <w:t>工艺流程及产污节点图</w:t>
            </w:r>
          </w:p>
          <w:p w14:paraId="18396E85">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sz w:val="24"/>
                <w:u w:val="none"/>
              </w:rPr>
            </w:pPr>
            <w:r>
              <w:rPr>
                <w:rFonts w:hint="eastAsia" w:ascii="Times New Roman" w:hAnsi="Times New Roman" w:cs="Times New Roman"/>
                <w:b/>
                <w:sz w:val="24"/>
                <w:u w:val="none"/>
              </w:rPr>
              <w:t>工艺流程简述：</w:t>
            </w:r>
          </w:p>
          <w:p w14:paraId="29C98AA1">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1）脱除包装</w:t>
            </w:r>
          </w:p>
          <w:p w14:paraId="7ABA31B1">
            <w:pPr>
              <w:keepNext w:val="0"/>
              <w:keepLines w:val="0"/>
              <w:suppressLineNumbers w:val="0"/>
              <w:spacing w:before="0" w:beforeAutospacing="0" w:after="0" w:afterAutospacing="0" w:line="360" w:lineRule="auto"/>
              <w:ind w:left="0" w:right="0" w:firstLine="480" w:firstLineChars="200"/>
              <w:rPr>
                <w:rFonts w:hint="eastAsia"/>
                <w:sz w:val="24"/>
                <w:szCs w:val="24"/>
              </w:rPr>
            </w:pPr>
            <w:r>
              <w:rPr>
                <w:rFonts w:hint="eastAsia"/>
                <w:sz w:val="24"/>
                <w:szCs w:val="24"/>
                <w:lang w:val="en-US" w:eastAsia="zh-CN"/>
              </w:rPr>
              <w:t xml:space="preserve">洁净区外对外购薄膜包装材料脱出外包装，运至洁净区脱内包装，放卷。薄膜主要有 BOPP（双向拉伸聚丙烯）膜、PET（双向拉伸聚酯）膜、PE（聚乙烯）膜、Al 膜（软铝）、VMCPP（真空镀铝聚丙烯）膜、VMPET（真空镀铝聚酯）膜等，其中 PE 膜来自 PE 膜生产线。 </w:t>
            </w:r>
          </w:p>
          <w:p w14:paraId="39D3CAC1">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2）调墨</w:t>
            </w:r>
          </w:p>
          <w:p w14:paraId="4E0A72CD">
            <w:pPr>
              <w:keepNext w:val="0"/>
              <w:keepLines w:val="0"/>
              <w:suppressLineNumbers w:val="0"/>
              <w:spacing w:before="0" w:beforeAutospacing="0" w:after="0" w:afterAutospacing="0" w:line="360" w:lineRule="auto"/>
              <w:ind w:left="0" w:right="0" w:firstLine="480" w:firstLineChars="200"/>
              <w:rPr>
                <w:rFonts w:hint="eastAsia"/>
                <w:sz w:val="24"/>
                <w:szCs w:val="24"/>
              </w:rPr>
            </w:pPr>
            <w:r>
              <w:rPr>
                <w:rFonts w:hint="eastAsia"/>
                <w:sz w:val="24"/>
                <w:szCs w:val="24"/>
                <w:lang w:val="en-US" w:eastAsia="zh-CN"/>
              </w:rPr>
              <w:t xml:space="preserve">印刷前要进行调墨，根据客户需要、工艺要求和色相要求对油墨进行调配。项目凹版油墨采用溶剂型油墨，由人工将未开封的油墨和稀释剂转运至印刷车间内现场调墨，在密闭负压的印刷车间内将油墨与稀释剂按照比例在配液桶内混合搅拌均匀，配置成印刷需要的油墨种类，经密闭桶装现场使用。根据油墨和稀释剂的MSDS可知，油墨和稀释剂中均不含苯系物，不含镉、铅、汞、六价铬、多溴联苯、多溴二苯醚等物质。 </w:t>
            </w:r>
          </w:p>
          <w:p w14:paraId="22E3DF6B">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3）调胶</w:t>
            </w:r>
          </w:p>
          <w:p w14:paraId="028BAB04">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复合过程使用的胶粘剂需要有调胶过程。项目设置有调胶室专门进行调胶。</w:t>
            </w:r>
          </w:p>
          <w:p w14:paraId="2643EE10">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项目由人工将未开封的胶粘剂和稀释剂转运至调胶间内，在密闭微负压的调胶间内将胶粘剂与稀释剂按照比例在配液桶内混合搅拌均匀，配置成复合需要的胶粘剂种类，再密闭桶装经人工转移至复合车间内使用。根据溶剂型胶粘剂的MSDS可知，均不含苯系物，不含镉、铅、汞、六价铬、多溴联苯、多溴二苯醚等物质。调胶过程中无苯系物及含重金属废气产生。</w:t>
            </w:r>
          </w:p>
          <w:p w14:paraId="77B86942">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项目无溶剂复合工艺采用无溶剂型胶粘剂。无溶剂型胶粘剂是采用100%固体的无溶剂型黏合剂，固含量100%，因此项目无溶剂调胶过程不产生有机废气。</w:t>
            </w:r>
          </w:p>
          <w:p w14:paraId="1B8ED1EE">
            <w:pPr>
              <w:keepNext w:val="0"/>
              <w:keepLines w:val="0"/>
              <w:suppressLineNumbers w:val="0"/>
              <w:spacing w:before="0" w:beforeAutospacing="0" w:after="0" w:afterAutospacing="0" w:line="360" w:lineRule="auto"/>
              <w:ind w:left="0" w:right="0"/>
              <w:rPr>
                <w:rFonts w:hint="eastAsia"/>
                <w:sz w:val="24"/>
                <w:szCs w:val="24"/>
                <w:lang w:val="en-US" w:eastAsia="zh-CN"/>
              </w:rPr>
            </w:pPr>
            <w:r>
              <w:rPr>
                <w:rFonts w:hint="eastAsia"/>
                <w:sz w:val="24"/>
                <w:szCs w:val="24"/>
                <w:lang w:val="en-US" w:eastAsia="zh-CN"/>
              </w:rPr>
              <w:t xml:space="preserve">    4）印刷</w:t>
            </w:r>
          </w:p>
          <w:p w14:paraId="185981F2">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根据客户需求设计印刷图案，调整好印刷色序、色相，控制好印刷薄膜张力，调整好干燥温度、油墨粘度及套印精度，采用电脑印刷机，采用油墨将图案印制到薄膜上。此过程干燥温度为50~60℃，采用印刷机电脑自动电加温的方式干燥。在印刷过程中溶剂将挥发，形成气体污染源。</w:t>
            </w:r>
          </w:p>
          <w:p w14:paraId="2BDFB6E6">
            <w:pPr>
              <w:keepNext w:val="0"/>
              <w:keepLines w:val="0"/>
              <w:suppressLineNumbers w:val="0"/>
              <w:spacing w:before="0" w:beforeAutospacing="0" w:after="0" w:afterAutospacing="0" w:line="360" w:lineRule="auto"/>
              <w:ind w:left="0" w:right="0" w:firstLine="480" w:firstLineChars="200"/>
              <w:rPr>
                <w:rFonts w:hint="default"/>
                <w:sz w:val="24"/>
                <w:szCs w:val="24"/>
                <w:lang w:val="en-US" w:eastAsia="zh-CN"/>
              </w:rPr>
            </w:pPr>
            <w:r>
              <w:rPr>
                <w:rFonts w:hint="eastAsia"/>
                <w:sz w:val="24"/>
                <w:szCs w:val="24"/>
                <w:lang w:val="en-US" w:eastAsia="zh-CN"/>
              </w:rPr>
              <w:t>印刷机换版或换色时首先用刮刀清理版上绝大部分油墨，最后用少量的清洗剂（乙酸乙酯）擦洗印刷版，并在车间内晾干后返回版库暂存，同时清洗的油墨稀释剂收集至密闭容器中回收使用，沾染有机溶剂的废抹布作为危险废物处置。</w:t>
            </w:r>
          </w:p>
          <w:p w14:paraId="107FFC16">
            <w:pPr>
              <w:keepNext w:val="0"/>
              <w:keepLines w:val="0"/>
              <w:suppressLineNumbers w:val="0"/>
              <w:spacing w:before="0" w:beforeAutospacing="0" w:after="0" w:afterAutospacing="0" w:line="360" w:lineRule="auto"/>
              <w:ind w:left="0" w:right="0"/>
              <w:rPr>
                <w:rFonts w:hint="eastAsia"/>
                <w:sz w:val="24"/>
                <w:szCs w:val="24"/>
                <w:lang w:val="en-US" w:eastAsia="zh-CN"/>
              </w:rPr>
            </w:pPr>
            <w:r>
              <w:rPr>
                <w:rFonts w:hint="eastAsia"/>
                <w:sz w:val="24"/>
                <w:szCs w:val="24"/>
                <w:lang w:val="en-US" w:eastAsia="zh-CN"/>
              </w:rPr>
              <w:t xml:space="preserve">    5）复合</w:t>
            </w:r>
          </w:p>
          <w:p w14:paraId="1A3D278B">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印刷完后的印刷膜与覆膜经复合机加热后，用胶粘剂复合。此过程干燥温度为 50~60℃，采用复合机自动电加温的方式干燥。复合所用胶粘剂为聚氨酯胶粘剂，主要成分为极性很强、化学活泼性很高的异氰酸酯和氨基甲酸酯基团，不容易挥发，分解温度在210℃左右，聚氨酯胶粘剂无毒，广泛用于食品和药品包装袋的复合。</w:t>
            </w:r>
          </w:p>
          <w:p w14:paraId="2BAF9AD6">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有溶剂复合与无溶剂复合的区别主要在于粘胶剂种类不同和复合设备不同，有溶剂复合需烘干，因此设备中自带烘干设备，无溶剂复合无需烘干，使用特制的无烘干设备的无溶剂复合设备。</w:t>
            </w:r>
          </w:p>
          <w:p w14:paraId="02BA743E">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有溶剂复合工艺采用溶剂性胶粘剂，在密闭负压的配胶间内溶剂性胶粘剂主剂和稀释剂混合，配制成复合需要的胶水，在密闭桶装转移至复合车间，经密闭管道输送至有溶剂复合机内使用。根据溶剂型胶粘剂的 MSDS 可知，均不含苯系物，不含镉、铅、汞、六价铬、多溴联苯、多溴二苯醚等物质。复合过程中无苯系物及含重金属废气产生。</w:t>
            </w:r>
          </w:p>
          <w:p w14:paraId="78778D7C">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项目无溶剂复合工艺采用无溶剂型胶粘剂。无溶剂型胶粘剂是采用 100%固体的无溶剂型黏合剂，固含量 100%，因此项目无溶剂复合过程不产生有机废气。</w:t>
            </w:r>
          </w:p>
          <w:p w14:paraId="2BDC3034">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6）固化</w:t>
            </w:r>
          </w:p>
          <w:p w14:paraId="67D0C8DD">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把已复合好的膜成卷放进固化室，固化工艺对包装的复合效果起到了关键性作用。固化是将已经复合好的膜通过循环热空气，使胶粘剂中的聚氨酯黏合成分和其中的固化剂成分发生交联反应，同时与复合膜表面发生相互作用，使膜复合牢固的过程。将收卷的复合膜放入密闭的固化间内，将固化温度控制在50~60℃，根据不同的产品，固化时间24～72h。固化采用电加热。</w:t>
            </w:r>
          </w:p>
          <w:p w14:paraId="56CA52F2">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7）分切</w:t>
            </w:r>
          </w:p>
          <w:p w14:paraId="2282EAFA">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经过复合的薄膜收卷后，运至自动分切机处，把复合卷膜分切成产品需要的规格，并将两边多余的边裁掉（属于一般工业固体废物）。分切机械还产生一定的噪声。</w:t>
            </w:r>
          </w:p>
          <w:p w14:paraId="53440169">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对于分切后的半成品根据客户需求进行后续收卷及制袋加工。</w:t>
            </w:r>
          </w:p>
          <w:p w14:paraId="7FDEE75F">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8）制袋</w:t>
            </w:r>
          </w:p>
          <w:p w14:paraId="662AD48E">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经过分切后的薄膜，利用外界条件（如电加热等）使塑料薄膜封口部位受热变成粘流状态，并借助一定压力，使两层膜熔合在一起。制袋机主要原理为热封冷切，瞬时温度可达到 120℃左右，聚乙烯分解温度为270℃，聚丙烯分解温度为280℃，聚酯分解温度为240℃，制袋瞬时温度未达到塑料膜的分解温度，故该过程基本无有机废气产生。制袋后需用冷却水冷却降温，冷却方式为间接冷却，冷却水不与产品直接接触，冷却水循环使用，不外排。</w:t>
            </w:r>
          </w:p>
          <w:p w14:paraId="76634D8C">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检验、包装：检验主要是检查产品是否有破洞或者封口脱开，完好符合要求即可包装入库。此外，更换油墨时，墨斗墨辊表面原先残留的油墨需用乙酸乙酯清洗。</w:t>
            </w:r>
          </w:p>
          <w:p w14:paraId="036BF8CB">
            <w:pPr>
              <w:keepNext w:val="0"/>
              <w:keepLines w:val="0"/>
              <w:suppressLineNumbers w:val="0"/>
              <w:spacing w:before="0" w:beforeAutospacing="0" w:after="0" w:afterAutospacing="0" w:line="360" w:lineRule="auto"/>
              <w:ind w:left="0" w:right="0" w:firstLine="482" w:firstLineChars="200"/>
              <w:rPr>
                <w:rFonts w:hint="eastAsia"/>
                <w:sz w:val="24"/>
                <w:szCs w:val="24"/>
                <w:lang w:val="en-US" w:eastAsia="zh-CN"/>
              </w:rPr>
            </w:pPr>
            <w:r>
              <w:rPr>
                <w:rFonts w:hint="eastAsia" w:ascii="宋体" w:hAnsi="宋体" w:eastAsia="宋体" w:cs="宋体"/>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2</w:t>
            </w:r>
            <w:r>
              <w:rPr>
                <w:rFonts w:hint="eastAsia" w:ascii="宋体" w:hAnsi="宋体" w:eastAsia="宋体" w:cs="宋体"/>
                <w:b/>
                <w:bCs/>
                <w:color w:val="000000"/>
                <w:kern w:val="0"/>
                <w:sz w:val="24"/>
                <w:szCs w:val="24"/>
                <w:lang w:val="en-US" w:eastAsia="zh-CN" w:bidi="ar"/>
              </w:rPr>
              <w:t>）药用铝箔印刷工艺流程及产污环节</w:t>
            </w:r>
          </w:p>
          <w:p w14:paraId="7D7CC4C1">
            <w:pPr>
              <w:keepNext w:val="0"/>
              <w:keepLines w:val="0"/>
              <w:suppressLineNumbers w:val="0"/>
              <w:spacing w:before="0" w:beforeAutospacing="0" w:after="0" w:afterAutospacing="0" w:line="360" w:lineRule="auto"/>
              <w:ind w:left="0" w:right="0"/>
              <w:rPr>
                <w:rFonts w:hint="eastAsia"/>
                <w:sz w:val="24"/>
                <w:szCs w:val="24"/>
                <w:lang w:val="en-US" w:eastAsia="zh-CN"/>
              </w:rPr>
            </w:pPr>
            <w:r>
              <w:rPr>
                <w:rFonts w:hint="default"/>
              </w:rPr>
              <w:drawing>
                <wp:inline distT="0" distB="0" distL="114300" distR="114300">
                  <wp:extent cx="5269230" cy="4206875"/>
                  <wp:effectExtent l="0" t="0" r="762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69230" cy="4206875"/>
                          </a:xfrm>
                          <a:prstGeom prst="rect">
                            <a:avLst/>
                          </a:prstGeom>
                          <a:noFill/>
                          <a:ln>
                            <a:noFill/>
                          </a:ln>
                        </pic:spPr>
                      </pic:pic>
                    </a:graphicData>
                  </a:graphic>
                </wp:inline>
              </w:drawing>
            </w:r>
          </w:p>
          <w:p w14:paraId="1FF60DF5">
            <w:pPr>
              <w:keepNext w:val="0"/>
              <w:keepLines w:val="0"/>
              <w:suppressLineNumbers w:val="0"/>
              <w:spacing w:before="0" w:beforeAutospacing="0" w:after="0" w:afterAutospacing="0" w:line="340" w:lineRule="exact"/>
              <w:ind w:left="0" w:right="0"/>
              <w:jc w:val="center"/>
              <w:rPr>
                <w:rFonts w:hint="eastAsia" w:ascii="Times New Roman" w:hAnsi="Times New Roman" w:eastAsia="宋体" w:cs="Times New Roman"/>
                <w:color w:val="auto"/>
                <w:highlight w:val="none"/>
                <w:u w:val="none"/>
                <w:lang w:val="en-US" w:eastAsia="zh-CN"/>
              </w:rPr>
            </w:pPr>
            <w:r>
              <w:rPr>
                <w:rFonts w:hint="default" w:ascii="Times New Roman" w:hAnsi="Times New Roman" w:cs="Times New Roman"/>
                <w:b/>
                <w:szCs w:val="21"/>
                <w:u w:val="none"/>
              </w:rPr>
              <w:t>图2-</w:t>
            </w:r>
            <w:r>
              <w:rPr>
                <w:rFonts w:hint="eastAsia" w:ascii="Times New Roman" w:hAnsi="Times New Roman" w:cs="Times New Roman"/>
                <w:b/>
                <w:szCs w:val="21"/>
                <w:u w:val="none"/>
                <w:lang w:val="en-US" w:eastAsia="zh-CN"/>
              </w:rPr>
              <w:t>3</w:t>
            </w:r>
            <w:r>
              <w:rPr>
                <w:rFonts w:hint="default" w:ascii="Times New Roman" w:hAnsi="Times New Roman" w:cs="Times New Roman"/>
                <w:b/>
                <w:szCs w:val="21"/>
                <w:u w:val="none"/>
              </w:rPr>
              <w:t xml:space="preserve">  项目药用铝箔印刷</w:t>
            </w:r>
            <w:r>
              <w:rPr>
                <w:rFonts w:hint="eastAsia" w:ascii="Times New Roman" w:hAnsi="Times New Roman" w:cs="Times New Roman"/>
                <w:b/>
                <w:szCs w:val="21"/>
                <w:u w:val="none"/>
                <w:lang w:val="en-US" w:eastAsia="zh-CN"/>
              </w:rPr>
              <w:t>生产</w:t>
            </w:r>
            <w:r>
              <w:rPr>
                <w:rFonts w:hint="default" w:ascii="Times New Roman" w:hAnsi="Times New Roman" w:cs="Times New Roman"/>
                <w:b/>
                <w:szCs w:val="21"/>
                <w:u w:val="none"/>
              </w:rPr>
              <w:t>工艺流程及产污节点图</w:t>
            </w:r>
          </w:p>
          <w:p w14:paraId="57C2D427">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sz w:val="24"/>
                <w:u w:val="none"/>
              </w:rPr>
            </w:pPr>
            <w:r>
              <w:rPr>
                <w:rFonts w:hint="eastAsia" w:ascii="Times New Roman" w:hAnsi="Times New Roman" w:cs="Times New Roman"/>
                <w:b/>
                <w:sz w:val="24"/>
                <w:u w:val="none"/>
              </w:rPr>
              <w:t>工艺流程简述：</w:t>
            </w:r>
          </w:p>
          <w:p w14:paraId="2C4ABB5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1）脱除包装</w:t>
            </w:r>
          </w:p>
          <w:p w14:paraId="0005B59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洁净区外对外购药品包装用铝箔脱出外包装，运至洁净区脱内包装。</w:t>
            </w:r>
          </w:p>
          <w:p w14:paraId="393CDD7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2）调墨</w:t>
            </w:r>
          </w:p>
          <w:p w14:paraId="1B56A389">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印刷前要进行调墨，根据客户需要、工艺要求和色相要求对油墨进行调配。</w:t>
            </w:r>
          </w:p>
          <w:p w14:paraId="23F5959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项目铝箔油墨采用溶剂型油墨，由人工将未开封的油墨和稀释剂转运至印刷车间内现场调墨，在密闭负压的印刷车间内将油墨与稀释剂按照比例在配液桶内混合搅拌均匀，配置成印刷需要的油墨种类，经密闭桶装现场使用。根据油墨和稀释剂的MSDS可知，油墨和稀释剂中均不含苯系物，不含镉、铅、汞、六价铬、多溴联苯、多溴二苯醚等物质。</w:t>
            </w:r>
          </w:p>
          <w:p w14:paraId="6D5CF3D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3）调胶、调保护剂</w:t>
            </w:r>
          </w:p>
          <w:p w14:paraId="3373DD0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涂布之前需对胶黏剂、保护剂进行调和，项目设置有调胶室专门进行调胶、调保护剂。</w:t>
            </w:r>
          </w:p>
          <w:p w14:paraId="20CEE6E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项目由人工将未开封的 VC 胶粘剂、OP保护剂和稀释剂转运至调胶间内，在密闭微负压的调胶间内将 VC 胶粘剂或 OP保护剂与稀释剂按照比例在配液桶内混合搅拌均匀，配制成涂布需要的胶粘剂、保护剂种类，再密闭桶装经人工转移至铝箔车间内使用。根据 VC 胶粘剂的 MSDS 可知，均不含苯系物，不含镉、铅、汞、六价铬、多溴联苯、多溴二苯醚等物质。调胶过程中无苯系物及含重金属废气产生。</w:t>
            </w:r>
          </w:p>
          <w:p w14:paraId="3254599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4）印刷</w:t>
            </w:r>
          </w:p>
          <w:p w14:paraId="3D5A527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根据客户需求设计印刷图案，调整好印刷色序、色相，控制好印刷薄膜张力，调整好干燥温度、油墨粘度及套印精度，采用电脑印刷机，采用油墨将图案印制到薄膜上。此过程干燥温度为</w:t>
            </w:r>
            <w:r>
              <w:rPr>
                <w:rFonts w:hint="eastAsia" w:cs="Times New Roman"/>
                <w:color w:val="000000"/>
                <w:kern w:val="0"/>
                <w:sz w:val="24"/>
                <w:szCs w:val="24"/>
                <w:lang w:val="en-US" w:eastAsia="zh-CN" w:bidi="ar"/>
              </w:rPr>
              <w:t>2</w:t>
            </w:r>
            <w:r>
              <w:rPr>
                <w:rFonts w:hint="eastAsia" w:ascii="Times New Roman" w:hAnsi="Times New Roman" w:eastAsia="宋体" w:cs="Times New Roman"/>
                <w:color w:val="000000"/>
                <w:kern w:val="0"/>
                <w:sz w:val="24"/>
                <w:szCs w:val="24"/>
                <w:lang w:val="en-US" w:eastAsia="zh-CN" w:bidi="ar"/>
              </w:rPr>
              <w:t>00℃，采用印刷机电脑自动电加温的方式干燥。</w:t>
            </w:r>
          </w:p>
          <w:p w14:paraId="271D182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在印刷过程中溶剂将挥发，形成气体污染源。根据油墨和稀释剂的 MSDS 可知，油墨和稀释剂中均不含苯系物，不含镉、铅、汞、六价铬、多溴联苯、多溴二苯醚等物质。印刷过程中无苯系物及含重金属废气产生。</w:t>
            </w:r>
          </w:p>
          <w:p w14:paraId="74E4E4D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印刷机换版或换色时首先用刮刀清理版上绝大部分油墨，最后用少量的清洗剂（乙酸乙酯）擦洗印刷版，并在车间内晾干后返回版库暂存，同时清洗的油墨稀释剂收集至密闭容器中回收使用，沾染有机溶剂的废抹布作为危险废物处置。</w:t>
            </w:r>
          </w:p>
          <w:p w14:paraId="5A2208A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5）涂布OP</w:t>
            </w:r>
          </w:p>
          <w:p w14:paraId="6C74CFF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对铝箔正面（印刷面）涂布OP保护剂，以保护印刷图案、字迹等不掉色和刮痕。开机调整刮刀，使网线辊表面OP均匀。在涂布OP时进行烘干，在此过程中溶剂将挥发，形成气体污染源。</w:t>
            </w:r>
          </w:p>
          <w:p w14:paraId="0349A1D4">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根据OP保护剂和稀释剂的MSDS可知，OP保护剂和稀释剂中均不含苯系物，不含镉、铅、汞、六价铬、多溴联苯、多溴二苯醚等物质。</w:t>
            </w:r>
          </w:p>
          <w:p w14:paraId="2359E89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6）涂布 VC</w:t>
            </w:r>
          </w:p>
          <w:p w14:paraId="09803E5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对铝箔反面涂布 VC 粘胶剂，起到热封作用。调整刮刀，使网线辊表面 VC均匀。在涂布 VC 时进行烘干，在此过程中溶剂将挥发，形成气体污染源。</w:t>
            </w:r>
          </w:p>
          <w:p w14:paraId="5A762FA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 VC 粘胶剂和稀释剂的MSDS可知，VC粘胶剂和稀释剂中均不含苯系物，不含镉、铅、汞、六价铬、多溴联苯、多溴二苯醚等物质。</w:t>
            </w:r>
          </w:p>
          <w:p w14:paraId="26678F63">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7）裁切、检验</w:t>
            </w:r>
          </w:p>
          <w:p w14:paraId="777BF94E">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bCs/>
                <w:sz w:val="24"/>
                <w:u w:val="none"/>
                <w:lang w:val="en-US" w:eastAsia="zh-CN"/>
              </w:rPr>
            </w:pPr>
            <w:r>
              <w:rPr>
                <w:rFonts w:hint="eastAsia" w:ascii="Times New Roman" w:hAnsi="Times New Roman" w:eastAsia="宋体" w:cs="Times New Roman"/>
                <w:color w:val="000000"/>
                <w:kern w:val="0"/>
                <w:sz w:val="24"/>
                <w:szCs w:val="24"/>
                <w:lang w:val="en-US" w:eastAsia="zh-CN" w:bidi="ar"/>
              </w:rPr>
              <w:t>涂布工序结束后，以卷筒的形式卸下印好的半成品，进入分切工序。采用自动分切机进行分切，把铝箔膜分切成产品需要的规格，并将两边多余的边裁掉（属于一般工业固体废物）。分切机械还产生一定的噪声。检验主要是检查产品是否有掉色、起皱等，完好符合要求即可包装入库</w:t>
            </w:r>
          </w:p>
          <w:p w14:paraId="74B6B149">
            <w:pPr>
              <w:keepNext w:val="0"/>
              <w:keepLines w:val="0"/>
              <w:widowControl/>
              <w:suppressLineNumbers w:val="0"/>
              <w:spacing w:before="0" w:beforeAutospacing="0" w:after="0" w:afterAutospacing="0"/>
              <w:ind w:left="0" w:right="0" w:firstLine="482" w:firstLineChars="200"/>
              <w:jc w:val="left"/>
              <w:rPr>
                <w:rFonts w:hint="default"/>
              </w:rPr>
            </w:pPr>
            <w:r>
              <w:rPr>
                <w:rFonts w:hint="eastAsia" w:ascii="宋体" w:hAnsi="宋体" w:eastAsia="宋体" w:cs="宋体"/>
                <w:b/>
                <w:bCs/>
                <w:color w:val="000000"/>
                <w:kern w:val="0"/>
                <w:sz w:val="24"/>
                <w:szCs w:val="24"/>
                <w:lang w:val="en-US" w:eastAsia="zh-CN" w:bidi="ar"/>
              </w:rPr>
              <w:t>（</w:t>
            </w:r>
            <w:r>
              <w:rPr>
                <w:rFonts w:hint="default" w:ascii="Times New Roman" w:hAnsi="Times New Roman" w:eastAsia="宋体" w:cs="Times New Roman"/>
                <w:b/>
                <w:bCs/>
                <w:color w:val="000000"/>
                <w:kern w:val="0"/>
                <w:sz w:val="24"/>
                <w:szCs w:val="24"/>
                <w:lang w:val="en-US" w:eastAsia="zh-CN" w:bidi="ar"/>
              </w:rPr>
              <w:t>3</w:t>
            </w:r>
            <w:r>
              <w:rPr>
                <w:rFonts w:hint="eastAsia" w:ascii="宋体" w:hAnsi="宋体" w:eastAsia="宋体" w:cs="宋体"/>
                <w:b/>
                <w:bCs/>
                <w:color w:val="000000"/>
                <w:kern w:val="0"/>
                <w:sz w:val="24"/>
                <w:szCs w:val="24"/>
                <w:lang w:val="en-US" w:eastAsia="zh-CN" w:bidi="ar"/>
              </w:rPr>
              <w:t>）PE 膜、袋生产工艺流程及产污节点图</w:t>
            </w:r>
          </w:p>
          <w:p w14:paraId="7012BAE1">
            <w:pPr>
              <w:keepNext w:val="0"/>
              <w:keepLines w:val="0"/>
              <w:widowControl/>
              <w:suppressLineNumbers w:val="0"/>
              <w:spacing w:before="0" w:beforeAutospacing="0" w:after="0" w:afterAutospacing="0"/>
              <w:ind w:left="0" w:right="0"/>
              <w:jc w:val="left"/>
              <w:rPr>
                <w:rFonts w:hint="default"/>
              </w:rPr>
            </w:pPr>
          </w:p>
          <w:p w14:paraId="0BCE1AC2">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bCs/>
                <w:sz w:val="24"/>
                <w:u w:val="none"/>
                <w:lang w:val="en-US" w:eastAsia="zh-CN"/>
              </w:rPr>
            </w:pPr>
            <w:r>
              <w:rPr>
                <w:rFonts w:hint="default"/>
              </w:rPr>
              <w:drawing>
                <wp:inline distT="0" distB="0" distL="114300" distR="114300">
                  <wp:extent cx="5105400" cy="1856740"/>
                  <wp:effectExtent l="0" t="0" r="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105400" cy="1856740"/>
                          </a:xfrm>
                          <a:prstGeom prst="rect">
                            <a:avLst/>
                          </a:prstGeom>
                          <a:noFill/>
                          <a:ln>
                            <a:noFill/>
                          </a:ln>
                        </pic:spPr>
                      </pic:pic>
                    </a:graphicData>
                  </a:graphic>
                </wp:inline>
              </w:drawing>
            </w:r>
          </w:p>
          <w:p w14:paraId="1D652DAD">
            <w:pPr>
              <w:keepNext w:val="0"/>
              <w:keepLines w:val="0"/>
              <w:suppressLineNumbers w:val="0"/>
              <w:spacing w:before="0" w:beforeAutospacing="0" w:after="0" w:afterAutospacing="0" w:line="340" w:lineRule="exact"/>
              <w:ind w:left="0" w:right="0"/>
              <w:jc w:val="center"/>
              <w:rPr>
                <w:rFonts w:hint="eastAsia" w:ascii="Times New Roman" w:hAnsi="Times New Roman" w:eastAsia="宋体" w:cs="Times New Roman"/>
                <w:color w:val="auto"/>
                <w:highlight w:val="none"/>
                <w:u w:val="none"/>
                <w:lang w:val="en-US" w:eastAsia="zh-CN"/>
              </w:rPr>
            </w:pPr>
            <w:r>
              <w:rPr>
                <w:rFonts w:hint="default" w:ascii="Times New Roman" w:hAnsi="Times New Roman" w:cs="Times New Roman"/>
                <w:b/>
                <w:szCs w:val="21"/>
                <w:u w:val="none"/>
              </w:rPr>
              <w:t>图2-</w:t>
            </w:r>
            <w:r>
              <w:rPr>
                <w:rFonts w:hint="eastAsia" w:cs="Times New Roman"/>
                <w:b/>
                <w:szCs w:val="21"/>
                <w:u w:val="none"/>
                <w:lang w:val="en-US" w:eastAsia="zh-CN"/>
              </w:rPr>
              <w:t>4</w:t>
            </w:r>
            <w:r>
              <w:rPr>
                <w:rFonts w:hint="default" w:ascii="Times New Roman" w:hAnsi="Times New Roman" w:cs="Times New Roman"/>
                <w:b/>
                <w:szCs w:val="21"/>
                <w:u w:val="none"/>
              </w:rPr>
              <w:t xml:space="preserve">  项目PE 膜、袋</w:t>
            </w:r>
            <w:r>
              <w:rPr>
                <w:rFonts w:hint="eastAsia" w:ascii="Times New Roman" w:hAnsi="Times New Roman" w:cs="Times New Roman"/>
                <w:b/>
                <w:szCs w:val="21"/>
                <w:u w:val="none"/>
                <w:lang w:val="en-US" w:eastAsia="zh-CN"/>
              </w:rPr>
              <w:t>生产</w:t>
            </w:r>
            <w:r>
              <w:rPr>
                <w:rFonts w:hint="default" w:ascii="Times New Roman" w:hAnsi="Times New Roman" w:cs="Times New Roman"/>
                <w:b/>
                <w:szCs w:val="21"/>
                <w:u w:val="none"/>
              </w:rPr>
              <w:t>工艺流程及产污节点图</w:t>
            </w:r>
          </w:p>
          <w:p w14:paraId="6524B96F">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sz w:val="24"/>
                <w:u w:val="none"/>
              </w:rPr>
            </w:pPr>
            <w:r>
              <w:rPr>
                <w:rFonts w:hint="eastAsia" w:ascii="Times New Roman" w:hAnsi="Times New Roman" w:cs="Times New Roman"/>
                <w:b/>
                <w:sz w:val="24"/>
                <w:u w:val="none"/>
              </w:rPr>
              <w:t>工艺流程简述：</w:t>
            </w:r>
          </w:p>
          <w:p w14:paraId="1D503A45">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default"/>
                <w:sz w:val="24"/>
                <w:szCs w:val="24"/>
                <w:lang w:val="en-US" w:eastAsia="zh-CN"/>
              </w:rPr>
              <w:t xml:space="preserve">PE </w:t>
            </w:r>
            <w:r>
              <w:rPr>
                <w:rFonts w:hint="eastAsia"/>
                <w:sz w:val="24"/>
                <w:szCs w:val="24"/>
                <w:lang w:val="en-US" w:eastAsia="zh-CN"/>
              </w:rPr>
              <w:t xml:space="preserve">膜采用吹塑成型法进行生产，其关键设备为吹膜机。原理为将塑料原料通过挤出机把原料熔融挤成薄管，然后趁热用压缩空气将它吹胀，经冷却定型后即得 </w:t>
            </w:r>
            <w:r>
              <w:rPr>
                <w:rFonts w:hint="default"/>
                <w:sz w:val="24"/>
                <w:szCs w:val="24"/>
                <w:lang w:val="en-US" w:eastAsia="zh-CN"/>
              </w:rPr>
              <w:t xml:space="preserve">PE </w:t>
            </w:r>
            <w:r>
              <w:rPr>
                <w:rFonts w:hint="eastAsia"/>
                <w:sz w:val="24"/>
                <w:szCs w:val="24"/>
                <w:lang w:val="en-US" w:eastAsia="zh-CN"/>
              </w:rPr>
              <w:t xml:space="preserve">膜制品。 </w:t>
            </w:r>
          </w:p>
          <w:p w14:paraId="7BA77FD0">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工艺流程说明：</w:t>
            </w:r>
          </w:p>
          <w:p w14:paraId="007D91E7">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1）拌料、投料</w:t>
            </w:r>
          </w:p>
          <w:p w14:paraId="52DF91BB">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将物料人工解包投入进入搅拌系统的投料口后进行混合，混合在密闭状态下进行，此工序产生噪声 N1。原料为聚乙烯新粒子，总体粒径较大。并在投料时要求工人尽量贴合投料口操作，因此不考虑投料以及拌料产生颗粒物的情况。</w:t>
            </w:r>
          </w:p>
          <w:p w14:paraId="027A3503">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2）吹塑</w:t>
            </w:r>
          </w:p>
          <w:p w14:paraId="1B95B947">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吹膜机是将 PE 塑料粒子加热融化再吹成薄膜的机械设备。首先，将干燥的高密度聚乙烯树脂（颗粒状）加入下料斗中，靠其本身的重量从料斗进入螺杆，</w:t>
            </w:r>
          </w:p>
          <w:p w14:paraId="7486F418">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当粒料与螺纹斜棱接触后，旋转的斜棱面对塑料产生与斜棱面相垂直的推力，将塑料粒子向前推移，推移过程中，由于塑料与螺杆、塑料与机筒之间的摩擦以及粒子间的碰撞摩擦，同时还由于料筒外部加热而逐步溶化（温度为150℃）。熔融的塑料经机头过滤网去杂质从模头模口出来，经吹胀、风环冷却之后经人字板压，由牵引辊卷取将成品薄膜卷成筒。</w:t>
            </w:r>
          </w:p>
          <w:p w14:paraId="46C15098">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3）制袋</w:t>
            </w:r>
          </w:p>
          <w:p w14:paraId="7ED585A1">
            <w:pPr>
              <w:keepNext w:val="0"/>
              <w:keepLines w:val="0"/>
              <w:suppressLineNumbers w:val="0"/>
              <w:spacing w:before="0" w:beforeAutospacing="0" w:after="0" w:afterAutospacing="0" w:line="360" w:lineRule="auto"/>
              <w:ind w:left="0" w:right="0" w:firstLine="480" w:firstLineChars="200"/>
              <w:rPr>
                <w:rFonts w:hint="eastAsia"/>
                <w:sz w:val="24"/>
                <w:szCs w:val="24"/>
                <w:lang w:val="en-US" w:eastAsia="zh-CN"/>
              </w:rPr>
            </w:pPr>
            <w:r>
              <w:rPr>
                <w:rFonts w:hint="eastAsia"/>
                <w:sz w:val="24"/>
                <w:szCs w:val="24"/>
                <w:lang w:val="en-US" w:eastAsia="zh-CN"/>
              </w:rPr>
              <w:t>生产出的 PE 膜主要有三条使用途径：一部</w:t>
            </w:r>
            <w:r>
              <w:rPr>
                <w:rFonts w:hint="eastAsia"/>
                <w:color w:val="auto"/>
                <w:sz w:val="24"/>
                <w:szCs w:val="24"/>
                <w:lang w:val="en-US" w:eastAsia="zh-CN"/>
              </w:rPr>
              <w:t>分直接做成品外售，一部分作为复合膜的原料，一部分继续制袋，通过制袋机完成。</w:t>
            </w:r>
            <w:r>
              <w:rPr>
                <w:rFonts w:hint="eastAsia"/>
                <w:sz w:val="24"/>
                <w:szCs w:val="24"/>
                <w:lang w:val="en-US" w:eastAsia="zh-CN"/>
              </w:rPr>
              <w:t>制袋完成后通过检验，再打包入库。对于不符合要求且可回收的产品、边角料，投入粉碎机后重新进入吹塑工序。粉碎机直接连接拌料机，将边料回收粉碎后重新回用于生产，粉碎过程在粉碎机内部破碎区域完成，工作期间全程密闭，基本无粉尘产生。</w:t>
            </w:r>
          </w:p>
          <w:p w14:paraId="32C93A56">
            <w:pPr>
              <w:keepNext w:val="0"/>
              <w:keepLines w:val="0"/>
              <w:suppressLineNumbers w:val="0"/>
              <w:spacing w:before="0" w:beforeAutospacing="0" w:after="0" w:afterAutospacing="0" w:line="360" w:lineRule="auto"/>
              <w:ind w:left="0" w:right="0" w:firstLine="480"/>
              <w:rPr>
                <w:rFonts w:hint="eastAsia" w:ascii="Times New Roman" w:hAnsi="Times New Roman" w:cs="Times New Roman"/>
                <w:b/>
                <w:bCs/>
                <w:color w:val="000000"/>
                <w:sz w:val="24"/>
                <w:u w:val="none"/>
                <w:lang w:val="en-US" w:eastAsia="zh-CN"/>
              </w:rPr>
            </w:pPr>
            <w:r>
              <w:rPr>
                <w:rFonts w:hint="eastAsia" w:ascii="Times New Roman" w:hAnsi="Times New Roman" w:cs="Times New Roman"/>
                <w:b/>
                <w:bCs/>
                <w:color w:val="000000"/>
                <w:sz w:val="24"/>
                <w:u w:val="none"/>
                <w:lang w:val="en-US" w:eastAsia="zh-CN"/>
              </w:rPr>
              <w:t>本项目产污一览表见下表：</w:t>
            </w:r>
          </w:p>
          <w:tbl>
            <w:tblPr>
              <w:tblStyle w:val="4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940"/>
              <w:gridCol w:w="1079"/>
              <w:gridCol w:w="1555"/>
              <w:gridCol w:w="3416"/>
            </w:tblGrid>
            <w:tr w14:paraId="1E693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tcBorders>
                    <w:tl2br w:val="nil"/>
                    <w:tr2bl w:val="nil"/>
                  </w:tcBorders>
                  <w:noWrap w:val="0"/>
                  <w:vAlign w:val="center"/>
                </w:tcPr>
                <w:p w14:paraId="3BBEBC9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u w:val="none"/>
                      <w:vertAlign w:val="baseline"/>
                      <w:lang w:val="en-US" w:eastAsia="zh-CN"/>
                    </w:rPr>
                  </w:pPr>
                  <w:r>
                    <w:rPr>
                      <w:rFonts w:hint="eastAsia" w:ascii="Times New Roman" w:hAnsi="Times New Roman" w:cs="Times New Roman"/>
                      <w:b/>
                      <w:bCs/>
                      <w:color w:val="auto"/>
                      <w:sz w:val="21"/>
                      <w:szCs w:val="21"/>
                      <w:u w:val="none"/>
                      <w:vertAlign w:val="baseline"/>
                      <w:lang w:val="en-US" w:eastAsia="zh-CN"/>
                    </w:rPr>
                    <w:t>项目</w:t>
                  </w:r>
                </w:p>
              </w:tc>
              <w:tc>
                <w:tcPr>
                  <w:tcW w:w="1238" w:type="pct"/>
                  <w:gridSpan w:val="2"/>
                  <w:tcBorders>
                    <w:tl2br w:val="nil"/>
                    <w:tr2bl w:val="nil"/>
                  </w:tcBorders>
                  <w:noWrap w:val="0"/>
                  <w:vAlign w:val="center"/>
                </w:tcPr>
                <w:p w14:paraId="523F12E2">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u w:val="none"/>
                      <w:vertAlign w:val="baseline"/>
                      <w:lang w:val="en-US" w:eastAsia="zh-CN"/>
                    </w:rPr>
                  </w:pPr>
                  <w:r>
                    <w:rPr>
                      <w:rFonts w:hint="eastAsia" w:ascii="Times New Roman" w:hAnsi="Times New Roman" w:cs="Times New Roman"/>
                      <w:b/>
                      <w:bCs/>
                      <w:color w:val="auto"/>
                      <w:sz w:val="21"/>
                      <w:szCs w:val="21"/>
                      <w:u w:val="none"/>
                      <w:vertAlign w:val="baseline"/>
                      <w:lang w:val="en-US" w:eastAsia="zh-CN"/>
                    </w:rPr>
                    <w:t>产污工序</w:t>
                  </w:r>
                </w:p>
              </w:tc>
              <w:tc>
                <w:tcPr>
                  <w:tcW w:w="953" w:type="pct"/>
                  <w:tcBorders>
                    <w:tl2br w:val="nil"/>
                    <w:tr2bl w:val="nil"/>
                  </w:tcBorders>
                  <w:noWrap w:val="0"/>
                  <w:vAlign w:val="center"/>
                </w:tcPr>
                <w:p w14:paraId="63B4DBA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u w:val="none"/>
                      <w:vertAlign w:val="baseline"/>
                      <w:lang w:val="en-US" w:eastAsia="zh-CN"/>
                    </w:rPr>
                  </w:pPr>
                  <w:r>
                    <w:rPr>
                      <w:rFonts w:hint="eastAsia" w:ascii="Times New Roman" w:hAnsi="Times New Roman" w:cs="Times New Roman"/>
                      <w:b/>
                      <w:bCs/>
                      <w:color w:val="auto"/>
                      <w:sz w:val="21"/>
                      <w:szCs w:val="21"/>
                      <w:u w:val="none"/>
                      <w:vertAlign w:val="baseline"/>
                      <w:lang w:val="en-US" w:eastAsia="zh-CN"/>
                    </w:rPr>
                    <w:t>污染物类别</w:t>
                  </w:r>
                </w:p>
              </w:tc>
              <w:tc>
                <w:tcPr>
                  <w:tcW w:w="2094" w:type="pct"/>
                  <w:tcBorders>
                    <w:tl2br w:val="nil"/>
                    <w:tr2bl w:val="nil"/>
                  </w:tcBorders>
                  <w:noWrap w:val="0"/>
                  <w:vAlign w:val="center"/>
                </w:tcPr>
                <w:p w14:paraId="5597CB5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u w:val="none"/>
                      <w:vertAlign w:val="baseline"/>
                      <w:lang w:val="en-US" w:eastAsia="zh-CN"/>
                    </w:rPr>
                  </w:pPr>
                  <w:r>
                    <w:rPr>
                      <w:rFonts w:hint="eastAsia" w:ascii="Times New Roman" w:hAnsi="Times New Roman" w:cs="Times New Roman"/>
                      <w:b/>
                      <w:bCs/>
                      <w:color w:val="auto"/>
                      <w:sz w:val="21"/>
                      <w:szCs w:val="21"/>
                      <w:u w:val="none"/>
                      <w:vertAlign w:val="baseline"/>
                      <w:lang w:val="en-US" w:eastAsia="zh-CN"/>
                    </w:rPr>
                    <w:t>主要污染因子</w:t>
                  </w:r>
                </w:p>
              </w:tc>
            </w:tr>
            <w:tr w14:paraId="3D96B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tcBorders>
                    <w:tl2br w:val="nil"/>
                    <w:tr2bl w:val="nil"/>
                  </w:tcBorders>
                  <w:noWrap w:val="0"/>
                  <w:vAlign w:val="center"/>
                </w:tcPr>
                <w:p w14:paraId="2214501B">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废水</w:t>
                  </w:r>
                </w:p>
              </w:tc>
              <w:tc>
                <w:tcPr>
                  <w:tcW w:w="1238" w:type="pct"/>
                  <w:gridSpan w:val="2"/>
                  <w:tcBorders>
                    <w:tl2br w:val="nil"/>
                    <w:tr2bl w:val="nil"/>
                  </w:tcBorders>
                  <w:noWrap w:val="0"/>
                  <w:vAlign w:val="center"/>
                </w:tcPr>
                <w:p w14:paraId="6FDBC5F6">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vertAlign w:val="baseline"/>
                      <w:lang w:val="en-US" w:eastAsia="zh-CN" w:bidi="ar-SA"/>
                    </w:rPr>
                  </w:pPr>
                  <w:r>
                    <w:rPr>
                      <w:rFonts w:hint="eastAsia" w:ascii="Times New Roman" w:hAnsi="Times New Roman" w:cs="Times New Roman"/>
                      <w:color w:val="auto"/>
                      <w:sz w:val="21"/>
                      <w:szCs w:val="21"/>
                      <w:u w:val="none"/>
                      <w:vertAlign w:val="baseline"/>
                      <w:lang w:val="en-US" w:eastAsia="zh-CN"/>
                    </w:rPr>
                    <w:t>员工生活</w:t>
                  </w:r>
                </w:p>
              </w:tc>
              <w:tc>
                <w:tcPr>
                  <w:tcW w:w="953" w:type="pct"/>
                  <w:tcBorders>
                    <w:tl2br w:val="nil"/>
                    <w:tr2bl w:val="nil"/>
                  </w:tcBorders>
                  <w:noWrap w:val="0"/>
                  <w:vAlign w:val="center"/>
                </w:tcPr>
                <w:p w14:paraId="7FE7CB7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vertAlign w:val="baseline"/>
                      <w:lang w:val="en-US" w:eastAsia="zh-CN" w:bidi="ar-SA"/>
                    </w:rPr>
                  </w:pPr>
                  <w:r>
                    <w:rPr>
                      <w:rFonts w:hint="eastAsia" w:ascii="Times New Roman" w:hAnsi="Times New Roman" w:cs="Times New Roman"/>
                      <w:color w:val="auto"/>
                      <w:sz w:val="21"/>
                      <w:szCs w:val="21"/>
                      <w:u w:val="none"/>
                      <w:vertAlign w:val="baseline"/>
                      <w:lang w:val="en-US" w:eastAsia="zh-CN"/>
                    </w:rPr>
                    <w:t>生活污水</w:t>
                  </w:r>
                </w:p>
              </w:tc>
              <w:tc>
                <w:tcPr>
                  <w:tcW w:w="2094" w:type="pct"/>
                  <w:tcBorders>
                    <w:tl2br w:val="nil"/>
                    <w:tr2bl w:val="nil"/>
                  </w:tcBorders>
                  <w:noWrap w:val="0"/>
                  <w:vAlign w:val="center"/>
                </w:tcPr>
                <w:p w14:paraId="14EAEAE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u w:val="none"/>
                      <w:vertAlign w:val="baseline"/>
                      <w:lang w:val="en-US" w:eastAsia="zh-CN" w:bidi="ar-SA"/>
                    </w:rPr>
                  </w:pPr>
                  <w:r>
                    <w:rPr>
                      <w:rFonts w:hint="eastAsia" w:ascii="Times New Roman" w:hAnsi="Times New Roman" w:cs="Times New Roman"/>
                      <w:color w:val="auto"/>
                      <w:sz w:val="21"/>
                      <w:szCs w:val="21"/>
                      <w:u w:val="none"/>
                      <w:vertAlign w:val="baseline"/>
                      <w:lang w:val="en-US" w:eastAsia="zh-CN"/>
                    </w:rPr>
                    <w:t>pH、COD、BOD</w:t>
                  </w:r>
                  <w:r>
                    <w:rPr>
                      <w:rFonts w:hint="eastAsia" w:ascii="Times New Roman" w:hAnsi="Times New Roman" w:cs="Times New Roman"/>
                      <w:color w:val="auto"/>
                      <w:sz w:val="21"/>
                      <w:szCs w:val="21"/>
                      <w:u w:val="none"/>
                      <w:vertAlign w:val="subscript"/>
                      <w:lang w:val="en-US" w:eastAsia="zh-CN"/>
                    </w:rPr>
                    <w:t>5</w:t>
                  </w:r>
                  <w:r>
                    <w:rPr>
                      <w:rFonts w:hint="eastAsia" w:ascii="Times New Roman" w:hAnsi="Times New Roman" w:cs="Times New Roman"/>
                      <w:color w:val="auto"/>
                      <w:sz w:val="21"/>
                      <w:szCs w:val="21"/>
                      <w:u w:val="none"/>
                      <w:vertAlign w:val="baseline"/>
                      <w:lang w:val="en-US" w:eastAsia="zh-CN"/>
                    </w:rPr>
                    <w:t>、NH</w:t>
                  </w:r>
                  <w:r>
                    <w:rPr>
                      <w:rFonts w:hint="eastAsia" w:ascii="Times New Roman" w:hAnsi="Times New Roman" w:cs="Times New Roman"/>
                      <w:color w:val="auto"/>
                      <w:sz w:val="21"/>
                      <w:szCs w:val="21"/>
                      <w:u w:val="none"/>
                      <w:vertAlign w:val="subscript"/>
                      <w:lang w:val="en-US" w:eastAsia="zh-CN"/>
                    </w:rPr>
                    <w:t>3</w:t>
                  </w:r>
                  <w:r>
                    <w:rPr>
                      <w:rFonts w:hint="eastAsia" w:ascii="Times New Roman" w:hAnsi="Times New Roman" w:cs="Times New Roman"/>
                      <w:color w:val="auto"/>
                      <w:sz w:val="21"/>
                      <w:szCs w:val="21"/>
                      <w:u w:val="none"/>
                      <w:vertAlign w:val="baseline"/>
                      <w:lang w:val="en-US" w:eastAsia="zh-CN"/>
                    </w:rPr>
                    <w:t>-N、SS</w:t>
                  </w:r>
                </w:p>
              </w:tc>
            </w:tr>
            <w:tr w14:paraId="7A2EC2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restart"/>
                  <w:tcBorders>
                    <w:tl2br w:val="nil"/>
                    <w:tr2bl w:val="nil"/>
                  </w:tcBorders>
                  <w:noWrap w:val="0"/>
                  <w:vAlign w:val="center"/>
                </w:tcPr>
                <w:p w14:paraId="6B0C30D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废气</w:t>
                  </w:r>
                </w:p>
              </w:tc>
              <w:tc>
                <w:tcPr>
                  <w:tcW w:w="576" w:type="pct"/>
                  <w:vMerge w:val="restart"/>
                  <w:tcBorders>
                    <w:tl2br w:val="nil"/>
                    <w:tr2bl w:val="nil"/>
                  </w:tcBorders>
                  <w:noWrap w:val="0"/>
                  <w:vAlign w:val="center"/>
                </w:tcPr>
                <w:p w14:paraId="77100C59">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复合膜生产</w:t>
                  </w:r>
                </w:p>
              </w:tc>
              <w:tc>
                <w:tcPr>
                  <w:tcW w:w="661" w:type="pct"/>
                  <w:tcBorders>
                    <w:tl2br w:val="nil"/>
                    <w:tr2bl w:val="nil"/>
                  </w:tcBorders>
                  <w:noWrap w:val="0"/>
                  <w:vAlign w:val="center"/>
                </w:tcPr>
                <w:p w14:paraId="464E190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调墨</w:t>
                  </w:r>
                </w:p>
              </w:tc>
              <w:tc>
                <w:tcPr>
                  <w:tcW w:w="953" w:type="pct"/>
                  <w:tcBorders>
                    <w:tl2br w:val="nil"/>
                    <w:tr2bl w:val="nil"/>
                  </w:tcBorders>
                  <w:noWrap w:val="0"/>
                  <w:vAlign w:val="center"/>
                </w:tcPr>
                <w:p w14:paraId="0599FFE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调墨</w:t>
                  </w:r>
                  <w:r>
                    <w:rPr>
                      <w:rFonts w:hint="eastAsia" w:ascii="Times New Roman" w:hAnsi="Times New Roman" w:eastAsia="宋体" w:cs="Times New Roman"/>
                      <w:color w:val="auto"/>
                      <w:sz w:val="21"/>
                      <w:szCs w:val="21"/>
                      <w:u w:val="none"/>
                      <w:vertAlign w:val="baseline"/>
                      <w:lang w:val="en-US" w:eastAsia="zh-CN"/>
                    </w:rPr>
                    <w:t>废气</w:t>
                  </w:r>
                </w:p>
              </w:tc>
              <w:tc>
                <w:tcPr>
                  <w:tcW w:w="2094" w:type="pct"/>
                  <w:tcBorders>
                    <w:tl2br w:val="nil"/>
                    <w:tr2bl w:val="nil"/>
                  </w:tcBorders>
                  <w:noWrap w:val="0"/>
                  <w:vAlign w:val="center"/>
                </w:tcPr>
                <w:p w14:paraId="1315E9E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23D67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149DDF8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39C7EE5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noWrap w:val="0"/>
                  <w:vAlign w:val="center"/>
                </w:tcPr>
                <w:p w14:paraId="1A1F21A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调胶</w:t>
                  </w:r>
                </w:p>
              </w:tc>
              <w:tc>
                <w:tcPr>
                  <w:tcW w:w="953" w:type="pct"/>
                  <w:tcBorders>
                    <w:tl2br w:val="nil"/>
                    <w:tr2bl w:val="nil"/>
                  </w:tcBorders>
                  <w:noWrap w:val="0"/>
                  <w:vAlign w:val="center"/>
                </w:tcPr>
                <w:p w14:paraId="432C7A5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调胶废气</w:t>
                  </w:r>
                </w:p>
              </w:tc>
              <w:tc>
                <w:tcPr>
                  <w:tcW w:w="2094" w:type="pct"/>
                  <w:tcBorders>
                    <w:tl2br w:val="nil"/>
                    <w:tr2bl w:val="nil"/>
                  </w:tcBorders>
                  <w:noWrap w:val="0"/>
                  <w:vAlign w:val="center"/>
                </w:tcPr>
                <w:p w14:paraId="531B8E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524DC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0E6C3F7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2FA75D0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noWrap w:val="0"/>
                  <w:vAlign w:val="center"/>
                </w:tcPr>
                <w:p w14:paraId="7517EB2B">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印刷</w:t>
                  </w:r>
                </w:p>
              </w:tc>
              <w:tc>
                <w:tcPr>
                  <w:tcW w:w="953" w:type="pct"/>
                  <w:tcBorders>
                    <w:tl2br w:val="nil"/>
                    <w:tr2bl w:val="nil"/>
                  </w:tcBorders>
                  <w:noWrap w:val="0"/>
                  <w:vAlign w:val="center"/>
                </w:tcPr>
                <w:p w14:paraId="38C85D29">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印刷废气</w:t>
                  </w:r>
                </w:p>
              </w:tc>
              <w:tc>
                <w:tcPr>
                  <w:tcW w:w="2094" w:type="pct"/>
                  <w:tcBorders>
                    <w:tl2br w:val="nil"/>
                    <w:tr2bl w:val="nil"/>
                  </w:tcBorders>
                  <w:noWrap w:val="0"/>
                  <w:vAlign w:val="center"/>
                </w:tcPr>
                <w:p w14:paraId="4C30F7E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445B30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319CBB2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51ADEE2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noWrap w:val="0"/>
                  <w:vAlign w:val="center"/>
                </w:tcPr>
                <w:p w14:paraId="178C965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复合</w:t>
                  </w:r>
                </w:p>
              </w:tc>
              <w:tc>
                <w:tcPr>
                  <w:tcW w:w="953" w:type="pct"/>
                  <w:tcBorders>
                    <w:tl2br w:val="nil"/>
                    <w:tr2bl w:val="nil"/>
                  </w:tcBorders>
                  <w:noWrap w:val="0"/>
                  <w:vAlign w:val="center"/>
                </w:tcPr>
                <w:p w14:paraId="6C7075B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复合废气</w:t>
                  </w:r>
                </w:p>
              </w:tc>
              <w:tc>
                <w:tcPr>
                  <w:tcW w:w="2094" w:type="pct"/>
                  <w:tcBorders>
                    <w:tl2br w:val="nil"/>
                    <w:tr2bl w:val="nil"/>
                  </w:tcBorders>
                  <w:noWrap w:val="0"/>
                  <w:vAlign w:val="center"/>
                </w:tcPr>
                <w:p w14:paraId="2BB4D43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7A2CB2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41251B8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78B9B9E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noWrap w:val="0"/>
                  <w:vAlign w:val="center"/>
                </w:tcPr>
                <w:p w14:paraId="158FD15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固化</w:t>
                  </w:r>
                </w:p>
              </w:tc>
              <w:tc>
                <w:tcPr>
                  <w:tcW w:w="953" w:type="pct"/>
                  <w:tcBorders>
                    <w:tl2br w:val="nil"/>
                    <w:tr2bl w:val="nil"/>
                  </w:tcBorders>
                  <w:noWrap w:val="0"/>
                  <w:vAlign w:val="center"/>
                </w:tcPr>
                <w:p w14:paraId="0AC50BE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固化废气</w:t>
                  </w:r>
                </w:p>
              </w:tc>
              <w:tc>
                <w:tcPr>
                  <w:tcW w:w="2094" w:type="pct"/>
                  <w:tcBorders>
                    <w:tl2br w:val="nil"/>
                    <w:tr2bl w:val="nil"/>
                  </w:tcBorders>
                  <w:noWrap w:val="0"/>
                  <w:vAlign w:val="center"/>
                </w:tcPr>
                <w:p w14:paraId="61F204B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3993C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2FF811D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restart"/>
                  <w:tcBorders>
                    <w:tl2br w:val="nil"/>
                    <w:tr2bl w:val="nil"/>
                  </w:tcBorders>
                  <w:noWrap w:val="0"/>
                  <w:vAlign w:val="center"/>
                </w:tcPr>
                <w:p w14:paraId="1A17A28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铝箔生产</w:t>
                  </w:r>
                </w:p>
              </w:tc>
              <w:tc>
                <w:tcPr>
                  <w:tcW w:w="661" w:type="pct"/>
                  <w:tcBorders>
                    <w:tl2br w:val="nil"/>
                    <w:tr2bl w:val="nil"/>
                  </w:tcBorders>
                  <w:shd w:val="clear" w:color="auto" w:fill="auto"/>
                  <w:noWrap w:val="0"/>
                  <w:vAlign w:val="center"/>
                </w:tcPr>
                <w:p w14:paraId="753CD1D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调墨</w:t>
                  </w:r>
                </w:p>
              </w:tc>
              <w:tc>
                <w:tcPr>
                  <w:tcW w:w="953" w:type="pct"/>
                  <w:tcBorders>
                    <w:tl2br w:val="nil"/>
                    <w:tr2bl w:val="nil"/>
                  </w:tcBorders>
                  <w:shd w:val="clear" w:color="auto" w:fill="auto"/>
                  <w:noWrap w:val="0"/>
                  <w:vAlign w:val="center"/>
                </w:tcPr>
                <w:p w14:paraId="32EBF0D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调墨</w:t>
                  </w:r>
                  <w:r>
                    <w:rPr>
                      <w:rFonts w:hint="eastAsia" w:ascii="Times New Roman" w:hAnsi="Times New Roman" w:eastAsia="宋体" w:cs="Times New Roman"/>
                      <w:color w:val="auto"/>
                      <w:sz w:val="21"/>
                      <w:szCs w:val="21"/>
                      <w:u w:val="none"/>
                      <w:vertAlign w:val="baseline"/>
                      <w:lang w:val="en-US" w:eastAsia="zh-CN"/>
                    </w:rPr>
                    <w:t>废气</w:t>
                  </w:r>
                </w:p>
              </w:tc>
              <w:tc>
                <w:tcPr>
                  <w:tcW w:w="2094" w:type="pct"/>
                  <w:tcBorders>
                    <w:tl2br w:val="nil"/>
                    <w:tr2bl w:val="nil"/>
                  </w:tcBorders>
                  <w:shd w:val="clear" w:color="auto" w:fill="auto"/>
                  <w:noWrap w:val="0"/>
                  <w:vAlign w:val="center"/>
                </w:tcPr>
                <w:p w14:paraId="16230A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u w:val="none"/>
                      <w:vertAlign w:val="baseline"/>
                      <w:lang w:val="en-US" w:eastAsia="zh-CN" w:bidi="ar-SA"/>
                    </w:rPr>
                  </w:pPr>
                  <w:r>
                    <w:rPr>
                      <w:rFonts w:hint="eastAsia" w:cs="Times New Roman"/>
                      <w:color w:val="auto"/>
                      <w:sz w:val="21"/>
                      <w:szCs w:val="21"/>
                      <w:u w:val="none"/>
                      <w:vertAlign w:val="baseline"/>
                      <w:lang w:val="en-US" w:eastAsia="zh-CN"/>
                    </w:rPr>
                    <w:t>挥发性有机物</w:t>
                  </w:r>
                </w:p>
              </w:tc>
            </w:tr>
            <w:tr w14:paraId="0D99CF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383865C9">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4B8A9C9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shd w:val="clear" w:color="auto" w:fill="auto"/>
                  <w:noWrap w:val="0"/>
                  <w:vAlign w:val="center"/>
                </w:tcPr>
                <w:p w14:paraId="141681C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印刷</w:t>
                  </w:r>
                </w:p>
              </w:tc>
              <w:tc>
                <w:tcPr>
                  <w:tcW w:w="953" w:type="pct"/>
                  <w:tcBorders>
                    <w:tl2br w:val="nil"/>
                    <w:tr2bl w:val="nil"/>
                  </w:tcBorders>
                  <w:shd w:val="clear" w:color="auto" w:fill="auto"/>
                  <w:noWrap w:val="0"/>
                  <w:vAlign w:val="center"/>
                </w:tcPr>
                <w:p w14:paraId="0DE6636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印刷废气</w:t>
                  </w:r>
                </w:p>
              </w:tc>
              <w:tc>
                <w:tcPr>
                  <w:tcW w:w="2094" w:type="pct"/>
                  <w:tcBorders>
                    <w:tl2br w:val="nil"/>
                    <w:tr2bl w:val="nil"/>
                  </w:tcBorders>
                  <w:shd w:val="clear" w:color="auto" w:fill="auto"/>
                  <w:noWrap w:val="0"/>
                  <w:vAlign w:val="center"/>
                </w:tcPr>
                <w:p w14:paraId="58A9E8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u w:val="none"/>
                      <w:vertAlign w:val="baseline"/>
                      <w:lang w:val="en-US" w:eastAsia="zh-CN" w:bidi="ar-SA"/>
                    </w:rPr>
                  </w:pPr>
                  <w:r>
                    <w:rPr>
                      <w:rFonts w:hint="eastAsia" w:cs="Times New Roman"/>
                      <w:color w:val="auto"/>
                      <w:sz w:val="21"/>
                      <w:szCs w:val="21"/>
                      <w:u w:val="none"/>
                      <w:vertAlign w:val="baseline"/>
                      <w:lang w:val="en-US" w:eastAsia="zh-CN"/>
                    </w:rPr>
                    <w:t>挥发性有机物</w:t>
                  </w:r>
                </w:p>
              </w:tc>
            </w:tr>
            <w:tr w14:paraId="1D0D68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25D9A11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736EBC6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shd w:val="clear" w:color="auto" w:fill="auto"/>
                  <w:noWrap w:val="0"/>
                  <w:vAlign w:val="center"/>
                </w:tcPr>
                <w:p w14:paraId="06A3AA6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涂布OP</w:t>
                  </w:r>
                </w:p>
              </w:tc>
              <w:tc>
                <w:tcPr>
                  <w:tcW w:w="953" w:type="pct"/>
                  <w:vMerge w:val="restart"/>
                  <w:tcBorders>
                    <w:tl2br w:val="nil"/>
                    <w:tr2bl w:val="nil"/>
                  </w:tcBorders>
                  <w:shd w:val="clear" w:color="auto" w:fill="auto"/>
                  <w:noWrap w:val="0"/>
                  <w:vAlign w:val="center"/>
                </w:tcPr>
                <w:p w14:paraId="12170DE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涂布废气</w:t>
                  </w:r>
                </w:p>
              </w:tc>
              <w:tc>
                <w:tcPr>
                  <w:tcW w:w="2094" w:type="pct"/>
                  <w:vMerge w:val="restart"/>
                  <w:tcBorders>
                    <w:tl2br w:val="nil"/>
                    <w:tr2bl w:val="nil"/>
                  </w:tcBorders>
                  <w:shd w:val="clear" w:color="auto" w:fill="auto"/>
                  <w:noWrap w:val="0"/>
                  <w:vAlign w:val="center"/>
                </w:tcPr>
                <w:p w14:paraId="69F8C7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4035E9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3B8C6929">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58C4F36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shd w:val="clear" w:color="auto" w:fill="auto"/>
                  <w:noWrap w:val="0"/>
                  <w:vAlign w:val="center"/>
                </w:tcPr>
                <w:p w14:paraId="4886A0A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涂布VC</w:t>
                  </w:r>
                </w:p>
              </w:tc>
              <w:tc>
                <w:tcPr>
                  <w:tcW w:w="953" w:type="pct"/>
                  <w:vMerge w:val="continue"/>
                  <w:tcBorders>
                    <w:tl2br w:val="nil"/>
                    <w:tr2bl w:val="nil"/>
                  </w:tcBorders>
                  <w:shd w:val="clear" w:color="auto" w:fill="auto"/>
                  <w:noWrap w:val="0"/>
                  <w:vAlign w:val="center"/>
                </w:tcPr>
                <w:p w14:paraId="6F0FE7A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p>
              </w:tc>
              <w:tc>
                <w:tcPr>
                  <w:tcW w:w="2094" w:type="pct"/>
                  <w:vMerge w:val="continue"/>
                  <w:tcBorders>
                    <w:tl2br w:val="nil"/>
                    <w:tr2bl w:val="nil"/>
                  </w:tcBorders>
                  <w:shd w:val="clear" w:color="auto" w:fill="auto"/>
                  <w:noWrap w:val="0"/>
                  <w:vAlign w:val="center"/>
                </w:tcPr>
                <w:p w14:paraId="74F8CFF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p>
              </w:tc>
            </w:tr>
            <w:tr w14:paraId="21C4CB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4E79D6B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vMerge w:val="continue"/>
                  <w:tcBorders>
                    <w:tl2br w:val="nil"/>
                    <w:tr2bl w:val="nil"/>
                  </w:tcBorders>
                  <w:noWrap w:val="0"/>
                  <w:vAlign w:val="center"/>
                </w:tcPr>
                <w:p w14:paraId="025AC7DB">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u w:val="none"/>
                      <w:vertAlign w:val="baseline"/>
                      <w:lang w:val="en-US" w:eastAsia="zh-CN"/>
                    </w:rPr>
                  </w:pPr>
                </w:p>
              </w:tc>
              <w:tc>
                <w:tcPr>
                  <w:tcW w:w="661" w:type="pct"/>
                  <w:tcBorders>
                    <w:tl2br w:val="nil"/>
                    <w:tr2bl w:val="nil"/>
                  </w:tcBorders>
                  <w:shd w:val="clear" w:color="auto" w:fill="auto"/>
                  <w:noWrap w:val="0"/>
                  <w:vAlign w:val="center"/>
                </w:tcPr>
                <w:p w14:paraId="27D370F9">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调胶</w:t>
                  </w:r>
                </w:p>
              </w:tc>
              <w:tc>
                <w:tcPr>
                  <w:tcW w:w="953" w:type="pct"/>
                  <w:tcBorders>
                    <w:tl2br w:val="nil"/>
                    <w:tr2bl w:val="nil"/>
                  </w:tcBorders>
                  <w:shd w:val="clear" w:color="auto" w:fill="auto"/>
                  <w:noWrap w:val="0"/>
                  <w:vAlign w:val="center"/>
                </w:tcPr>
                <w:p w14:paraId="7B5C7A5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cs="Times New Roman"/>
                      <w:color w:val="auto"/>
                      <w:sz w:val="21"/>
                      <w:szCs w:val="21"/>
                      <w:u w:val="none"/>
                      <w:vertAlign w:val="baseline"/>
                      <w:lang w:val="en-US" w:eastAsia="zh-CN"/>
                    </w:rPr>
                    <w:t>调胶废气</w:t>
                  </w:r>
                </w:p>
              </w:tc>
              <w:tc>
                <w:tcPr>
                  <w:tcW w:w="2094" w:type="pct"/>
                  <w:tcBorders>
                    <w:tl2br w:val="nil"/>
                    <w:tr2bl w:val="nil"/>
                  </w:tcBorders>
                  <w:shd w:val="clear" w:color="auto" w:fill="auto"/>
                  <w:noWrap w:val="0"/>
                  <w:vAlign w:val="center"/>
                </w:tcPr>
                <w:p w14:paraId="5A53006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u w:val="none"/>
                      <w:vertAlign w:val="baseline"/>
                      <w:lang w:val="en-US" w:eastAsia="zh-CN" w:bidi="ar-SA"/>
                    </w:rPr>
                  </w:pPr>
                  <w:r>
                    <w:rPr>
                      <w:rFonts w:hint="eastAsia" w:cs="Times New Roman"/>
                      <w:color w:val="auto"/>
                      <w:sz w:val="21"/>
                      <w:szCs w:val="21"/>
                      <w:u w:val="none"/>
                      <w:vertAlign w:val="baseline"/>
                      <w:lang w:val="en-US" w:eastAsia="zh-CN"/>
                    </w:rPr>
                    <w:t>挥发性有机物</w:t>
                  </w:r>
                </w:p>
              </w:tc>
            </w:tr>
            <w:tr w14:paraId="1840E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2AD2216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576" w:type="pct"/>
                  <w:tcBorders>
                    <w:tl2br w:val="nil"/>
                    <w:tr2bl w:val="nil"/>
                  </w:tcBorders>
                  <w:noWrap w:val="0"/>
                  <w:vAlign w:val="center"/>
                </w:tcPr>
                <w:p w14:paraId="7300653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PE膜生产</w:t>
                  </w:r>
                </w:p>
              </w:tc>
              <w:tc>
                <w:tcPr>
                  <w:tcW w:w="661" w:type="pct"/>
                  <w:tcBorders>
                    <w:tl2br w:val="nil"/>
                    <w:tr2bl w:val="nil"/>
                  </w:tcBorders>
                  <w:shd w:val="clear" w:color="auto" w:fill="auto"/>
                  <w:noWrap w:val="0"/>
                  <w:vAlign w:val="center"/>
                </w:tcPr>
                <w:p w14:paraId="2FA3584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吹塑</w:t>
                  </w:r>
                </w:p>
              </w:tc>
              <w:tc>
                <w:tcPr>
                  <w:tcW w:w="953" w:type="pct"/>
                  <w:tcBorders>
                    <w:tl2br w:val="nil"/>
                    <w:tr2bl w:val="nil"/>
                  </w:tcBorders>
                  <w:shd w:val="clear" w:color="auto" w:fill="auto"/>
                  <w:noWrap w:val="0"/>
                  <w:vAlign w:val="center"/>
                </w:tcPr>
                <w:p w14:paraId="5E65B02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吹塑废气</w:t>
                  </w:r>
                </w:p>
              </w:tc>
              <w:tc>
                <w:tcPr>
                  <w:tcW w:w="2094" w:type="pct"/>
                  <w:tcBorders>
                    <w:tl2br w:val="nil"/>
                    <w:tr2bl w:val="nil"/>
                  </w:tcBorders>
                  <w:shd w:val="clear" w:color="auto" w:fill="auto"/>
                  <w:noWrap w:val="0"/>
                  <w:vAlign w:val="center"/>
                </w:tcPr>
                <w:p w14:paraId="0995E9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挥发性有机物</w:t>
                  </w:r>
                </w:p>
              </w:tc>
            </w:tr>
            <w:tr w14:paraId="45510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restart"/>
                  <w:tcBorders>
                    <w:tl2br w:val="nil"/>
                    <w:tr2bl w:val="nil"/>
                  </w:tcBorders>
                  <w:noWrap w:val="0"/>
                  <w:vAlign w:val="center"/>
                </w:tcPr>
                <w:p w14:paraId="2B50FBA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固废</w:t>
                  </w:r>
                </w:p>
              </w:tc>
              <w:tc>
                <w:tcPr>
                  <w:tcW w:w="1238" w:type="pct"/>
                  <w:gridSpan w:val="2"/>
                  <w:tcBorders>
                    <w:tl2br w:val="nil"/>
                    <w:tr2bl w:val="nil"/>
                  </w:tcBorders>
                  <w:noWrap w:val="0"/>
                  <w:vAlign w:val="center"/>
                </w:tcPr>
                <w:p w14:paraId="5F4A0E4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员工生活</w:t>
                  </w:r>
                </w:p>
              </w:tc>
              <w:tc>
                <w:tcPr>
                  <w:tcW w:w="953" w:type="pct"/>
                  <w:vMerge w:val="restart"/>
                  <w:tcBorders>
                    <w:tl2br w:val="nil"/>
                    <w:tr2bl w:val="nil"/>
                  </w:tcBorders>
                  <w:noWrap w:val="0"/>
                  <w:vAlign w:val="center"/>
                </w:tcPr>
                <w:p w14:paraId="3B5A90E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u w:val="none"/>
                      <w:vertAlign w:val="baseline"/>
                      <w:lang w:val="en-US" w:eastAsia="zh-CN"/>
                    </w:rPr>
                  </w:pPr>
                  <w:r>
                    <w:rPr>
                      <w:rFonts w:hint="eastAsia" w:ascii="宋体" w:hAnsi="宋体" w:eastAsia="宋体" w:cs="宋体"/>
                      <w:color w:val="auto"/>
                      <w:kern w:val="0"/>
                      <w:sz w:val="21"/>
                      <w:szCs w:val="21"/>
                      <w:u w:val="none"/>
                      <w:lang w:val="en-US" w:eastAsia="zh-CN" w:bidi="ar"/>
                    </w:rPr>
                    <w:t>一般工业固体废物</w:t>
                  </w:r>
                </w:p>
              </w:tc>
              <w:tc>
                <w:tcPr>
                  <w:tcW w:w="2094" w:type="pct"/>
                  <w:tcBorders>
                    <w:tl2br w:val="nil"/>
                    <w:tr2bl w:val="nil"/>
                  </w:tcBorders>
                  <w:noWrap w:val="0"/>
                  <w:vAlign w:val="center"/>
                </w:tcPr>
                <w:p w14:paraId="0220F86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生活垃圾</w:t>
                  </w:r>
                </w:p>
              </w:tc>
            </w:tr>
            <w:tr w14:paraId="06489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79D70126">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3D7F6B0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脱除包装</w:t>
                  </w:r>
                </w:p>
              </w:tc>
              <w:tc>
                <w:tcPr>
                  <w:tcW w:w="953" w:type="pct"/>
                  <w:vMerge w:val="continue"/>
                  <w:tcBorders>
                    <w:tl2br w:val="nil"/>
                    <w:tr2bl w:val="nil"/>
                  </w:tcBorders>
                  <w:noWrap w:val="0"/>
                  <w:vAlign w:val="center"/>
                </w:tcPr>
                <w:p w14:paraId="0D1B003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noWrap w:val="0"/>
                  <w:vAlign w:val="center"/>
                </w:tcPr>
                <w:p w14:paraId="10E6CF7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废包装袋</w:t>
                  </w:r>
                </w:p>
              </w:tc>
            </w:tr>
            <w:tr w14:paraId="35CA5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260DD02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4BA19D3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印刷</w:t>
                  </w:r>
                </w:p>
              </w:tc>
              <w:tc>
                <w:tcPr>
                  <w:tcW w:w="953" w:type="pct"/>
                  <w:vMerge w:val="continue"/>
                  <w:tcBorders>
                    <w:tl2br w:val="nil"/>
                    <w:tr2bl w:val="nil"/>
                  </w:tcBorders>
                  <w:noWrap w:val="0"/>
                  <w:vAlign w:val="center"/>
                </w:tcPr>
                <w:p w14:paraId="4633944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noWrap w:val="0"/>
                  <w:vAlign w:val="center"/>
                </w:tcPr>
                <w:p w14:paraId="7BDDAF11">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废版辊</w:t>
                  </w:r>
                </w:p>
              </w:tc>
            </w:tr>
            <w:tr w14:paraId="0A75A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5703184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4B537F36">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裁切、检验</w:t>
                  </w:r>
                </w:p>
              </w:tc>
              <w:tc>
                <w:tcPr>
                  <w:tcW w:w="953" w:type="pct"/>
                  <w:vMerge w:val="continue"/>
                  <w:tcBorders>
                    <w:tl2br w:val="nil"/>
                    <w:tr2bl w:val="nil"/>
                  </w:tcBorders>
                  <w:noWrap w:val="0"/>
                  <w:vAlign w:val="center"/>
                </w:tcPr>
                <w:p w14:paraId="011EED8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noWrap w:val="0"/>
                  <w:vAlign w:val="center"/>
                </w:tcPr>
                <w:p w14:paraId="29012DF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废边角料</w:t>
                  </w:r>
                  <w:r>
                    <w:rPr>
                      <w:rFonts w:hint="eastAsia" w:cs="Times New Roman"/>
                      <w:color w:val="auto"/>
                      <w:sz w:val="21"/>
                      <w:szCs w:val="21"/>
                      <w:u w:val="none"/>
                      <w:vertAlign w:val="baseline"/>
                      <w:lang w:val="en-US" w:eastAsia="zh-CN"/>
                    </w:rPr>
                    <w:t>、不合格品</w:t>
                  </w:r>
                </w:p>
              </w:tc>
            </w:tr>
            <w:tr w14:paraId="22FAC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7D8932A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5393D3F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拌料、投料</w:t>
                  </w:r>
                </w:p>
              </w:tc>
              <w:tc>
                <w:tcPr>
                  <w:tcW w:w="953" w:type="pct"/>
                  <w:vMerge w:val="continue"/>
                  <w:tcBorders>
                    <w:tl2br w:val="nil"/>
                    <w:tr2bl w:val="nil"/>
                  </w:tcBorders>
                  <w:noWrap w:val="0"/>
                  <w:vAlign w:val="center"/>
                </w:tcPr>
                <w:p w14:paraId="02085F3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noWrap w:val="0"/>
                  <w:vAlign w:val="center"/>
                </w:tcPr>
                <w:p w14:paraId="63FB057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废包装袋</w:t>
                  </w:r>
                </w:p>
              </w:tc>
            </w:tr>
            <w:tr w14:paraId="0B9AC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1F82BBE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33A8441A">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吹塑</w:t>
                  </w:r>
                </w:p>
              </w:tc>
              <w:tc>
                <w:tcPr>
                  <w:tcW w:w="953" w:type="pct"/>
                  <w:vMerge w:val="continue"/>
                  <w:tcBorders>
                    <w:tl2br w:val="nil"/>
                    <w:tr2bl w:val="nil"/>
                  </w:tcBorders>
                  <w:noWrap w:val="0"/>
                  <w:vAlign w:val="center"/>
                </w:tcPr>
                <w:p w14:paraId="4E169D9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noWrap w:val="0"/>
                  <w:vAlign w:val="center"/>
                </w:tcPr>
                <w:p w14:paraId="6A08722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废边角料</w:t>
                  </w:r>
                </w:p>
              </w:tc>
            </w:tr>
            <w:tr w14:paraId="65B2B1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6153C33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71C8DD2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default" w:ascii="Times New Roman" w:hAnsi="Times New Roman" w:cs="Times New Roman"/>
                      <w:color w:val="auto"/>
                      <w:sz w:val="21"/>
                      <w:szCs w:val="21"/>
                      <w:u w:val="none"/>
                      <w:vertAlign w:val="baseline"/>
                      <w:lang w:val="en-US" w:eastAsia="zh-CN"/>
                    </w:rPr>
                    <w:t>制袋</w:t>
                  </w:r>
                </w:p>
              </w:tc>
              <w:tc>
                <w:tcPr>
                  <w:tcW w:w="953" w:type="pct"/>
                  <w:vMerge w:val="continue"/>
                  <w:tcBorders>
                    <w:tl2br w:val="nil"/>
                    <w:tr2bl w:val="nil"/>
                  </w:tcBorders>
                  <w:noWrap w:val="0"/>
                  <w:vAlign w:val="center"/>
                </w:tcPr>
                <w:p w14:paraId="5CCD461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2094" w:type="pct"/>
                  <w:tcBorders>
                    <w:tl2br w:val="nil"/>
                    <w:tr2bl w:val="nil"/>
                  </w:tcBorders>
                  <w:noWrap w:val="0"/>
                  <w:vAlign w:val="center"/>
                </w:tcPr>
                <w:p w14:paraId="34E57D6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废边角料</w:t>
                  </w:r>
                  <w:r>
                    <w:rPr>
                      <w:rFonts w:hint="eastAsia" w:cs="Times New Roman"/>
                      <w:color w:val="auto"/>
                      <w:sz w:val="21"/>
                      <w:szCs w:val="21"/>
                      <w:u w:val="none"/>
                      <w:vertAlign w:val="baseline"/>
                      <w:lang w:val="en-US" w:eastAsia="zh-CN"/>
                    </w:rPr>
                    <w:t>、不合格品</w:t>
                  </w:r>
                </w:p>
              </w:tc>
            </w:tr>
            <w:tr w14:paraId="333D8E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1155091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05B7D481">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设备维护及保养</w:t>
                  </w:r>
                </w:p>
              </w:tc>
              <w:tc>
                <w:tcPr>
                  <w:tcW w:w="953" w:type="pct"/>
                  <w:vMerge w:val="restart"/>
                  <w:tcBorders>
                    <w:tl2br w:val="nil"/>
                    <w:tr2bl w:val="nil"/>
                  </w:tcBorders>
                  <w:noWrap w:val="0"/>
                  <w:vAlign w:val="center"/>
                </w:tcPr>
                <w:p w14:paraId="55D96EB6">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危险废物</w:t>
                  </w:r>
                </w:p>
              </w:tc>
              <w:tc>
                <w:tcPr>
                  <w:tcW w:w="2094" w:type="pct"/>
                  <w:tcBorders>
                    <w:tl2br w:val="nil"/>
                    <w:tr2bl w:val="nil"/>
                  </w:tcBorders>
                  <w:noWrap w:val="0"/>
                  <w:vAlign w:val="center"/>
                </w:tcPr>
                <w:p w14:paraId="3E6A58E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废机油及沾染物</w:t>
                  </w:r>
                </w:p>
              </w:tc>
            </w:tr>
            <w:tr w14:paraId="00075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488D73C7">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shd w:val="clear" w:color="auto" w:fill="auto"/>
                  <w:noWrap w:val="0"/>
                  <w:vAlign w:val="center"/>
                </w:tcPr>
                <w:p w14:paraId="1843017B">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ascii="Times New Roman" w:hAnsi="Times New Roman" w:cs="Times New Roman"/>
                      <w:color w:val="auto"/>
                      <w:sz w:val="21"/>
                      <w:szCs w:val="21"/>
                      <w:u w:val="none"/>
                      <w:vertAlign w:val="baseline"/>
                      <w:lang w:val="en-US" w:eastAsia="zh-CN"/>
                    </w:rPr>
                    <w:t>调墨</w:t>
                  </w:r>
                </w:p>
              </w:tc>
              <w:tc>
                <w:tcPr>
                  <w:tcW w:w="953" w:type="pct"/>
                  <w:vMerge w:val="continue"/>
                  <w:tcBorders>
                    <w:tl2br w:val="nil"/>
                    <w:tr2bl w:val="nil"/>
                  </w:tcBorders>
                  <w:shd w:val="clear" w:color="auto" w:fill="auto"/>
                  <w:noWrap w:val="0"/>
                  <w:vAlign w:val="center"/>
                </w:tcPr>
                <w:p w14:paraId="3E8D9FD1">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u w:val="none"/>
                      <w:lang w:val="en-US" w:eastAsia="zh-CN" w:bidi="ar"/>
                    </w:rPr>
                  </w:pPr>
                </w:p>
              </w:tc>
              <w:tc>
                <w:tcPr>
                  <w:tcW w:w="2094" w:type="pct"/>
                  <w:tcBorders>
                    <w:tl2br w:val="nil"/>
                    <w:tr2bl w:val="nil"/>
                  </w:tcBorders>
                  <w:shd w:val="clear" w:color="auto" w:fill="auto"/>
                  <w:noWrap w:val="0"/>
                  <w:vAlign w:val="center"/>
                </w:tcPr>
                <w:p w14:paraId="76FC53C8">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0"/>
                      <w:sz w:val="21"/>
                      <w:szCs w:val="21"/>
                      <w:u w:val="none"/>
                      <w:vertAlign w:val="baseline"/>
                      <w:lang w:val="en-US" w:eastAsia="zh-CN" w:bidi="ar-SA"/>
                    </w:rPr>
                  </w:pPr>
                  <w:r>
                    <w:rPr>
                      <w:rFonts w:hint="eastAsia" w:ascii="Times New Roman" w:hAnsi="Times New Roman" w:cs="Times New Roman"/>
                      <w:color w:val="auto"/>
                      <w:sz w:val="21"/>
                      <w:szCs w:val="21"/>
                      <w:u w:val="none"/>
                      <w:vertAlign w:val="baseline"/>
                      <w:lang w:val="en-US" w:eastAsia="zh-CN"/>
                    </w:rPr>
                    <w:t>废包装桶（废油墨桶、废溶剂桶）</w:t>
                  </w:r>
                </w:p>
              </w:tc>
            </w:tr>
            <w:tr w14:paraId="11DC9D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754351E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632711E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调胶</w:t>
                  </w:r>
                </w:p>
              </w:tc>
              <w:tc>
                <w:tcPr>
                  <w:tcW w:w="953" w:type="pct"/>
                  <w:vMerge w:val="continue"/>
                  <w:tcBorders>
                    <w:tl2br w:val="nil"/>
                    <w:tr2bl w:val="nil"/>
                  </w:tcBorders>
                  <w:noWrap w:val="0"/>
                  <w:vAlign w:val="center"/>
                </w:tcPr>
                <w:p w14:paraId="1FBB5E3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2094" w:type="pct"/>
                  <w:tcBorders>
                    <w:tl2br w:val="nil"/>
                    <w:tr2bl w:val="nil"/>
                  </w:tcBorders>
                  <w:noWrap w:val="0"/>
                  <w:vAlign w:val="center"/>
                </w:tcPr>
                <w:p w14:paraId="54711C11">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废包装桶（废胶粘剂桶、废溶剂桶）</w:t>
                  </w:r>
                </w:p>
              </w:tc>
            </w:tr>
            <w:tr w14:paraId="0B3F48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38D493D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vMerge w:val="restart"/>
                  <w:tcBorders>
                    <w:tl2br w:val="nil"/>
                    <w:tr2bl w:val="nil"/>
                  </w:tcBorders>
                  <w:noWrap w:val="0"/>
                  <w:vAlign w:val="center"/>
                </w:tcPr>
                <w:p w14:paraId="0D81DC80">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印刷</w:t>
                  </w:r>
                </w:p>
              </w:tc>
              <w:tc>
                <w:tcPr>
                  <w:tcW w:w="953" w:type="pct"/>
                  <w:vMerge w:val="continue"/>
                  <w:tcBorders>
                    <w:tl2br w:val="nil"/>
                    <w:tr2bl w:val="nil"/>
                  </w:tcBorders>
                  <w:noWrap w:val="0"/>
                  <w:vAlign w:val="center"/>
                </w:tcPr>
                <w:p w14:paraId="1EDC1092">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2094" w:type="pct"/>
                  <w:tcBorders>
                    <w:tl2br w:val="nil"/>
                    <w:tr2bl w:val="nil"/>
                  </w:tcBorders>
                  <w:noWrap w:val="0"/>
                  <w:vAlign w:val="center"/>
                </w:tcPr>
                <w:p w14:paraId="08874CBC">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废油墨</w:t>
                  </w:r>
                  <w:r>
                    <w:rPr>
                      <w:rFonts w:hint="eastAsia" w:cs="Times New Roman"/>
                      <w:color w:val="auto"/>
                      <w:sz w:val="21"/>
                      <w:szCs w:val="21"/>
                      <w:u w:val="none"/>
                      <w:vertAlign w:val="baseline"/>
                      <w:lang w:val="en-US" w:eastAsia="zh-CN"/>
                    </w:rPr>
                    <w:t>、</w:t>
                  </w:r>
                  <w:r>
                    <w:rPr>
                      <w:rFonts w:hint="eastAsia" w:ascii="Times New Roman" w:hAnsi="Times New Roman" w:cs="Times New Roman"/>
                      <w:color w:val="auto"/>
                      <w:sz w:val="21"/>
                      <w:szCs w:val="21"/>
                      <w:u w:val="none"/>
                      <w:vertAlign w:val="baseline"/>
                      <w:lang w:val="en-US" w:eastAsia="zh-CN"/>
                    </w:rPr>
                    <w:t>沾染油墨的废膜</w:t>
                  </w:r>
                </w:p>
              </w:tc>
            </w:tr>
            <w:tr w14:paraId="25871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625BF971">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vMerge w:val="continue"/>
                  <w:tcBorders>
                    <w:tl2br w:val="nil"/>
                    <w:tr2bl w:val="nil"/>
                  </w:tcBorders>
                  <w:noWrap w:val="0"/>
                  <w:vAlign w:val="center"/>
                </w:tcPr>
                <w:p w14:paraId="44AC6F81">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p>
              </w:tc>
              <w:tc>
                <w:tcPr>
                  <w:tcW w:w="953" w:type="pct"/>
                  <w:vMerge w:val="continue"/>
                  <w:tcBorders>
                    <w:tl2br w:val="nil"/>
                    <w:tr2bl w:val="nil"/>
                  </w:tcBorders>
                  <w:noWrap w:val="0"/>
                  <w:vAlign w:val="center"/>
                </w:tcPr>
                <w:p w14:paraId="3045092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2094" w:type="pct"/>
                  <w:tcBorders>
                    <w:tl2br w:val="nil"/>
                    <w:tr2bl w:val="nil"/>
                  </w:tcBorders>
                  <w:noWrap w:val="0"/>
                  <w:vAlign w:val="center"/>
                </w:tcPr>
                <w:p w14:paraId="0B4355A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废清洗剂及沾染有机溶剂的废抹布</w:t>
                  </w:r>
                </w:p>
              </w:tc>
            </w:tr>
            <w:tr w14:paraId="66857F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vMerge w:val="continue"/>
                  <w:tcBorders>
                    <w:tl2br w:val="nil"/>
                    <w:tr2bl w:val="nil"/>
                  </w:tcBorders>
                  <w:noWrap w:val="0"/>
                  <w:vAlign w:val="center"/>
                </w:tcPr>
                <w:p w14:paraId="116F2142">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1238" w:type="pct"/>
                  <w:gridSpan w:val="2"/>
                  <w:tcBorders>
                    <w:tl2br w:val="nil"/>
                    <w:tr2bl w:val="nil"/>
                  </w:tcBorders>
                  <w:noWrap w:val="0"/>
                  <w:vAlign w:val="center"/>
                </w:tcPr>
                <w:p w14:paraId="1596EF7D">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废气处理</w:t>
                  </w:r>
                </w:p>
              </w:tc>
              <w:tc>
                <w:tcPr>
                  <w:tcW w:w="953" w:type="pct"/>
                  <w:vMerge w:val="continue"/>
                  <w:tcBorders>
                    <w:tl2br w:val="nil"/>
                    <w:tr2bl w:val="nil"/>
                  </w:tcBorders>
                  <w:noWrap w:val="0"/>
                  <w:vAlign w:val="center"/>
                </w:tcPr>
                <w:p w14:paraId="0715DC3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p>
              </w:tc>
              <w:tc>
                <w:tcPr>
                  <w:tcW w:w="2094" w:type="pct"/>
                  <w:tcBorders>
                    <w:tl2br w:val="nil"/>
                    <w:tr2bl w:val="nil"/>
                  </w:tcBorders>
                  <w:noWrap w:val="0"/>
                  <w:vAlign w:val="center"/>
                </w:tcPr>
                <w:p w14:paraId="79DE4C35">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u w:val="none"/>
                      <w:vertAlign w:val="baseline"/>
                      <w:lang w:val="en-US" w:eastAsia="zh-CN"/>
                    </w:rPr>
                  </w:pPr>
                  <w:r>
                    <w:rPr>
                      <w:rFonts w:hint="eastAsia" w:cs="Times New Roman"/>
                      <w:color w:val="auto"/>
                      <w:sz w:val="21"/>
                      <w:szCs w:val="21"/>
                      <w:u w:val="none"/>
                      <w:vertAlign w:val="baseline"/>
                      <w:lang w:val="en-US" w:eastAsia="zh-CN"/>
                    </w:rPr>
                    <w:t>废活性炭</w:t>
                  </w:r>
                </w:p>
              </w:tc>
            </w:tr>
            <w:tr w14:paraId="719AF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3" w:type="pct"/>
                  <w:tcBorders>
                    <w:tl2br w:val="nil"/>
                    <w:tr2bl w:val="nil"/>
                  </w:tcBorders>
                  <w:noWrap w:val="0"/>
                  <w:vAlign w:val="center"/>
                </w:tcPr>
                <w:p w14:paraId="6F514EBE">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噪声</w:t>
                  </w:r>
                </w:p>
              </w:tc>
              <w:tc>
                <w:tcPr>
                  <w:tcW w:w="1238" w:type="pct"/>
                  <w:gridSpan w:val="2"/>
                  <w:tcBorders>
                    <w:tl2br w:val="nil"/>
                    <w:tr2bl w:val="nil"/>
                  </w:tcBorders>
                  <w:noWrap w:val="0"/>
                  <w:vAlign w:val="center"/>
                </w:tcPr>
                <w:p w14:paraId="3BB05D14">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设备运行</w:t>
                  </w:r>
                </w:p>
              </w:tc>
              <w:tc>
                <w:tcPr>
                  <w:tcW w:w="953" w:type="pct"/>
                  <w:tcBorders>
                    <w:tl2br w:val="nil"/>
                    <w:tr2bl w:val="nil"/>
                  </w:tcBorders>
                  <w:noWrap w:val="0"/>
                  <w:vAlign w:val="center"/>
                </w:tcPr>
                <w:p w14:paraId="7728D273">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厂界噪声</w:t>
                  </w:r>
                </w:p>
              </w:tc>
              <w:tc>
                <w:tcPr>
                  <w:tcW w:w="2094" w:type="pct"/>
                  <w:tcBorders>
                    <w:tl2br w:val="nil"/>
                    <w:tr2bl w:val="nil"/>
                  </w:tcBorders>
                  <w:noWrap w:val="0"/>
                  <w:vAlign w:val="center"/>
                </w:tcPr>
                <w:p w14:paraId="5CB42E9F">
                  <w:pPr>
                    <w:pStyle w:val="12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color w:val="auto"/>
                      <w:sz w:val="21"/>
                      <w:szCs w:val="21"/>
                      <w:u w:val="none"/>
                      <w:vertAlign w:val="baseline"/>
                      <w:lang w:val="en-US" w:eastAsia="zh-CN"/>
                    </w:rPr>
                  </w:pPr>
                  <w:r>
                    <w:rPr>
                      <w:rFonts w:hint="eastAsia" w:ascii="Times New Roman" w:hAnsi="Times New Roman" w:cs="Times New Roman"/>
                      <w:color w:val="auto"/>
                      <w:sz w:val="21"/>
                      <w:szCs w:val="21"/>
                      <w:u w:val="none"/>
                      <w:vertAlign w:val="baseline"/>
                      <w:lang w:val="en-US" w:eastAsia="zh-CN"/>
                    </w:rPr>
                    <w:t>Leq(A)</w:t>
                  </w:r>
                </w:p>
              </w:tc>
            </w:tr>
          </w:tbl>
          <w:p w14:paraId="4777225D">
            <w:pPr>
              <w:pStyle w:val="13"/>
              <w:keepNext w:val="0"/>
              <w:keepLines w:val="0"/>
              <w:suppressLineNumbers w:val="0"/>
              <w:spacing w:before="0" w:beforeAutospacing="0" w:after="0" w:afterAutospacing="0"/>
              <w:ind w:left="0" w:right="0"/>
              <w:rPr>
                <w:rFonts w:hint="default" w:cs="Times New Roman"/>
              </w:rPr>
            </w:pPr>
          </w:p>
        </w:tc>
      </w:tr>
      <w:tr w14:paraId="2D297C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7" w:type="dxa"/>
            <w:noWrap w:val="0"/>
            <w:vAlign w:val="center"/>
          </w:tcPr>
          <w:p w14:paraId="090490E8">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2"/>
                <w:sz w:val="24"/>
                <w:szCs w:val="24"/>
                <w:highlight w:val="none"/>
              </w:rPr>
              <w:t>与项目有关的原有环境污染问题</w:t>
            </w:r>
          </w:p>
        </w:tc>
        <w:tc>
          <w:tcPr>
            <w:tcW w:w="8373" w:type="dxa"/>
            <w:noWrap w:val="0"/>
            <w:vAlign w:val="center"/>
          </w:tcPr>
          <w:p w14:paraId="1AB52467">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 w:val="24"/>
                <w:szCs w:val="24"/>
                <w:highlight w:val="none"/>
                <w:lang w:val="en-US" w:eastAsia="zh-CN"/>
              </w:rPr>
              <w:t>本项目租赁已建设空置厂房。本项目为新建项目，故无与项目有关的原有环境污染问题。</w:t>
            </w:r>
          </w:p>
        </w:tc>
      </w:tr>
    </w:tbl>
    <w:p w14:paraId="3B7CA0FE">
      <w:pPr>
        <w:pStyle w:val="41"/>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ascii="Times New Roman" w:hAnsi="Times New Roman" w:eastAsia="黑体" w:cs="Times New Roman"/>
          <w:snapToGrid w:val="0"/>
          <w:color w:val="auto"/>
          <w:sz w:val="21"/>
          <w:szCs w:val="21"/>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51B4732">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pPr>
      <w:bookmarkStart w:id="3" w:name="_Toc2071"/>
      <w:r>
        <w:rPr>
          <w:rFonts w:hint="default" w:ascii="Times New Roman" w:hAnsi="Times New Roman" w:eastAsia="黑体" w:cs="Times New Roman"/>
          <w:snapToGrid w:val="0"/>
          <w:color w:val="auto"/>
          <w:sz w:val="30"/>
          <w:szCs w:val="30"/>
          <w:highlight w:val="none"/>
        </w:rPr>
        <w:t>三、区域环境质量现状、环境保护目标及评价标准</w:t>
      </w:r>
      <w:bookmarkEnd w:id="3"/>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637"/>
      </w:tblGrid>
      <w:tr w14:paraId="5DEBA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23" w:type="dxa"/>
            <w:noWrap w:val="0"/>
            <w:vAlign w:val="center"/>
          </w:tcPr>
          <w:p w14:paraId="55CE985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4147815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28F2562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3DB8D6A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8338" w:type="dxa"/>
            <w:noWrap w:val="0"/>
            <w:vAlign w:val="center"/>
          </w:tcPr>
          <w:p w14:paraId="5E6742E1">
            <w:pPr>
              <w:keepNext w:val="0"/>
              <w:keepLines w:val="0"/>
              <w:suppressLineNumbers w:val="0"/>
              <w:spacing w:before="0" w:beforeAutospacing="0" w:after="0" w:afterAutospacing="0" w:line="360" w:lineRule="auto"/>
              <w:ind w:left="0" w:right="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1、大气环境</w:t>
            </w:r>
          </w:p>
          <w:p w14:paraId="536D6C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（1）大气常规因子监测</w:t>
            </w:r>
          </w:p>
          <w:p w14:paraId="6D347D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根据《环境影响评价技术导则 大气环境》(HJ2.2-2018)中“5.5 评价基准年筛选依据评价所需环境空气质量现状、气象资料等数据的可获得性、数据质量、代表性等因素，选择近3 年中数据相对完整的1 个日历年作为评价基准年”和“6.2 数据来源，采用评价范围内国家或地方环境空气质量监测网中评价基准年连续1年的监测数据，或采用生态环境主管部门公开发布的环境空气质量现状数据”要求</w:t>
            </w:r>
            <w:r>
              <w:rPr>
                <w:rFonts w:hint="default" w:ascii="Times New Roman" w:hAnsi="Times New Roman" w:cs="Times New Roman"/>
                <w:color w:val="auto"/>
                <w:sz w:val="24"/>
                <w:szCs w:val="24"/>
              </w:rPr>
              <w:t>。</w:t>
            </w:r>
          </w:p>
          <w:p w14:paraId="2CE7BC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textAlignment w:val="auto"/>
              <w:rPr>
                <w:rFonts w:hint="default" w:ascii="Times New Roman" w:hAnsi="Times New Roman" w:cs="Times New Roman"/>
                <w:color w:val="auto"/>
                <w:szCs w:val="22"/>
              </w:rPr>
            </w:pPr>
            <w:r>
              <w:rPr>
                <w:rFonts w:hint="default" w:ascii="Times New Roman" w:hAnsi="Times New Roman" w:cs="Times New Roman"/>
                <w:color w:val="auto"/>
                <w:sz w:val="24"/>
                <w:szCs w:val="24"/>
              </w:rPr>
              <w:t>根据</w:t>
            </w:r>
            <w:r>
              <w:rPr>
                <w:rFonts w:hint="eastAsia" w:ascii="Times New Roman" w:hAnsi="Times New Roman" w:cs="Times New Roman"/>
                <w:color w:val="auto"/>
                <w:sz w:val="24"/>
                <w:szCs w:val="24"/>
                <w:lang w:eastAsia="zh-CN"/>
              </w:rPr>
              <w:t>永州</w:t>
            </w:r>
            <w:r>
              <w:rPr>
                <w:rFonts w:hint="eastAsia" w:ascii="Times New Roman" w:hAnsi="Times New Roman" w:cs="Times New Roman"/>
                <w:color w:val="auto"/>
                <w:sz w:val="24"/>
                <w:szCs w:val="24"/>
              </w:rPr>
              <w:t>市</w:t>
            </w:r>
            <w:r>
              <w:rPr>
                <w:rFonts w:hint="eastAsia" w:ascii="Times New Roman" w:hAnsi="Times New Roman" w:cs="Times New Roman"/>
                <w:color w:val="auto"/>
                <w:sz w:val="24"/>
                <w:szCs w:val="24"/>
                <w:lang w:val="en-US" w:eastAsia="zh-CN"/>
              </w:rPr>
              <w:t>公布的祁阳市</w:t>
            </w:r>
            <w:r>
              <w:rPr>
                <w:rFonts w:hint="eastAsia" w:ascii="Times New Roman" w:hAnsi="Times New Roman" w:cs="Times New Roman"/>
                <w:color w:val="auto"/>
                <w:sz w:val="24"/>
                <w:szCs w:val="24"/>
              </w:rPr>
              <w:t>202</w:t>
            </w:r>
            <w:r>
              <w:rPr>
                <w:rFonts w:hint="eastAsia" w:ascii="Times New Roman" w:hAnsi="Times New Roman" w:cs="Times New Roman"/>
                <w:color w:val="auto"/>
                <w:sz w:val="24"/>
                <w:szCs w:val="24"/>
                <w:lang w:val="en-US" w:eastAsia="zh-CN"/>
              </w:rPr>
              <w:t>4</w:t>
            </w:r>
            <w:r>
              <w:rPr>
                <w:rFonts w:hint="eastAsia" w:ascii="Times New Roman" w:hAnsi="Times New Roman" w:cs="Times New Roman"/>
                <w:color w:val="auto"/>
                <w:sz w:val="24"/>
                <w:szCs w:val="24"/>
              </w:rPr>
              <w:t>年1月-12月大气环境质量</w:t>
            </w:r>
            <w:r>
              <w:rPr>
                <w:rFonts w:hint="eastAsia" w:ascii="Times New Roman" w:hAnsi="Times New Roman" w:cs="Times New Roman"/>
                <w:color w:val="auto"/>
                <w:sz w:val="24"/>
                <w:szCs w:val="24"/>
                <w:lang w:val="en-US" w:eastAsia="zh-CN"/>
              </w:rPr>
              <w:t>通</w:t>
            </w:r>
            <w:r>
              <w:rPr>
                <w:rFonts w:hint="eastAsia" w:ascii="Times New Roman" w:hAnsi="Times New Roman" w:cs="Times New Roman"/>
                <w:color w:val="auto"/>
                <w:sz w:val="24"/>
                <w:szCs w:val="24"/>
              </w:rPr>
              <w:t>报数据</w:t>
            </w:r>
            <w:r>
              <w:rPr>
                <w:rFonts w:hint="default" w:ascii="Times New Roman" w:hAnsi="Times New Roman" w:cs="Times New Roman"/>
                <w:color w:val="auto"/>
                <w:sz w:val="24"/>
                <w:szCs w:val="24"/>
              </w:rPr>
              <w:t>，环境质量达标区判定内容详见表3-1。</w:t>
            </w:r>
          </w:p>
          <w:p w14:paraId="50E45E0A">
            <w:pPr>
              <w:pStyle w:val="104"/>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422"/>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 xml:space="preserve">表3-1 </w:t>
            </w:r>
            <w:r>
              <w:rPr>
                <w:rFonts w:hint="eastAsia" w:ascii="Times New Roman" w:hAnsi="Times New Roman" w:eastAsia="宋体" w:cs="Times New Roman"/>
                <w:b/>
                <w:bCs/>
                <w:color w:val="auto"/>
                <w:sz w:val="21"/>
                <w:szCs w:val="21"/>
                <w:lang w:val="en-US" w:eastAsia="zh-CN"/>
              </w:rPr>
              <w:t xml:space="preserve"> </w:t>
            </w:r>
            <w:r>
              <w:rPr>
                <w:rFonts w:hint="eastAsia" w:ascii="Times New Roman" w:hAnsi="Times New Roman" w:eastAsia="宋体" w:cs="Times New Roman"/>
                <w:b/>
                <w:bCs/>
                <w:color w:val="auto"/>
                <w:sz w:val="21"/>
                <w:szCs w:val="21"/>
                <w:lang w:eastAsia="zh-CN"/>
              </w:rPr>
              <w:t>祁阳市</w:t>
            </w:r>
            <w:r>
              <w:rPr>
                <w:rFonts w:hint="default" w:ascii="Times New Roman" w:hAnsi="Times New Roman" w:eastAsia="宋体" w:cs="Times New Roman"/>
                <w:b/>
                <w:bCs/>
                <w:color w:val="auto"/>
                <w:sz w:val="21"/>
                <w:szCs w:val="21"/>
              </w:rPr>
              <w:t>202</w:t>
            </w:r>
            <w:r>
              <w:rPr>
                <w:rFonts w:hint="eastAsia" w:ascii="Times New Roman" w:hAnsi="Times New Roman" w:eastAsia="宋体" w:cs="Times New Roman"/>
                <w:b/>
                <w:bCs/>
                <w:color w:val="auto"/>
                <w:sz w:val="21"/>
                <w:szCs w:val="21"/>
                <w:lang w:val="en-US" w:eastAsia="zh-CN"/>
              </w:rPr>
              <w:t>4</w:t>
            </w:r>
            <w:r>
              <w:rPr>
                <w:rFonts w:hint="default" w:ascii="Times New Roman" w:hAnsi="Times New Roman" w:eastAsia="宋体" w:cs="Times New Roman"/>
                <w:b/>
                <w:bCs/>
                <w:color w:val="auto"/>
                <w:sz w:val="21"/>
                <w:szCs w:val="21"/>
              </w:rPr>
              <w:t>年环境空气质量状况一览表单位：µg/m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(CO为mg/m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bl>
            <w:tblPr>
              <w:tblStyle w:val="44"/>
              <w:tblW w:w="849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2560"/>
              <w:gridCol w:w="1150"/>
              <w:gridCol w:w="886"/>
              <w:gridCol w:w="1243"/>
              <w:gridCol w:w="1641"/>
            </w:tblGrid>
            <w:tr w14:paraId="6C931F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5F4C9908">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污染物</w:t>
                  </w:r>
                </w:p>
              </w:tc>
              <w:tc>
                <w:tcPr>
                  <w:tcW w:w="2560" w:type="dxa"/>
                  <w:tcBorders>
                    <w:tl2br w:val="nil"/>
                    <w:tr2bl w:val="nil"/>
                  </w:tcBorders>
                  <w:noWrap w:val="0"/>
                  <w:vAlign w:val="center"/>
                </w:tcPr>
                <w:p w14:paraId="25B81B5D">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年评价指标</w:t>
                  </w:r>
                </w:p>
              </w:tc>
              <w:tc>
                <w:tcPr>
                  <w:tcW w:w="1150" w:type="dxa"/>
                  <w:tcBorders>
                    <w:tl2br w:val="nil"/>
                    <w:tr2bl w:val="nil"/>
                  </w:tcBorders>
                  <w:noWrap w:val="0"/>
                  <w:vAlign w:val="center"/>
                </w:tcPr>
                <w:p w14:paraId="3238E97C">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现状浓度</w:t>
                  </w:r>
                </w:p>
              </w:tc>
              <w:tc>
                <w:tcPr>
                  <w:tcW w:w="886" w:type="dxa"/>
                  <w:tcBorders>
                    <w:tl2br w:val="nil"/>
                    <w:tr2bl w:val="nil"/>
                  </w:tcBorders>
                  <w:noWrap w:val="0"/>
                  <w:vAlign w:val="center"/>
                </w:tcPr>
                <w:p w14:paraId="4A4CD998">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标准值</w:t>
                  </w:r>
                </w:p>
              </w:tc>
              <w:tc>
                <w:tcPr>
                  <w:tcW w:w="1243" w:type="dxa"/>
                  <w:tcBorders>
                    <w:tl2br w:val="nil"/>
                    <w:tr2bl w:val="nil"/>
                  </w:tcBorders>
                  <w:noWrap w:val="0"/>
                  <w:vAlign w:val="center"/>
                </w:tcPr>
                <w:p w14:paraId="2CE7A2E1">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lang w:val="en-US" w:eastAsia="zh-CN"/>
                    </w:rPr>
                    <w:t>占标率%</w:t>
                  </w:r>
                </w:p>
              </w:tc>
              <w:tc>
                <w:tcPr>
                  <w:tcW w:w="1641" w:type="dxa"/>
                  <w:tcBorders>
                    <w:tl2br w:val="nil"/>
                    <w:tr2bl w:val="nil"/>
                  </w:tcBorders>
                  <w:noWrap w:val="0"/>
                  <w:vAlign w:val="center"/>
                </w:tcPr>
                <w:p w14:paraId="06EE0D39">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达标情况</w:t>
                  </w:r>
                </w:p>
              </w:tc>
            </w:tr>
            <w:tr w14:paraId="7EEBE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0DCA60D2">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SO</w:t>
                  </w:r>
                  <w:r>
                    <w:rPr>
                      <w:rFonts w:hint="default" w:ascii="Times New Roman" w:hAnsi="Times New Roman" w:cs="Times New Roman"/>
                      <w:color w:val="auto"/>
                      <w:sz w:val="21"/>
                      <w:szCs w:val="21"/>
                      <w:highlight w:val="none"/>
                      <w:u w:val="none" w:color="auto"/>
                      <w:vertAlign w:val="subscript"/>
                    </w:rPr>
                    <w:t>2</w:t>
                  </w:r>
                </w:p>
              </w:tc>
              <w:tc>
                <w:tcPr>
                  <w:tcW w:w="2560" w:type="dxa"/>
                  <w:tcBorders>
                    <w:tl2br w:val="nil"/>
                    <w:tr2bl w:val="nil"/>
                  </w:tcBorders>
                  <w:noWrap w:val="0"/>
                  <w:vAlign w:val="center"/>
                </w:tcPr>
                <w:p w14:paraId="754FA7C3">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年平均质量浓度</w:t>
                  </w:r>
                </w:p>
              </w:tc>
              <w:tc>
                <w:tcPr>
                  <w:tcW w:w="1150" w:type="dxa"/>
                  <w:tcBorders>
                    <w:tl2br w:val="nil"/>
                    <w:tr2bl w:val="nil"/>
                  </w:tcBorders>
                  <w:noWrap w:val="0"/>
                  <w:vAlign w:val="center"/>
                </w:tcPr>
                <w:p w14:paraId="605F2B5E">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9</w:t>
                  </w:r>
                </w:p>
              </w:tc>
              <w:tc>
                <w:tcPr>
                  <w:tcW w:w="886" w:type="dxa"/>
                  <w:tcBorders>
                    <w:tl2br w:val="nil"/>
                    <w:tr2bl w:val="nil"/>
                  </w:tcBorders>
                  <w:noWrap w:val="0"/>
                  <w:vAlign w:val="center"/>
                </w:tcPr>
                <w:p w14:paraId="4B9B0F4F">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rPr>
                    <w:t>60</w:t>
                  </w:r>
                </w:p>
              </w:tc>
              <w:tc>
                <w:tcPr>
                  <w:tcW w:w="1243" w:type="dxa"/>
                  <w:tcBorders>
                    <w:tl2br w:val="nil"/>
                    <w:tr2bl w:val="nil"/>
                  </w:tcBorders>
                  <w:noWrap w:val="0"/>
                  <w:vAlign w:val="center"/>
                </w:tcPr>
                <w:p w14:paraId="7D3B2BF6">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 xml:space="preserve">15.0 </w:t>
                  </w:r>
                </w:p>
              </w:tc>
              <w:tc>
                <w:tcPr>
                  <w:tcW w:w="1641" w:type="dxa"/>
                  <w:tcBorders>
                    <w:tl2br w:val="nil"/>
                    <w:tr2bl w:val="nil"/>
                  </w:tcBorders>
                  <w:noWrap w:val="0"/>
                  <w:vAlign w:val="center"/>
                </w:tcPr>
                <w:p w14:paraId="220DFA77">
                  <w:pPr>
                    <w:pStyle w:val="2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u w:val="none" w:color="auto"/>
                    </w:rPr>
                  </w:pPr>
                  <w:r>
                    <w:rPr>
                      <w:rFonts w:hint="eastAsia" w:ascii="Times New Roman" w:hAnsi="Times New Roman" w:eastAsia="宋体" w:cs="Times New Roman"/>
                      <w:color w:val="000000"/>
                      <w:kern w:val="2"/>
                      <w:sz w:val="21"/>
                      <w:szCs w:val="21"/>
                    </w:rPr>
                    <w:t>达标</w:t>
                  </w:r>
                </w:p>
              </w:tc>
            </w:tr>
            <w:tr w14:paraId="43EBA4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6C31D458">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NO</w:t>
                  </w:r>
                  <w:r>
                    <w:rPr>
                      <w:rFonts w:hint="default" w:ascii="Times New Roman" w:hAnsi="Times New Roman" w:cs="Times New Roman"/>
                      <w:color w:val="auto"/>
                      <w:sz w:val="21"/>
                      <w:szCs w:val="21"/>
                      <w:highlight w:val="none"/>
                      <w:u w:val="none" w:color="auto"/>
                      <w:vertAlign w:val="subscript"/>
                    </w:rPr>
                    <w:t>2</w:t>
                  </w:r>
                </w:p>
              </w:tc>
              <w:tc>
                <w:tcPr>
                  <w:tcW w:w="2560" w:type="dxa"/>
                  <w:tcBorders>
                    <w:tl2br w:val="nil"/>
                    <w:tr2bl w:val="nil"/>
                  </w:tcBorders>
                  <w:noWrap w:val="0"/>
                  <w:vAlign w:val="center"/>
                </w:tcPr>
                <w:p w14:paraId="231D5645">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年平均质量浓度</w:t>
                  </w:r>
                </w:p>
              </w:tc>
              <w:tc>
                <w:tcPr>
                  <w:tcW w:w="1150" w:type="dxa"/>
                  <w:tcBorders>
                    <w:tl2br w:val="nil"/>
                    <w:tr2bl w:val="nil"/>
                  </w:tcBorders>
                  <w:noWrap w:val="0"/>
                  <w:vAlign w:val="center"/>
                </w:tcPr>
                <w:p w14:paraId="5D32FE11">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12</w:t>
                  </w:r>
                </w:p>
              </w:tc>
              <w:tc>
                <w:tcPr>
                  <w:tcW w:w="886" w:type="dxa"/>
                  <w:tcBorders>
                    <w:tl2br w:val="nil"/>
                    <w:tr2bl w:val="nil"/>
                  </w:tcBorders>
                  <w:noWrap w:val="0"/>
                  <w:vAlign w:val="center"/>
                </w:tcPr>
                <w:p w14:paraId="6B0FD46C">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rPr>
                    <w:t>40</w:t>
                  </w:r>
                </w:p>
              </w:tc>
              <w:tc>
                <w:tcPr>
                  <w:tcW w:w="1243" w:type="dxa"/>
                  <w:tcBorders>
                    <w:tl2br w:val="nil"/>
                    <w:tr2bl w:val="nil"/>
                  </w:tcBorders>
                  <w:noWrap w:val="0"/>
                  <w:vAlign w:val="center"/>
                </w:tcPr>
                <w:p w14:paraId="592F237C">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 xml:space="preserve">30.0 </w:t>
                  </w:r>
                </w:p>
              </w:tc>
              <w:tc>
                <w:tcPr>
                  <w:tcW w:w="1641" w:type="dxa"/>
                  <w:tcBorders>
                    <w:tl2br w:val="nil"/>
                    <w:tr2bl w:val="nil"/>
                  </w:tcBorders>
                  <w:noWrap w:val="0"/>
                  <w:vAlign w:val="center"/>
                </w:tcPr>
                <w:p w14:paraId="70760F24">
                  <w:pPr>
                    <w:pStyle w:val="2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u w:val="none" w:color="auto"/>
                    </w:rPr>
                  </w:pPr>
                  <w:r>
                    <w:rPr>
                      <w:rFonts w:hint="eastAsia" w:ascii="Times New Roman" w:hAnsi="Times New Roman" w:eastAsia="宋体" w:cs="Times New Roman"/>
                      <w:color w:val="000000"/>
                      <w:kern w:val="2"/>
                      <w:sz w:val="21"/>
                      <w:szCs w:val="21"/>
                    </w:rPr>
                    <w:t>达标</w:t>
                  </w:r>
                </w:p>
              </w:tc>
            </w:tr>
            <w:tr w14:paraId="68E545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197497A5">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PM</w:t>
                  </w:r>
                  <w:r>
                    <w:rPr>
                      <w:rFonts w:hint="default" w:ascii="Times New Roman" w:hAnsi="Times New Roman" w:cs="Times New Roman"/>
                      <w:color w:val="auto"/>
                      <w:sz w:val="21"/>
                      <w:szCs w:val="21"/>
                      <w:highlight w:val="none"/>
                      <w:u w:val="none" w:color="auto"/>
                      <w:vertAlign w:val="subscript"/>
                    </w:rPr>
                    <w:t>10</w:t>
                  </w:r>
                </w:p>
              </w:tc>
              <w:tc>
                <w:tcPr>
                  <w:tcW w:w="2560" w:type="dxa"/>
                  <w:tcBorders>
                    <w:tl2br w:val="nil"/>
                    <w:tr2bl w:val="nil"/>
                  </w:tcBorders>
                  <w:noWrap w:val="0"/>
                  <w:vAlign w:val="center"/>
                </w:tcPr>
                <w:p w14:paraId="235D71DD">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年平均质量浓度</w:t>
                  </w:r>
                </w:p>
              </w:tc>
              <w:tc>
                <w:tcPr>
                  <w:tcW w:w="1150" w:type="dxa"/>
                  <w:tcBorders>
                    <w:tl2br w:val="nil"/>
                    <w:tr2bl w:val="nil"/>
                  </w:tcBorders>
                  <w:noWrap w:val="0"/>
                  <w:vAlign w:val="center"/>
                </w:tcPr>
                <w:p w14:paraId="414CA57C">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42</w:t>
                  </w:r>
                </w:p>
              </w:tc>
              <w:tc>
                <w:tcPr>
                  <w:tcW w:w="886" w:type="dxa"/>
                  <w:tcBorders>
                    <w:tl2br w:val="nil"/>
                    <w:tr2bl w:val="nil"/>
                  </w:tcBorders>
                  <w:noWrap w:val="0"/>
                  <w:vAlign w:val="center"/>
                </w:tcPr>
                <w:p w14:paraId="5ABFED76">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lang w:val="en-US" w:eastAsia="zh-CN"/>
                    </w:rPr>
                    <w:t>6</w:t>
                  </w:r>
                  <w:r>
                    <w:rPr>
                      <w:rFonts w:hint="eastAsia" w:ascii="Times New Roman" w:hAnsi="Times New Roman" w:eastAsia="宋体" w:cs="Times New Roman"/>
                      <w:color w:val="auto"/>
                      <w:sz w:val="21"/>
                      <w:szCs w:val="21"/>
                      <w:highlight w:val="none"/>
                      <w:u w:val="none" w:color="auto"/>
                    </w:rPr>
                    <w:t>0</w:t>
                  </w:r>
                </w:p>
              </w:tc>
              <w:tc>
                <w:tcPr>
                  <w:tcW w:w="1243" w:type="dxa"/>
                  <w:tcBorders>
                    <w:tl2br w:val="nil"/>
                    <w:tr2bl w:val="nil"/>
                  </w:tcBorders>
                  <w:noWrap w:val="0"/>
                  <w:vAlign w:val="center"/>
                </w:tcPr>
                <w:p w14:paraId="46F12DA7">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 xml:space="preserve">70.0 </w:t>
                  </w:r>
                </w:p>
              </w:tc>
              <w:tc>
                <w:tcPr>
                  <w:tcW w:w="1641" w:type="dxa"/>
                  <w:tcBorders>
                    <w:tl2br w:val="nil"/>
                    <w:tr2bl w:val="nil"/>
                  </w:tcBorders>
                  <w:noWrap w:val="0"/>
                  <w:vAlign w:val="center"/>
                </w:tcPr>
                <w:p w14:paraId="5F9FC406">
                  <w:pPr>
                    <w:pStyle w:val="2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u w:val="none" w:color="auto"/>
                    </w:rPr>
                  </w:pPr>
                  <w:r>
                    <w:rPr>
                      <w:rFonts w:hint="eastAsia" w:ascii="Times New Roman" w:hAnsi="Times New Roman" w:eastAsia="宋体" w:cs="Times New Roman"/>
                      <w:color w:val="000000"/>
                      <w:kern w:val="2"/>
                      <w:sz w:val="21"/>
                      <w:szCs w:val="21"/>
                    </w:rPr>
                    <w:t>达标</w:t>
                  </w:r>
                </w:p>
              </w:tc>
            </w:tr>
            <w:tr w14:paraId="223CD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11031C9C">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PM</w:t>
                  </w:r>
                  <w:r>
                    <w:rPr>
                      <w:rFonts w:hint="default" w:ascii="Times New Roman" w:hAnsi="Times New Roman" w:cs="Times New Roman"/>
                      <w:color w:val="auto"/>
                      <w:sz w:val="21"/>
                      <w:szCs w:val="21"/>
                      <w:highlight w:val="none"/>
                      <w:u w:val="none" w:color="auto"/>
                      <w:vertAlign w:val="subscript"/>
                    </w:rPr>
                    <w:t>2.5</w:t>
                  </w:r>
                </w:p>
              </w:tc>
              <w:tc>
                <w:tcPr>
                  <w:tcW w:w="2560" w:type="dxa"/>
                  <w:tcBorders>
                    <w:tl2br w:val="nil"/>
                    <w:tr2bl w:val="nil"/>
                  </w:tcBorders>
                  <w:noWrap w:val="0"/>
                  <w:vAlign w:val="center"/>
                </w:tcPr>
                <w:p w14:paraId="0F96A0DD">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年平均质量浓度</w:t>
                  </w:r>
                </w:p>
              </w:tc>
              <w:tc>
                <w:tcPr>
                  <w:tcW w:w="1150" w:type="dxa"/>
                  <w:tcBorders>
                    <w:tl2br w:val="nil"/>
                    <w:tr2bl w:val="nil"/>
                  </w:tcBorders>
                  <w:noWrap w:val="0"/>
                  <w:vAlign w:val="center"/>
                </w:tcPr>
                <w:p w14:paraId="491E9673">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eastAsia="zh-CN"/>
                    </w:rPr>
                  </w:pPr>
                  <w:r>
                    <w:rPr>
                      <w:rFonts w:hint="eastAsia" w:ascii="Times New Roman" w:hAnsi="Times New Roman" w:eastAsia="宋体" w:cs="Times New Roman"/>
                      <w:color w:val="auto"/>
                      <w:sz w:val="21"/>
                      <w:szCs w:val="21"/>
                      <w:highlight w:val="none"/>
                      <w:u w:val="none" w:color="auto"/>
                      <w:lang w:val="en-US" w:eastAsia="zh-CN"/>
                    </w:rPr>
                    <w:t>30</w:t>
                  </w:r>
                </w:p>
              </w:tc>
              <w:tc>
                <w:tcPr>
                  <w:tcW w:w="886" w:type="dxa"/>
                  <w:tcBorders>
                    <w:tl2br w:val="nil"/>
                    <w:tr2bl w:val="nil"/>
                  </w:tcBorders>
                  <w:noWrap w:val="0"/>
                  <w:vAlign w:val="center"/>
                </w:tcPr>
                <w:p w14:paraId="163DD14B">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eastAsia"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rPr>
                    <w:t>3</w:t>
                  </w:r>
                  <w:r>
                    <w:rPr>
                      <w:rFonts w:hint="eastAsia" w:ascii="Times New Roman" w:hAnsi="Times New Roman" w:eastAsia="宋体" w:cs="Times New Roman"/>
                      <w:color w:val="auto"/>
                      <w:sz w:val="21"/>
                      <w:szCs w:val="21"/>
                      <w:highlight w:val="none"/>
                      <w:u w:val="none" w:color="auto"/>
                      <w:lang w:val="en-US" w:eastAsia="zh-CN"/>
                    </w:rPr>
                    <w:t>0</w:t>
                  </w:r>
                </w:p>
              </w:tc>
              <w:tc>
                <w:tcPr>
                  <w:tcW w:w="1243" w:type="dxa"/>
                  <w:tcBorders>
                    <w:tl2br w:val="nil"/>
                    <w:tr2bl w:val="nil"/>
                  </w:tcBorders>
                  <w:noWrap w:val="0"/>
                  <w:vAlign w:val="center"/>
                </w:tcPr>
                <w:p w14:paraId="6E764ED1">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100</w:t>
                  </w:r>
                </w:p>
              </w:tc>
              <w:tc>
                <w:tcPr>
                  <w:tcW w:w="1641" w:type="dxa"/>
                  <w:tcBorders>
                    <w:tl2br w:val="nil"/>
                    <w:tr2bl w:val="nil"/>
                  </w:tcBorders>
                  <w:noWrap w:val="0"/>
                  <w:vAlign w:val="center"/>
                </w:tcPr>
                <w:p w14:paraId="18CECA15">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达标</w:t>
                  </w:r>
                </w:p>
              </w:tc>
            </w:tr>
            <w:tr w14:paraId="0D1E2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65F4A4D2">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CO</w:t>
                  </w:r>
                </w:p>
              </w:tc>
              <w:tc>
                <w:tcPr>
                  <w:tcW w:w="2560" w:type="dxa"/>
                  <w:tcBorders>
                    <w:tl2br w:val="nil"/>
                    <w:tr2bl w:val="nil"/>
                  </w:tcBorders>
                  <w:noWrap w:val="0"/>
                  <w:vAlign w:val="center"/>
                </w:tcPr>
                <w:p w14:paraId="4E260097">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95%日平均质量浓度</w:t>
                  </w:r>
                </w:p>
              </w:tc>
              <w:tc>
                <w:tcPr>
                  <w:tcW w:w="1150" w:type="dxa"/>
                  <w:tcBorders>
                    <w:tl2br w:val="nil"/>
                    <w:tr2bl w:val="nil"/>
                  </w:tcBorders>
                  <w:noWrap w:val="0"/>
                  <w:vAlign w:val="center"/>
                </w:tcPr>
                <w:p w14:paraId="15C78A1F">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1.</w:t>
                  </w:r>
                  <w:r>
                    <w:rPr>
                      <w:rFonts w:hint="eastAsia" w:ascii="Times New Roman" w:hAnsi="Times New Roman" w:eastAsia="宋体" w:cs="Times New Roman"/>
                      <w:color w:val="auto"/>
                      <w:sz w:val="21"/>
                      <w:szCs w:val="21"/>
                      <w:highlight w:val="none"/>
                      <w:u w:val="none" w:color="auto"/>
                      <w:lang w:val="en-US" w:eastAsia="zh-CN"/>
                    </w:rPr>
                    <w:t>0</w:t>
                  </w:r>
                </w:p>
              </w:tc>
              <w:tc>
                <w:tcPr>
                  <w:tcW w:w="886" w:type="dxa"/>
                  <w:tcBorders>
                    <w:tl2br w:val="nil"/>
                    <w:tr2bl w:val="nil"/>
                  </w:tcBorders>
                  <w:noWrap w:val="0"/>
                  <w:vAlign w:val="center"/>
                </w:tcPr>
                <w:p w14:paraId="0EC440FA">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4</w:t>
                  </w:r>
                </w:p>
              </w:tc>
              <w:tc>
                <w:tcPr>
                  <w:tcW w:w="1243" w:type="dxa"/>
                  <w:tcBorders>
                    <w:tl2br w:val="nil"/>
                    <w:tr2bl w:val="nil"/>
                  </w:tcBorders>
                  <w:noWrap w:val="0"/>
                  <w:vAlign w:val="center"/>
                </w:tcPr>
                <w:p w14:paraId="03BDC1F5">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 xml:space="preserve">25.0 </w:t>
                  </w:r>
                </w:p>
              </w:tc>
              <w:tc>
                <w:tcPr>
                  <w:tcW w:w="1641" w:type="dxa"/>
                  <w:tcBorders>
                    <w:tl2br w:val="nil"/>
                    <w:tr2bl w:val="nil"/>
                  </w:tcBorders>
                  <w:noWrap w:val="0"/>
                  <w:vAlign w:val="center"/>
                </w:tcPr>
                <w:p w14:paraId="7D8C25A1">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达标</w:t>
                  </w:r>
                </w:p>
              </w:tc>
            </w:tr>
            <w:tr w14:paraId="6D45B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3" w:type="dxa"/>
                  <w:tcBorders>
                    <w:tl2br w:val="nil"/>
                    <w:tr2bl w:val="nil"/>
                  </w:tcBorders>
                  <w:noWrap w:val="0"/>
                  <w:vAlign w:val="center"/>
                </w:tcPr>
                <w:p w14:paraId="36FA5E7A">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O</w:t>
                  </w:r>
                  <w:r>
                    <w:rPr>
                      <w:rFonts w:hint="default" w:ascii="Times New Roman" w:hAnsi="Times New Roman" w:cs="Times New Roman"/>
                      <w:color w:val="auto"/>
                      <w:sz w:val="21"/>
                      <w:szCs w:val="21"/>
                      <w:highlight w:val="none"/>
                      <w:u w:val="none" w:color="auto"/>
                      <w:vertAlign w:val="subscript"/>
                    </w:rPr>
                    <w:t>3</w:t>
                  </w:r>
                </w:p>
              </w:tc>
              <w:tc>
                <w:tcPr>
                  <w:tcW w:w="2560" w:type="dxa"/>
                  <w:tcBorders>
                    <w:tl2br w:val="nil"/>
                    <w:tr2bl w:val="nil"/>
                  </w:tcBorders>
                  <w:noWrap w:val="0"/>
                  <w:vAlign w:val="center"/>
                </w:tcPr>
                <w:p w14:paraId="5657A39A">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90%8h平均质量浓度</w:t>
                  </w:r>
                </w:p>
              </w:tc>
              <w:tc>
                <w:tcPr>
                  <w:tcW w:w="1150" w:type="dxa"/>
                  <w:tcBorders>
                    <w:tl2br w:val="nil"/>
                    <w:tr2bl w:val="nil"/>
                  </w:tcBorders>
                  <w:noWrap w:val="0"/>
                  <w:vAlign w:val="center"/>
                </w:tcPr>
                <w:p w14:paraId="50B28CDB">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129</w:t>
                  </w:r>
                </w:p>
              </w:tc>
              <w:tc>
                <w:tcPr>
                  <w:tcW w:w="886" w:type="dxa"/>
                  <w:tcBorders>
                    <w:tl2br w:val="nil"/>
                    <w:tr2bl w:val="nil"/>
                  </w:tcBorders>
                  <w:noWrap w:val="0"/>
                  <w:vAlign w:val="center"/>
                </w:tcPr>
                <w:p w14:paraId="7D06B5DA">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rPr>
                    <w:t>160</w:t>
                  </w:r>
                </w:p>
              </w:tc>
              <w:tc>
                <w:tcPr>
                  <w:tcW w:w="1243" w:type="dxa"/>
                  <w:tcBorders>
                    <w:tl2br w:val="nil"/>
                    <w:tr2bl w:val="nil"/>
                  </w:tcBorders>
                  <w:noWrap w:val="0"/>
                  <w:vAlign w:val="center"/>
                </w:tcPr>
                <w:p w14:paraId="39C5ED91">
                  <w:pPr>
                    <w:keepNext w:val="0"/>
                    <w:keepLines w:val="0"/>
                    <w:suppressLineNumbers w:val="0"/>
                    <w:autoSpaceDE w:val="0"/>
                    <w:autoSpaceDN w:val="0"/>
                    <w:adjustRightIn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 xml:space="preserve">80.6 </w:t>
                  </w:r>
                </w:p>
              </w:tc>
              <w:tc>
                <w:tcPr>
                  <w:tcW w:w="1641" w:type="dxa"/>
                  <w:tcBorders>
                    <w:tl2br w:val="nil"/>
                    <w:tr2bl w:val="nil"/>
                  </w:tcBorders>
                  <w:noWrap w:val="0"/>
                  <w:vAlign w:val="center"/>
                </w:tcPr>
                <w:p w14:paraId="471A1C42">
                  <w:pPr>
                    <w:pStyle w:val="22"/>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u w:val="none" w:color="auto"/>
                    </w:rPr>
                  </w:pPr>
                  <w:r>
                    <w:rPr>
                      <w:rFonts w:hint="eastAsia" w:ascii="Times New Roman" w:hAnsi="Times New Roman" w:eastAsia="宋体" w:cs="Times New Roman"/>
                      <w:color w:val="000000"/>
                      <w:kern w:val="2"/>
                      <w:sz w:val="21"/>
                      <w:szCs w:val="21"/>
                    </w:rPr>
                    <w:t>达标</w:t>
                  </w:r>
                </w:p>
              </w:tc>
            </w:tr>
          </w:tbl>
          <w:p w14:paraId="2F406EE5">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rPr>
            </w:pPr>
            <w:r>
              <w:rPr>
                <w:rFonts w:hint="eastAsia" w:ascii="Times New Roman" w:hAnsi="Times New Roman" w:cs="Times New Roman"/>
                <w:color w:val="000000"/>
                <w:sz w:val="24"/>
              </w:rPr>
              <w:t>环境空气质量结论：</w:t>
            </w:r>
            <w:r>
              <w:rPr>
                <w:rFonts w:hint="default" w:ascii="Times New Roman" w:hAnsi="Times New Roman" w:cs="Times New Roman"/>
                <w:color w:val="auto"/>
                <w:sz w:val="24"/>
                <w:highlight w:val="none"/>
                <w:u w:val="none" w:color="auto"/>
              </w:rPr>
              <w:t>根据</w:t>
            </w:r>
            <w:r>
              <w:rPr>
                <w:rFonts w:hint="eastAsia" w:ascii="Times New Roman" w:hAnsi="Times New Roman" w:cs="Times New Roman"/>
                <w:color w:val="auto"/>
                <w:sz w:val="24"/>
                <w:highlight w:val="none"/>
                <w:u w:val="none" w:color="auto"/>
                <w:lang w:val="en-US" w:eastAsia="zh-CN"/>
              </w:rPr>
              <w:t>上述</w:t>
            </w:r>
            <w:r>
              <w:rPr>
                <w:rFonts w:hint="default" w:ascii="Times New Roman" w:hAnsi="Times New Roman" w:cs="Times New Roman"/>
                <w:color w:val="auto"/>
                <w:sz w:val="24"/>
                <w:highlight w:val="none"/>
                <w:u w:val="none" w:color="auto"/>
              </w:rPr>
              <w:t>数据可知，</w:t>
            </w:r>
            <w:r>
              <w:rPr>
                <w:rFonts w:hint="default" w:ascii="Times New Roman" w:hAnsi="Times New Roman" w:cs="Times New Roman"/>
                <w:color w:val="auto"/>
                <w:sz w:val="24"/>
                <w:highlight w:val="none"/>
                <w:u w:val="none" w:color="auto"/>
                <w:lang w:eastAsia="zh-CN"/>
              </w:rPr>
              <w:t>202</w:t>
            </w:r>
            <w:r>
              <w:rPr>
                <w:rFonts w:hint="eastAsia" w:ascii="Times New Roman" w:hAnsi="Times New Roman" w:cs="Times New Roman"/>
                <w:color w:val="auto"/>
                <w:sz w:val="24"/>
                <w:highlight w:val="none"/>
                <w:u w:val="none" w:color="auto"/>
                <w:lang w:val="en-US" w:eastAsia="zh-CN"/>
              </w:rPr>
              <w:t>4</w:t>
            </w:r>
            <w:r>
              <w:rPr>
                <w:rFonts w:hint="default" w:ascii="Times New Roman" w:hAnsi="Times New Roman" w:cs="Times New Roman"/>
                <w:color w:val="auto"/>
                <w:sz w:val="24"/>
                <w:highlight w:val="none"/>
                <w:u w:val="none" w:color="auto"/>
                <w:lang w:eastAsia="zh-CN"/>
              </w:rPr>
              <w:t>年</w:t>
            </w:r>
            <w:r>
              <w:rPr>
                <w:rFonts w:hint="eastAsia" w:ascii="Times New Roman" w:hAnsi="Times New Roman" w:cs="Times New Roman"/>
                <w:color w:val="auto"/>
                <w:sz w:val="24"/>
                <w:highlight w:val="none"/>
                <w:u w:val="none" w:color="auto"/>
                <w:lang w:val="en-US" w:eastAsia="zh-CN"/>
              </w:rPr>
              <w:t>祁阳市</w:t>
            </w:r>
            <w:r>
              <w:rPr>
                <w:rFonts w:hint="eastAsia" w:ascii="Times New Roman" w:hAnsi="Times New Roman" w:cs="Times New Roman"/>
                <w:color w:val="auto"/>
                <w:sz w:val="24"/>
              </w:rPr>
              <w:t>PM</w:t>
            </w:r>
            <w:r>
              <w:rPr>
                <w:rFonts w:hint="eastAsia" w:ascii="Times New Roman" w:hAnsi="Times New Roman" w:cs="Times New Roman"/>
                <w:color w:val="auto"/>
                <w:sz w:val="24"/>
                <w:vertAlign w:val="subscript"/>
              </w:rPr>
              <w:t>2.5</w:t>
            </w:r>
            <w:r>
              <w:rPr>
                <w:rFonts w:hint="default" w:ascii="Times New Roman" w:hAnsi="Times New Roman" w:cs="Times New Roman"/>
                <w:color w:val="auto"/>
                <w:sz w:val="24"/>
                <w:highlight w:val="none"/>
                <w:u w:val="none" w:color="auto"/>
              </w:rPr>
              <w:t>、SO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、NO</w:t>
            </w:r>
            <w:r>
              <w:rPr>
                <w:rFonts w:hint="default" w:ascii="Times New Roman" w:hAnsi="Times New Roman" w:cs="Times New Roman"/>
                <w:color w:val="auto"/>
                <w:sz w:val="24"/>
                <w:highlight w:val="none"/>
                <w:u w:val="none" w:color="auto"/>
                <w:vertAlign w:val="subscript"/>
              </w:rPr>
              <w:t>2</w:t>
            </w:r>
            <w:r>
              <w:rPr>
                <w:rFonts w:hint="default" w:ascii="Times New Roman" w:hAnsi="Times New Roman" w:cs="Times New Roman"/>
                <w:color w:val="auto"/>
                <w:sz w:val="24"/>
                <w:highlight w:val="none"/>
                <w:u w:val="none" w:color="auto"/>
              </w:rPr>
              <w:t>、CO、O</w:t>
            </w:r>
            <w:r>
              <w:rPr>
                <w:rFonts w:hint="default" w:ascii="Times New Roman" w:hAnsi="Times New Roman" w:cs="Times New Roman"/>
                <w:color w:val="auto"/>
                <w:sz w:val="24"/>
                <w:highlight w:val="none"/>
                <w:u w:val="none" w:color="auto"/>
                <w:vertAlign w:val="subscript"/>
              </w:rPr>
              <w:t>3</w:t>
            </w:r>
            <w:r>
              <w:rPr>
                <w:rFonts w:hint="default" w:ascii="Times New Roman" w:hAnsi="Times New Roman" w:cs="Times New Roman"/>
                <w:color w:val="auto"/>
                <w:sz w:val="24"/>
                <w:highlight w:val="none"/>
                <w:u w:val="none" w:color="auto"/>
              </w:rPr>
              <w:t>、PM</w:t>
            </w:r>
            <w:r>
              <w:rPr>
                <w:rFonts w:hint="default" w:ascii="Times New Roman" w:hAnsi="Times New Roman" w:cs="Times New Roman"/>
                <w:color w:val="auto"/>
                <w:sz w:val="24"/>
                <w:highlight w:val="none"/>
                <w:u w:val="none" w:color="auto"/>
                <w:vertAlign w:val="subscript"/>
              </w:rPr>
              <w:t>10</w:t>
            </w:r>
            <w:r>
              <w:rPr>
                <w:rFonts w:hint="default" w:ascii="Times New Roman" w:hAnsi="Times New Roman" w:cs="Times New Roman"/>
                <w:color w:val="auto"/>
                <w:sz w:val="24"/>
                <w:highlight w:val="none"/>
                <w:u w:val="none" w:color="auto"/>
              </w:rPr>
              <w:t>年平均质量浓年平均质量浓度满足《环境空气质量标准》</w:t>
            </w:r>
            <w:r>
              <w:rPr>
                <w:rFonts w:hint="default"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rPr>
              <w:t>GB3095-20</w:t>
            </w:r>
            <w:r>
              <w:rPr>
                <w:rFonts w:hint="eastAsia" w:ascii="Times New Roman" w:hAnsi="Times New Roman" w:cs="Times New Roman"/>
                <w:color w:val="auto"/>
                <w:sz w:val="24"/>
                <w:highlight w:val="none"/>
                <w:u w:val="none" w:color="auto"/>
                <w:lang w:val="en-US" w:eastAsia="zh-CN"/>
              </w:rPr>
              <w:t>26</w:t>
            </w:r>
            <w:r>
              <w:rPr>
                <w:rFonts w:hint="default"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lang w:val="en-US" w:eastAsia="zh-CN"/>
              </w:rPr>
              <w:t>中</w:t>
            </w:r>
            <w:r>
              <w:rPr>
                <w:rFonts w:hint="default" w:ascii="Times New Roman" w:hAnsi="Times New Roman" w:cs="Times New Roman"/>
                <w:color w:val="auto"/>
                <w:sz w:val="24"/>
                <w:highlight w:val="none"/>
                <w:u w:val="none" w:color="auto"/>
              </w:rPr>
              <w:t>二级标准要求</w:t>
            </w:r>
            <w:r>
              <w:rPr>
                <w:rFonts w:hint="eastAsia" w:ascii="Times New Roman" w:hAnsi="Times New Roman" w:cs="Times New Roman"/>
                <w:color w:val="auto"/>
                <w:sz w:val="24"/>
                <w:vertAlign w:val="baseline"/>
                <w:lang w:val="en-US" w:eastAsia="zh-CN"/>
              </w:rPr>
              <w:t>，</w:t>
            </w:r>
            <w:r>
              <w:rPr>
                <w:rFonts w:hint="eastAsia" w:ascii="Times New Roman" w:hAnsi="Times New Roman" w:cs="Times New Roman"/>
                <w:color w:val="auto"/>
                <w:sz w:val="24"/>
              </w:rPr>
              <w:t>项目所在区域</w:t>
            </w:r>
            <w:r>
              <w:rPr>
                <w:rFonts w:hint="eastAsia" w:ascii="Times New Roman" w:hAnsi="Times New Roman" w:cs="Times New Roman"/>
                <w:color w:val="auto"/>
                <w:sz w:val="24"/>
                <w:lang w:val="en-US" w:eastAsia="zh-CN"/>
              </w:rPr>
              <w:t>环境空气</w:t>
            </w:r>
            <w:r>
              <w:rPr>
                <w:rFonts w:hint="eastAsia" w:ascii="Times New Roman" w:hAnsi="Times New Roman" w:cs="Times New Roman"/>
                <w:color w:val="auto"/>
                <w:sz w:val="24"/>
              </w:rPr>
              <w:t>属于达标区。</w:t>
            </w:r>
          </w:p>
          <w:p w14:paraId="20DD7A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（2）特征因子监测</w:t>
            </w:r>
          </w:p>
          <w:p w14:paraId="63C98802">
            <w:pPr>
              <w:pStyle w:val="128"/>
              <w:keepNext w:val="0"/>
              <w:keepLines w:val="0"/>
              <w:suppressLineNumbers w:val="0"/>
              <w:spacing w:before="0" w:beforeAutospacing="0" w:after="0" w:afterAutospacing="0" w:line="360" w:lineRule="auto"/>
              <w:ind w:left="0" w:right="0"/>
              <w:jc w:val="left"/>
              <w:rPr>
                <w:rFonts w:hint="eastAsia" w:ascii="Times New Roman" w:hAnsi="Times New Roman" w:cs="Times New Roman"/>
                <w:bCs/>
                <w:color w:val="000000"/>
                <w:sz w:val="24"/>
                <w:u w:val="none"/>
                <w:lang w:val="en-US" w:eastAsia="zh-CN"/>
              </w:rPr>
            </w:pPr>
            <w:r>
              <w:rPr>
                <w:rFonts w:hint="eastAsia" w:ascii="Times New Roman" w:hAnsi="Times New Roman" w:cs="Times New Roman"/>
                <w:bCs/>
                <w:color w:val="000000"/>
                <w:sz w:val="24"/>
                <w:u w:val="none"/>
              </w:rPr>
              <w:t>项目大气环境</w:t>
            </w:r>
            <w:r>
              <w:rPr>
                <w:rFonts w:hint="eastAsia" w:ascii="Times New Roman" w:hAnsi="Times New Roman" w:cs="Times New Roman"/>
                <w:bCs/>
                <w:color w:val="000000"/>
                <w:sz w:val="24"/>
                <w:u w:val="none"/>
                <w:lang w:val="en-US" w:eastAsia="zh-CN"/>
              </w:rPr>
              <w:t>特征</w:t>
            </w:r>
            <w:r>
              <w:rPr>
                <w:rFonts w:hint="eastAsia" w:ascii="Times New Roman" w:hAnsi="Times New Roman" w:cs="Times New Roman"/>
                <w:bCs/>
                <w:color w:val="000000"/>
                <w:sz w:val="24"/>
                <w:u w:val="none"/>
              </w:rPr>
              <w:t>污染物为</w:t>
            </w:r>
            <w:r>
              <w:rPr>
                <w:rFonts w:hint="eastAsia" w:ascii="Times New Roman" w:hAnsi="Times New Roman" w:cs="Times New Roman"/>
                <w:bCs/>
                <w:color w:val="000000"/>
                <w:sz w:val="24"/>
                <w:u w:val="none"/>
                <w:lang w:val="en-US" w:eastAsia="zh-CN"/>
              </w:rPr>
              <w:t>TSP、非甲烷总烃</w:t>
            </w:r>
            <w:r>
              <w:rPr>
                <w:rFonts w:hint="eastAsia" w:ascii="Times New Roman" w:hAnsi="Times New Roman" w:cs="Times New Roman"/>
                <w:bCs/>
                <w:color w:val="000000"/>
                <w:sz w:val="24"/>
                <w:u w:val="none"/>
              </w:rPr>
              <w:t>，为了解项目区域特征污染物环境质量现状，本次环评</w:t>
            </w:r>
            <w:r>
              <w:rPr>
                <w:rFonts w:hint="eastAsia" w:ascii="Times New Roman" w:hAnsi="Times New Roman" w:cs="Times New Roman"/>
                <w:bCs/>
                <w:color w:val="000000"/>
                <w:sz w:val="24"/>
                <w:u w:val="none"/>
                <w:lang w:val="en-US" w:eastAsia="zh-CN"/>
              </w:rPr>
              <w:t>收集了《祁阳高新技术产业开发区规划环境影响跟踪评价报告书》中新区片区银星村监测点的空气质量TSP、非甲烷总烃现状监测数据</w:t>
            </w:r>
            <w:r>
              <w:rPr>
                <w:rFonts w:hint="eastAsia" w:ascii="Times New Roman" w:hAnsi="Times New Roman" w:cs="Times New Roman"/>
                <w:bCs/>
                <w:color w:val="000000"/>
                <w:sz w:val="24"/>
                <w:u w:val="none"/>
              </w:rPr>
              <w:t>（监测时间：2024年2月20日~26日），为近三年监测数据，且环境质量现状监测点位在本项目</w:t>
            </w:r>
            <w:r>
              <w:rPr>
                <w:rFonts w:hint="eastAsia" w:ascii="Times New Roman" w:hAnsi="Times New Roman" w:cs="Times New Roman"/>
                <w:bCs/>
                <w:color w:val="000000"/>
                <w:sz w:val="24"/>
                <w:u w:val="none"/>
                <w:lang w:val="en-US" w:eastAsia="zh-CN"/>
              </w:rPr>
              <w:t>5km范围内</w:t>
            </w:r>
            <w:r>
              <w:rPr>
                <w:rFonts w:hint="eastAsia" w:ascii="Times New Roman" w:hAnsi="Times New Roman" w:cs="Times New Roman"/>
                <w:bCs/>
                <w:color w:val="000000"/>
                <w:sz w:val="24"/>
                <w:u w:val="none"/>
              </w:rPr>
              <w:t>，可以引用。监测点位布设及监测结果见下表</w:t>
            </w:r>
            <w:r>
              <w:rPr>
                <w:rFonts w:hint="eastAsia" w:ascii="Times New Roman" w:hAnsi="Times New Roman" w:cs="Times New Roman"/>
                <w:bCs/>
                <w:color w:val="000000"/>
                <w:sz w:val="24"/>
                <w:u w:val="none"/>
                <w:lang w:val="en-US" w:eastAsia="zh-CN"/>
              </w:rPr>
              <w:t>：</w:t>
            </w:r>
          </w:p>
          <w:p w14:paraId="69C0961F">
            <w:pPr>
              <w:pStyle w:val="129"/>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000000"/>
                <w:sz w:val="21"/>
                <w:u w:val="none"/>
              </w:rPr>
            </w:pPr>
            <w:r>
              <w:rPr>
                <w:rFonts w:hint="eastAsia" w:ascii="Times New Roman" w:hAnsi="Times New Roman" w:eastAsia="宋体" w:cs="Times New Roman"/>
                <w:b/>
                <w:bCs/>
                <w:color w:val="000000"/>
                <w:sz w:val="21"/>
                <w:u w:val="none"/>
              </w:rPr>
              <w:t>表</w:t>
            </w:r>
            <w:r>
              <w:rPr>
                <w:rFonts w:hint="eastAsia" w:ascii="Times New Roman" w:hAnsi="Times New Roman" w:eastAsia="宋体" w:cs="Times New Roman"/>
                <w:b/>
                <w:bCs/>
                <w:color w:val="000000"/>
                <w:sz w:val="21"/>
                <w:u w:val="none"/>
                <w:lang w:val="en-US"/>
              </w:rPr>
              <w:t>3-2</w:t>
            </w:r>
            <w:r>
              <w:rPr>
                <w:rFonts w:hint="eastAsia" w:ascii="Times New Roman" w:hAnsi="Times New Roman" w:eastAsia="宋体" w:cs="Times New Roman"/>
                <w:b/>
                <w:bCs/>
                <w:color w:val="000000"/>
                <w:sz w:val="21"/>
                <w:u w:val="none"/>
              </w:rPr>
              <w:t xml:space="preserve">  </w:t>
            </w:r>
            <w:r>
              <w:rPr>
                <w:rFonts w:hint="eastAsia" w:ascii="Times New Roman" w:hAnsi="Times New Roman" w:cs="Times New Roman"/>
                <w:b/>
                <w:bCs/>
                <w:color w:val="000000"/>
                <w:sz w:val="21"/>
                <w:u w:val="none"/>
                <w:lang w:val="en-US" w:eastAsia="zh-CN"/>
              </w:rPr>
              <w:t>TSP</w:t>
            </w:r>
            <w:r>
              <w:rPr>
                <w:rFonts w:hint="eastAsia" w:ascii="Times New Roman" w:hAnsi="Times New Roman" w:eastAsia="宋体" w:cs="Times New Roman"/>
                <w:b/>
                <w:bCs/>
                <w:color w:val="000000"/>
                <w:sz w:val="21"/>
                <w:u w:val="none"/>
              </w:rPr>
              <w:t xml:space="preserve">监测统计结果   </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69"/>
              <w:gridCol w:w="2774"/>
              <w:gridCol w:w="2775"/>
            </w:tblGrid>
            <w:tr w14:paraId="29EA0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0DEDA893">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default" w:ascii="Times New Roman" w:hAnsi="Times New Roman" w:cs="Times New Roman"/>
                      <w:sz w:val="21"/>
                      <w:szCs w:val="21"/>
                      <w:u w:val="none"/>
                    </w:rPr>
                  </w:pPr>
                  <w:r>
                    <w:rPr>
                      <w:rFonts w:hint="default" w:ascii="Times New Roman" w:hAnsi="Times New Roman" w:cs="Times New Roman"/>
                      <w:sz w:val="21"/>
                      <w:szCs w:val="21"/>
                      <w:u w:val="none"/>
                    </w:rPr>
                    <w:t>监测点位</w:t>
                  </w:r>
                </w:p>
              </w:tc>
              <w:tc>
                <w:tcPr>
                  <w:tcW w:w="3295" w:type="pct"/>
                  <w:gridSpan w:val="2"/>
                  <w:tcBorders>
                    <w:tl2br w:val="nil"/>
                    <w:tr2bl w:val="nil"/>
                  </w:tcBorders>
                  <w:noWrap w:val="0"/>
                  <w:vAlign w:val="center"/>
                </w:tcPr>
                <w:p w14:paraId="6A5E7A53">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eastAsia" w:hAnsi="Times New Roman" w:cs="Times New Roman"/>
                      <w:bCs/>
                      <w:color w:val="000000"/>
                      <w:sz w:val="21"/>
                      <w:szCs w:val="21"/>
                      <w:u w:val="none"/>
                    </w:rPr>
                  </w:pPr>
                  <w:r>
                    <w:rPr>
                      <w:rFonts w:hint="eastAsia" w:hAnsi="Times New Roman" w:cs="Times New Roman"/>
                      <w:sz w:val="21"/>
                      <w:szCs w:val="21"/>
                      <w:u w:val="none"/>
                      <w:lang w:val="en-US" w:eastAsia="zh-CN"/>
                    </w:rPr>
                    <w:t>银星村居民点（</w:t>
                  </w:r>
                  <w:r>
                    <w:rPr>
                      <w:rFonts w:hint="eastAsia" w:ascii="Times New Roman" w:hAnsi="Times New Roman" w:cs="Times New Roman"/>
                      <w:sz w:val="21"/>
                      <w:szCs w:val="21"/>
                      <w:u w:val="none"/>
                      <w:lang w:val="en-US" w:eastAsia="zh-CN"/>
                    </w:rPr>
                    <w:t>本项目</w:t>
                  </w:r>
                  <w:r>
                    <w:rPr>
                      <w:rFonts w:hint="eastAsia" w:hAnsi="Times New Roman" w:cs="Times New Roman"/>
                      <w:sz w:val="21"/>
                      <w:szCs w:val="21"/>
                      <w:u w:val="none"/>
                      <w:lang w:val="en-US" w:eastAsia="zh-CN"/>
                    </w:rPr>
                    <w:t>东南侧2700</w:t>
                  </w:r>
                  <w:r>
                    <w:rPr>
                      <w:rFonts w:hint="eastAsia" w:ascii="Times New Roman" w:hAnsi="Times New Roman" w:cs="Times New Roman"/>
                      <w:sz w:val="21"/>
                      <w:szCs w:val="21"/>
                      <w:u w:val="none"/>
                      <w:lang w:val="en-US" w:eastAsia="zh-CN"/>
                    </w:rPr>
                    <w:t>m</w:t>
                  </w:r>
                  <w:r>
                    <w:rPr>
                      <w:rFonts w:hint="eastAsia" w:hAnsi="Times New Roman" w:cs="Times New Roman"/>
                      <w:sz w:val="21"/>
                      <w:szCs w:val="21"/>
                      <w:u w:val="none"/>
                      <w:lang w:val="en-US" w:eastAsia="zh-CN"/>
                    </w:rPr>
                    <w:t>）</w:t>
                  </w:r>
                </w:p>
              </w:tc>
            </w:tr>
            <w:tr w14:paraId="1CF06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41465808">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default" w:ascii="Times New Roman" w:hAnsi="Times New Roman" w:cs="Times New Roman"/>
                      <w:sz w:val="21"/>
                      <w:szCs w:val="21"/>
                      <w:u w:val="none"/>
                    </w:rPr>
                  </w:pPr>
                  <w:r>
                    <w:rPr>
                      <w:rFonts w:hint="eastAsia" w:ascii="Times New Roman" w:hAnsi="Times New Roman" w:cs="Times New Roman"/>
                      <w:sz w:val="21"/>
                      <w:szCs w:val="21"/>
                      <w:u w:val="none"/>
                    </w:rPr>
                    <w:t>检测项目</w:t>
                  </w:r>
                </w:p>
              </w:tc>
              <w:tc>
                <w:tcPr>
                  <w:tcW w:w="1647" w:type="pct"/>
                  <w:tcBorders>
                    <w:tl2br w:val="nil"/>
                    <w:tr2bl w:val="nil"/>
                  </w:tcBorders>
                  <w:noWrap w:val="0"/>
                  <w:vAlign w:val="center"/>
                </w:tcPr>
                <w:p w14:paraId="1B87B4DF">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default" w:ascii="Times New Roman" w:hAnsi="Times New Roman" w:cs="Times New Roman"/>
                      <w:sz w:val="21"/>
                      <w:szCs w:val="21"/>
                      <w:u w:val="none"/>
                      <w:lang w:val="en-US" w:eastAsia="zh-CN"/>
                    </w:rPr>
                  </w:pPr>
                  <w:r>
                    <w:rPr>
                      <w:rFonts w:hint="eastAsia" w:hAnsi="Times New Roman" w:cs="Times New Roman"/>
                      <w:sz w:val="21"/>
                      <w:szCs w:val="21"/>
                      <w:u w:val="none"/>
                      <w:lang w:val="en-US" w:eastAsia="zh-CN"/>
                    </w:rPr>
                    <w:t>TSP</w:t>
                  </w:r>
                </w:p>
              </w:tc>
              <w:tc>
                <w:tcPr>
                  <w:tcW w:w="1648" w:type="pct"/>
                  <w:tcBorders>
                    <w:tl2br w:val="nil"/>
                    <w:tr2bl w:val="nil"/>
                  </w:tcBorders>
                  <w:noWrap w:val="0"/>
                  <w:vAlign w:val="center"/>
                </w:tcPr>
                <w:p w14:paraId="70F8B4DE">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eastAsia" w:hAnsi="Times New Roman" w:cs="Times New Roman"/>
                      <w:sz w:val="21"/>
                      <w:szCs w:val="21"/>
                      <w:u w:val="none"/>
                      <w:lang w:val="en-US" w:eastAsia="zh-CN"/>
                    </w:rPr>
                  </w:pPr>
                  <w:r>
                    <w:rPr>
                      <w:rFonts w:hint="eastAsia" w:hAnsi="Times New Roman" w:cs="Times New Roman"/>
                      <w:sz w:val="21"/>
                      <w:szCs w:val="21"/>
                      <w:u w:val="none"/>
                      <w:lang w:val="en-US" w:eastAsia="zh-CN"/>
                    </w:rPr>
                    <w:t>非甲烷总烃</w:t>
                  </w:r>
                </w:p>
              </w:tc>
            </w:tr>
            <w:tr w14:paraId="67238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7AC08DC7">
                  <w:pPr>
                    <w:pStyle w:val="42"/>
                    <w:keepNext w:val="0"/>
                    <w:keepLines w:val="0"/>
                    <w:pageBreakBefore w:val="0"/>
                    <w:suppressLineNumbers w:val="0"/>
                    <w:kinsoku/>
                    <w:wordWrap/>
                    <w:overflowPunct/>
                    <w:topLinePunct w:val="0"/>
                    <w:autoSpaceDE/>
                    <w:autoSpaceDN/>
                    <w:bidi w:val="0"/>
                    <w:adjustRightInd w:val="0"/>
                    <w:snapToGrid w:val="0"/>
                    <w:spacing w:beforeAutospacing="0" w:after="0" w:afterAutospacing="0" w:line="240" w:lineRule="auto"/>
                    <w:ind w:left="0" w:firstLine="0" w:firstLineChars="0"/>
                    <w:jc w:val="center"/>
                    <w:textAlignment w:val="auto"/>
                    <w:rPr>
                      <w:rFonts w:hint="default" w:ascii="Times New Roman" w:hAnsi="Times New Roman" w:cs="Times New Roman"/>
                      <w:sz w:val="21"/>
                      <w:szCs w:val="21"/>
                      <w:u w:val="none"/>
                      <w:lang w:val="en-US"/>
                    </w:rPr>
                  </w:pPr>
                  <w:r>
                    <w:rPr>
                      <w:rFonts w:hint="default" w:ascii="Times New Roman" w:hAnsi="Times New Roman" w:cs="Times New Roman"/>
                      <w:sz w:val="21"/>
                      <w:szCs w:val="21"/>
                      <w:u w:val="none"/>
                    </w:rPr>
                    <w:t>监测结果</w:t>
                  </w:r>
                  <w:r>
                    <w:rPr>
                      <w:rFonts w:hint="eastAsia" w:hAnsi="Times New Roman" w:cs="Times New Roman"/>
                      <w:sz w:val="21"/>
                      <w:szCs w:val="21"/>
                      <w:u w:val="none"/>
                      <w:lang w:val="en-US" w:eastAsia="zh-CN"/>
                    </w:rPr>
                    <w:t>/</w:t>
                  </w:r>
                  <w:r>
                    <w:rPr>
                      <w:rFonts w:hint="eastAsia" w:ascii="Times New Roman" w:hAnsi="Times New Roman" w:eastAsia="宋体" w:cs="Times New Roman"/>
                      <w:bCs/>
                      <w:color w:val="000000"/>
                      <w:sz w:val="21"/>
                      <w:szCs w:val="21"/>
                      <w:lang w:val="en-US" w:eastAsia="zh-CN"/>
                    </w:rPr>
                    <w:t>m</w:t>
                  </w:r>
                  <w:r>
                    <w:rPr>
                      <w:rFonts w:hint="eastAsia" w:hAnsi="Times New Roman" w:eastAsia="宋体" w:cs="Times New Roman"/>
                      <w:b w:val="0"/>
                      <w:bCs w:val="0"/>
                      <w:color w:val="000000"/>
                      <w:sz w:val="21"/>
                      <w:u w:val="none"/>
                    </w:rPr>
                    <w:t>g/m</w:t>
                  </w:r>
                  <w:r>
                    <w:rPr>
                      <w:rFonts w:hint="eastAsia" w:hAnsi="Times New Roman" w:eastAsia="宋体" w:cs="Times New Roman"/>
                      <w:b w:val="0"/>
                      <w:bCs w:val="0"/>
                      <w:color w:val="000000"/>
                      <w:sz w:val="21"/>
                      <w:u w:val="none"/>
                      <w:vertAlign w:val="superscript"/>
                    </w:rPr>
                    <w:t>3</w:t>
                  </w:r>
                </w:p>
              </w:tc>
              <w:tc>
                <w:tcPr>
                  <w:tcW w:w="1647" w:type="pct"/>
                  <w:tcBorders>
                    <w:tl2br w:val="nil"/>
                    <w:tr2bl w:val="nil"/>
                  </w:tcBorders>
                  <w:noWrap w:val="0"/>
                  <w:vAlign w:val="center"/>
                </w:tcPr>
                <w:p w14:paraId="7603337E">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eastAsia="宋体" w:cs="Times New Roman"/>
                      <w:sz w:val="21"/>
                      <w:szCs w:val="21"/>
                      <w:u w:val="none"/>
                      <w:lang w:val="en-US" w:eastAsia="zh-CN"/>
                    </w:rPr>
                  </w:pPr>
                  <w:r>
                    <w:rPr>
                      <w:rFonts w:hint="eastAsia" w:ascii="Times New Roman" w:hAnsi="Times New Roman" w:eastAsia="宋体" w:cs="Times New Roman"/>
                      <w:color w:val="000000"/>
                      <w:u w:val="none" w:color="auto"/>
                      <w:lang w:val="en-US" w:eastAsia="zh-CN"/>
                    </w:rPr>
                    <w:t>0.102~0.115</w:t>
                  </w:r>
                </w:p>
              </w:tc>
              <w:tc>
                <w:tcPr>
                  <w:tcW w:w="1648" w:type="pct"/>
                  <w:tcBorders>
                    <w:tl2br w:val="nil"/>
                    <w:tr2bl w:val="nil"/>
                  </w:tcBorders>
                  <w:noWrap w:val="0"/>
                  <w:vAlign w:val="center"/>
                </w:tcPr>
                <w:p w14:paraId="7F8E6E05">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eastAsia="宋体" w:cs="Times New Roman"/>
                      <w:color w:val="000000"/>
                      <w:u w:val="none" w:color="auto"/>
                      <w:lang w:val="en-US" w:eastAsia="zh-CN"/>
                    </w:rPr>
                  </w:pPr>
                  <w:r>
                    <w:rPr>
                      <w:rFonts w:hint="eastAsia" w:ascii="Times New Roman" w:hAnsi="Times New Roman" w:eastAsia="宋体" w:cs="Times New Roman"/>
                      <w:color w:val="000000"/>
                      <w:u w:val="none" w:color="auto"/>
                      <w:lang w:val="en-US" w:eastAsia="zh-CN"/>
                    </w:rPr>
                    <w:t>0.07L</w:t>
                  </w:r>
                </w:p>
              </w:tc>
            </w:tr>
            <w:tr w14:paraId="415F2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3FF73F26">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eastAsia" w:ascii="Times New Roman" w:hAnsi="Times New Roman" w:cs="Times New Roman"/>
                    </w:rPr>
                    <w:t>最大</w:t>
                  </w:r>
                  <w:r>
                    <w:rPr>
                      <w:rFonts w:hint="default" w:ascii="Times New Roman" w:hAnsi="Times New Roman" w:cs="Times New Roman"/>
                    </w:rPr>
                    <w:t>值</w:t>
                  </w:r>
                  <w:r>
                    <w:rPr>
                      <w:rFonts w:hint="eastAsia" w:ascii="Times New Roman" w:hAnsi="Times New Roman" w:cs="Times New Roman"/>
                      <w:lang w:val="en-US" w:eastAsia="zh-CN"/>
                    </w:rPr>
                    <w:t>/</w:t>
                  </w:r>
                  <w:r>
                    <w:rPr>
                      <w:rFonts w:hint="eastAsia" w:ascii="Times New Roman" w:hAnsi="Times New Roman" w:eastAsia="宋体" w:cs="Times New Roman"/>
                      <w:bCs/>
                      <w:color w:val="000000"/>
                      <w:sz w:val="21"/>
                      <w:szCs w:val="21"/>
                      <w:lang w:val="en-US" w:eastAsia="zh-CN"/>
                    </w:rPr>
                    <w:t>m</w:t>
                  </w:r>
                  <w:r>
                    <w:rPr>
                      <w:rFonts w:hint="eastAsia" w:ascii="Times New Roman" w:hAnsi="Times New Roman" w:eastAsia="宋体" w:cs="Times New Roman"/>
                      <w:b w:val="0"/>
                      <w:bCs w:val="0"/>
                      <w:color w:val="000000"/>
                      <w:sz w:val="21"/>
                      <w:u w:val="none"/>
                    </w:rPr>
                    <w:t>g/m</w:t>
                  </w:r>
                  <w:r>
                    <w:rPr>
                      <w:rFonts w:hint="eastAsia" w:ascii="Times New Roman" w:hAnsi="Times New Roman" w:eastAsia="宋体" w:cs="Times New Roman"/>
                      <w:b w:val="0"/>
                      <w:bCs w:val="0"/>
                      <w:color w:val="000000"/>
                      <w:sz w:val="21"/>
                      <w:u w:val="none"/>
                      <w:vertAlign w:val="superscript"/>
                    </w:rPr>
                    <w:t>3</w:t>
                  </w:r>
                </w:p>
              </w:tc>
              <w:tc>
                <w:tcPr>
                  <w:tcW w:w="1647" w:type="pct"/>
                  <w:tcBorders>
                    <w:tl2br w:val="nil"/>
                    <w:tr2bl w:val="nil"/>
                  </w:tcBorders>
                  <w:noWrap w:val="0"/>
                  <w:vAlign w:val="center"/>
                </w:tcPr>
                <w:p w14:paraId="2CCDBE8F">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0.115</w:t>
                  </w:r>
                </w:p>
              </w:tc>
              <w:tc>
                <w:tcPr>
                  <w:tcW w:w="1648" w:type="pct"/>
                  <w:tcBorders>
                    <w:tl2br w:val="nil"/>
                    <w:tr2bl w:val="nil"/>
                  </w:tcBorders>
                  <w:noWrap w:val="0"/>
                  <w:vAlign w:val="center"/>
                </w:tcPr>
                <w:p w14:paraId="46F38E03">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lang w:val="en-US" w:eastAsia="zh-CN"/>
                    </w:rPr>
                  </w:pPr>
                  <w:r>
                    <w:rPr>
                      <w:rFonts w:hint="eastAsia" w:ascii="Times New Roman" w:hAnsi="Times New Roman" w:eastAsia="宋体" w:cs="Times New Roman"/>
                      <w:color w:val="000000"/>
                      <w:u w:val="none" w:color="auto"/>
                      <w:lang w:val="en-US" w:eastAsia="zh-CN"/>
                    </w:rPr>
                    <w:t>0.07L</w:t>
                  </w:r>
                </w:p>
              </w:tc>
            </w:tr>
            <w:tr w14:paraId="29FF30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43521566">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eastAsia" w:ascii="Times New Roman" w:hAnsi="Times New Roman" w:cs="Times New Roman"/>
                    </w:rPr>
                    <w:t>最大</w:t>
                  </w:r>
                  <w:r>
                    <w:rPr>
                      <w:rFonts w:hint="default" w:ascii="Times New Roman" w:hAnsi="Times New Roman" w:cs="Times New Roman"/>
                    </w:rPr>
                    <w:t>占标率/%</w:t>
                  </w:r>
                </w:p>
              </w:tc>
              <w:tc>
                <w:tcPr>
                  <w:tcW w:w="1647" w:type="pct"/>
                  <w:tcBorders>
                    <w:tl2br w:val="nil"/>
                    <w:tr2bl w:val="nil"/>
                  </w:tcBorders>
                  <w:noWrap w:val="0"/>
                  <w:vAlign w:val="center"/>
                </w:tcPr>
                <w:p w14:paraId="2776A709">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38.3</w:t>
                  </w:r>
                </w:p>
              </w:tc>
              <w:tc>
                <w:tcPr>
                  <w:tcW w:w="1648" w:type="pct"/>
                  <w:tcBorders>
                    <w:tl2br w:val="nil"/>
                    <w:tr2bl w:val="nil"/>
                  </w:tcBorders>
                  <w:noWrap w:val="0"/>
                  <w:vAlign w:val="center"/>
                </w:tcPr>
                <w:p w14:paraId="04EFA2CB">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lang w:val="en-US" w:eastAsia="zh-CN"/>
                    </w:rPr>
                  </w:pPr>
                  <w:r>
                    <w:rPr>
                      <w:rFonts w:hint="eastAsia" w:ascii="Times New Roman" w:hAnsi="Times New Roman" w:cs="Times New Roman"/>
                      <w:sz w:val="21"/>
                      <w:szCs w:val="21"/>
                      <w:u w:val="none"/>
                      <w:lang w:val="en-US" w:eastAsia="zh-CN"/>
                    </w:rPr>
                    <w:t>35</w:t>
                  </w:r>
                </w:p>
              </w:tc>
            </w:tr>
            <w:tr w14:paraId="2339F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0244DA4B">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default" w:ascii="Times New Roman" w:hAnsi="Times New Roman" w:cs="Times New Roman"/>
                    </w:rPr>
                    <w:t>超标率/%</w:t>
                  </w:r>
                </w:p>
              </w:tc>
              <w:tc>
                <w:tcPr>
                  <w:tcW w:w="1647" w:type="pct"/>
                  <w:tcBorders>
                    <w:tl2br w:val="nil"/>
                    <w:tr2bl w:val="nil"/>
                  </w:tcBorders>
                  <w:noWrap w:val="0"/>
                  <w:vAlign w:val="center"/>
                </w:tcPr>
                <w:p w14:paraId="32EFD0A9">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0</w:t>
                  </w:r>
                </w:p>
              </w:tc>
              <w:tc>
                <w:tcPr>
                  <w:tcW w:w="1648" w:type="pct"/>
                  <w:tcBorders>
                    <w:tl2br w:val="nil"/>
                    <w:tr2bl w:val="nil"/>
                  </w:tcBorders>
                  <w:noWrap w:val="0"/>
                  <w:vAlign w:val="center"/>
                </w:tcPr>
                <w:p w14:paraId="5930FFFE">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Times New Roman" w:hAnsi="Times New Roman" w:cs="Times New Roman"/>
                      <w:sz w:val="21"/>
                      <w:szCs w:val="21"/>
                      <w:u w:val="none"/>
                      <w:lang w:val="en-US" w:eastAsia="zh-CN"/>
                    </w:rPr>
                  </w:pPr>
                  <w:r>
                    <w:rPr>
                      <w:rFonts w:hint="eastAsia" w:ascii="Times New Roman" w:hAnsi="Times New Roman" w:cs="Times New Roman"/>
                      <w:sz w:val="21"/>
                      <w:szCs w:val="21"/>
                      <w:u w:val="none"/>
                      <w:lang w:val="en-US" w:eastAsia="zh-CN"/>
                    </w:rPr>
                    <w:t>0</w:t>
                  </w:r>
                </w:p>
              </w:tc>
            </w:tr>
            <w:tr w14:paraId="7CC0CA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0E2C6215">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Times New Roman" w:hAnsi="Times New Roman" w:eastAsia="宋体" w:cs="Times New Roman"/>
                      <w:kern w:val="2"/>
                      <w:sz w:val="21"/>
                      <w:szCs w:val="21"/>
                      <w:u w:val="none"/>
                      <w:lang w:val="en-US" w:eastAsia="zh-CN" w:bidi="ar-SA"/>
                    </w:rPr>
                  </w:pPr>
                  <w:r>
                    <w:rPr>
                      <w:rFonts w:hint="default" w:ascii="Times New Roman" w:hAnsi="Times New Roman" w:cs="Times New Roman"/>
                      <w:sz w:val="21"/>
                      <w:szCs w:val="21"/>
                      <w:u w:val="none"/>
                    </w:rPr>
                    <w:t>标准值</w:t>
                  </w:r>
                  <w:r>
                    <w:rPr>
                      <w:rFonts w:hint="eastAsia" w:ascii="Times New Roman" w:hAnsi="Times New Roman" w:cs="Times New Roman"/>
                      <w:sz w:val="21"/>
                      <w:szCs w:val="21"/>
                      <w:u w:val="none"/>
                      <w:lang w:val="en-US" w:eastAsia="zh-CN"/>
                    </w:rPr>
                    <w:t>/</w:t>
                  </w:r>
                  <w:r>
                    <w:rPr>
                      <w:rFonts w:hint="eastAsia" w:ascii="Times New Roman" w:hAnsi="Times New Roman" w:eastAsia="宋体" w:cs="Times New Roman"/>
                      <w:bCs/>
                      <w:color w:val="000000"/>
                      <w:sz w:val="21"/>
                      <w:szCs w:val="21"/>
                      <w:lang w:eastAsia="zh-CN"/>
                    </w:rPr>
                    <w:t>µ</w:t>
                  </w:r>
                  <w:r>
                    <w:rPr>
                      <w:rFonts w:hint="eastAsia" w:ascii="Times New Roman" w:hAnsi="Times New Roman" w:eastAsia="宋体" w:cs="Times New Roman"/>
                      <w:b w:val="0"/>
                      <w:bCs w:val="0"/>
                      <w:color w:val="000000"/>
                      <w:sz w:val="21"/>
                      <w:u w:val="none"/>
                    </w:rPr>
                    <w:t>g/m</w:t>
                  </w:r>
                  <w:r>
                    <w:rPr>
                      <w:rFonts w:hint="eastAsia" w:ascii="Times New Roman" w:hAnsi="Times New Roman" w:eastAsia="宋体" w:cs="Times New Roman"/>
                      <w:b w:val="0"/>
                      <w:bCs w:val="0"/>
                      <w:color w:val="000000"/>
                      <w:sz w:val="21"/>
                      <w:u w:val="none"/>
                      <w:vertAlign w:val="superscript"/>
                    </w:rPr>
                    <w:t>3</w:t>
                  </w:r>
                </w:p>
              </w:tc>
              <w:tc>
                <w:tcPr>
                  <w:tcW w:w="1647" w:type="pct"/>
                  <w:tcBorders>
                    <w:tl2br w:val="nil"/>
                    <w:tr2bl w:val="nil"/>
                  </w:tcBorders>
                  <w:noWrap w:val="0"/>
                  <w:vAlign w:val="center"/>
                </w:tcPr>
                <w:p w14:paraId="784DCAFD">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eastAsia="宋体" w:cs="Times New Roman"/>
                      <w:kern w:val="2"/>
                      <w:sz w:val="21"/>
                      <w:szCs w:val="21"/>
                      <w:u w:val="none"/>
                      <w:lang w:val="en-US" w:eastAsia="zh-CN" w:bidi="ar-SA"/>
                    </w:rPr>
                  </w:pPr>
                  <w:r>
                    <w:rPr>
                      <w:rFonts w:hint="eastAsia" w:ascii="Times New Roman" w:hAnsi="Times New Roman" w:cs="Times New Roman"/>
                      <w:sz w:val="21"/>
                      <w:szCs w:val="21"/>
                      <w:u w:val="none"/>
                      <w:lang w:val="en-US" w:eastAsia="zh-CN"/>
                    </w:rPr>
                    <w:t>300</w:t>
                  </w:r>
                </w:p>
              </w:tc>
              <w:tc>
                <w:tcPr>
                  <w:tcW w:w="1648" w:type="pct"/>
                  <w:tcBorders>
                    <w:tl2br w:val="nil"/>
                    <w:tr2bl w:val="nil"/>
                  </w:tcBorders>
                  <w:noWrap w:val="0"/>
                  <w:vAlign w:val="center"/>
                </w:tcPr>
                <w:p w14:paraId="7B59CD4D">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lang w:val="en-US" w:eastAsia="zh-CN"/>
                    </w:rPr>
                  </w:pPr>
                  <w:r>
                    <w:rPr>
                      <w:rFonts w:hint="eastAsia" w:ascii="Times New Roman" w:hAnsi="Times New Roman" w:cs="Times New Roman"/>
                      <w:sz w:val="21"/>
                      <w:szCs w:val="21"/>
                      <w:u w:val="none"/>
                      <w:lang w:val="en-US" w:eastAsia="zh-CN"/>
                    </w:rPr>
                    <w:t>200</w:t>
                  </w:r>
                </w:p>
              </w:tc>
            </w:tr>
            <w:tr w14:paraId="28F4F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4" w:type="pct"/>
                  <w:tcBorders>
                    <w:tl2br w:val="nil"/>
                    <w:tr2bl w:val="nil"/>
                  </w:tcBorders>
                  <w:noWrap w:val="0"/>
                  <w:vAlign w:val="center"/>
                </w:tcPr>
                <w:p w14:paraId="55D5CCBA">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default" w:ascii="Times New Roman" w:hAnsi="Times New Roman" w:cs="Times New Roman"/>
                      <w:sz w:val="21"/>
                      <w:szCs w:val="21"/>
                      <w:u w:val="none"/>
                    </w:rPr>
                    <w:t>达标评判</w:t>
                  </w:r>
                </w:p>
              </w:tc>
              <w:tc>
                <w:tcPr>
                  <w:tcW w:w="1647" w:type="pct"/>
                  <w:tcBorders>
                    <w:tl2br w:val="nil"/>
                    <w:tr2bl w:val="nil"/>
                  </w:tcBorders>
                  <w:noWrap w:val="0"/>
                  <w:vAlign w:val="center"/>
                </w:tcPr>
                <w:p w14:paraId="6BB8CBB4">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default" w:ascii="Times New Roman" w:hAnsi="Times New Roman" w:cs="Times New Roman"/>
                      <w:sz w:val="21"/>
                      <w:szCs w:val="21"/>
                      <w:u w:val="none"/>
                    </w:rPr>
                    <w:t>达标</w:t>
                  </w:r>
                </w:p>
              </w:tc>
              <w:tc>
                <w:tcPr>
                  <w:tcW w:w="1648" w:type="pct"/>
                  <w:tcBorders>
                    <w:tl2br w:val="nil"/>
                    <w:tr2bl w:val="nil"/>
                  </w:tcBorders>
                  <w:noWrap w:val="0"/>
                  <w:vAlign w:val="center"/>
                </w:tcPr>
                <w:p w14:paraId="250AB8DC">
                  <w:pPr>
                    <w:keepNext w:val="0"/>
                    <w:keepLines w:val="0"/>
                    <w:pageBreakBefore w:val="0"/>
                    <w:widowControl/>
                    <w:suppressLineNumbers w:val="0"/>
                    <w:tabs>
                      <w:tab w:val="left" w:pos="47"/>
                      <w:tab w:val="left" w:pos="188"/>
                    </w:tabs>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default" w:ascii="Times New Roman" w:hAnsi="Times New Roman" w:cs="Times New Roman"/>
                      <w:sz w:val="21"/>
                      <w:szCs w:val="21"/>
                      <w:u w:val="none"/>
                    </w:rPr>
                  </w:pPr>
                  <w:r>
                    <w:rPr>
                      <w:rFonts w:hint="default" w:ascii="Times New Roman" w:hAnsi="Times New Roman" w:cs="Times New Roman"/>
                      <w:sz w:val="21"/>
                      <w:szCs w:val="21"/>
                      <w:u w:val="none"/>
                    </w:rPr>
                    <w:t>达标</w:t>
                  </w:r>
                </w:p>
              </w:tc>
            </w:tr>
          </w:tbl>
          <w:p w14:paraId="653B52EC">
            <w:pPr>
              <w:pStyle w:val="9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color w:val="auto"/>
                <w:sz w:val="24"/>
              </w:rPr>
            </w:pPr>
            <w:r>
              <w:rPr>
                <w:rFonts w:hint="default" w:ascii="Times New Roman" w:hAnsi="Times New Roman" w:cs="Times New Roman"/>
                <w:color w:val="auto"/>
                <w:sz w:val="24"/>
              </w:rPr>
              <w:t>由上表可知，</w:t>
            </w:r>
            <w:r>
              <w:rPr>
                <w:rFonts w:hint="eastAsia" w:ascii="Times New Roman" w:hAnsi="Times New Roman" w:cs="Times New Roman"/>
                <w:color w:val="auto"/>
                <w:sz w:val="24"/>
                <w:lang w:val="en-US" w:eastAsia="zh-CN"/>
              </w:rPr>
              <w:t>项目所在区域</w:t>
            </w:r>
            <w:r>
              <w:rPr>
                <w:rFonts w:hint="eastAsia" w:ascii="Times New Roman" w:hAnsi="Times New Roman" w:eastAsia="宋体" w:cs="Times New Roman"/>
                <w:color w:val="auto"/>
                <w:sz w:val="24"/>
                <w:szCs w:val="24"/>
                <w:lang w:val="en-US" w:eastAsia="zh-CN"/>
              </w:rPr>
              <w:t>TSP</w:t>
            </w:r>
            <w:r>
              <w:rPr>
                <w:rFonts w:hint="default" w:ascii="Times New Roman" w:hAnsi="Times New Roman" w:cs="Times New Roman"/>
                <w:color w:val="auto"/>
                <w:sz w:val="24"/>
                <w:szCs w:val="24"/>
                <w:vertAlign w:val="baseline"/>
                <w:lang w:eastAsia="zh-CN"/>
              </w:rPr>
              <w:t>满足</w:t>
            </w:r>
            <w:r>
              <w:rPr>
                <w:rFonts w:hint="default" w:ascii="Times New Roman" w:hAnsi="Times New Roman" w:eastAsia="宋体" w:cs="Times New Roman"/>
                <w:color w:val="auto"/>
                <w:sz w:val="24"/>
                <w:szCs w:val="24"/>
              </w:rPr>
              <w:t>《环境空气质量标准》（GB3095-20</w:t>
            </w:r>
            <w:r>
              <w:rPr>
                <w:rFonts w:hint="eastAsia"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rPr>
              <w:t>）中的二级标准</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非甲烷总烃满足《大气污染物综合排放标准详解》中大气环境标准限值要求</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表明区域环境空气质量现状较好。</w:t>
            </w:r>
          </w:p>
          <w:p w14:paraId="7880F905">
            <w:pPr>
              <w:keepNext w:val="0"/>
              <w:keepLines w:val="0"/>
              <w:suppressLineNumbers w:val="0"/>
              <w:spacing w:before="0" w:beforeAutospacing="0" w:after="0" w:afterAutospacing="0" w:line="360" w:lineRule="auto"/>
              <w:ind w:left="0" w:right="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2、地表水环境</w:t>
            </w:r>
          </w:p>
          <w:p w14:paraId="4C7D70F2">
            <w:pPr>
              <w:keepNext w:val="0"/>
              <w:keepLines w:val="0"/>
              <w:suppressLineNumbers w:val="0"/>
              <w:spacing w:before="0" w:beforeAutospacing="0" w:after="0" w:afterAutospacing="0" w:line="360" w:lineRule="auto"/>
              <w:ind w:left="0" w:right="0" w:firstLine="480" w:firstLineChars="200"/>
              <w:rPr>
                <w:rStyle w:val="57"/>
                <w:rFonts w:hint="eastAsia" w:ascii="Times New Roman" w:hAnsi="Times New Roman" w:eastAsia="宋体" w:cs="Times New Roman"/>
                <w:color w:val="000000"/>
                <w:lang w:val="en-US" w:eastAsia="zh-CN"/>
              </w:rPr>
            </w:pPr>
            <w:r>
              <w:rPr>
                <w:rStyle w:val="57"/>
                <w:rFonts w:hint="eastAsia" w:ascii="Times New Roman" w:hAnsi="Times New Roman" w:eastAsia="宋体" w:cs="Times New Roman"/>
                <w:color w:val="000000"/>
                <w:lang w:val="en-US" w:eastAsia="zh-CN"/>
              </w:rPr>
              <w:t>根据永州市生态环境局发布的2025年1~12月的《环境质量状况通报》，永州市祁阳市地表水环境质量状况如下：</w:t>
            </w:r>
          </w:p>
          <w:p w14:paraId="3481A7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pacing w:val="0"/>
                <w:kern w:val="0"/>
                <w:sz w:val="21"/>
                <w:szCs w:val="21"/>
                <w:u w:val="none" w:color="auto"/>
              </w:rPr>
            </w:pPr>
            <w:r>
              <w:rPr>
                <w:rFonts w:hint="default" w:ascii="Times New Roman" w:hAnsi="Times New Roman" w:eastAsia="宋体" w:cs="Times New Roman"/>
                <w:b/>
                <w:bCs/>
                <w:color w:val="auto"/>
                <w:spacing w:val="0"/>
                <w:kern w:val="0"/>
                <w:sz w:val="21"/>
                <w:szCs w:val="21"/>
                <w:u w:val="none" w:color="auto"/>
              </w:rPr>
              <w:t>表3-</w:t>
            </w:r>
            <w:r>
              <w:rPr>
                <w:rFonts w:hint="eastAsia" w:cs="Times New Roman"/>
                <w:b/>
                <w:bCs/>
                <w:color w:val="auto"/>
                <w:spacing w:val="0"/>
                <w:kern w:val="0"/>
                <w:sz w:val="21"/>
                <w:szCs w:val="21"/>
                <w:u w:val="none" w:color="auto"/>
                <w:lang w:val="en-US" w:eastAsia="zh-CN"/>
              </w:rPr>
              <w:t>3</w:t>
            </w:r>
            <w:r>
              <w:rPr>
                <w:rFonts w:hint="default" w:ascii="Times New Roman" w:hAnsi="Times New Roman" w:eastAsia="宋体" w:cs="Times New Roman"/>
                <w:b/>
                <w:bCs/>
                <w:color w:val="auto"/>
                <w:spacing w:val="0"/>
                <w:kern w:val="0"/>
                <w:sz w:val="21"/>
                <w:szCs w:val="21"/>
                <w:u w:val="none" w:color="auto"/>
              </w:rPr>
              <w:t>地表水环境现状监测</w:t>
            </w:r>
            <w:r>
              <w:rPr>
                <w:rFonts w:hint="eastAsia" w:ascii="Times New Roman" w:hAnsi="Times New Roman" w:cs="Times New Roman"/>
                <w:b/>
                <w:bCs/>
                <w:color w:val="auto"/>
                <w:spacing w:val="0"/>
                <w:kern w:val="0"/>
                <w:sz w:val="21"/>
                <w:szCs w:val="21"/>
                <w:u w:val="none" w:color="auto"/>
                <w:lang w:eastAsia="zh-CN"/>
              </w:rPr>
              <w:t>统计</w:t>
            </w:r>
            <w:r>
              <w:rPr>
                <w:rFonts w:hint="default" w:ascii="Times New Roman" w:hAnsi="Times New Roman" w:eastAsia="宋体" w:cs="Times New Roman"/>
                <w:b/>
                <w:bCs/>
                <w:color w:val="auto"/>
                <w:spacing w:val="0"/>
                <w:kern w:val="0"/>
                <w:sz w:val="21"/>
                <w:szCs w:val="21"/>
                <w:u w:val="none" w:color="auto"/>
              </w:rPr>
              <w:t>结果</w:t>
            </w:r>
          </w:p>
          <w:tbl>
            <w:tblPr>
              <w:tblStyle w:val="126"/>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856"/>
              <w:gridCol w:w="2621"/>
              <w:gridCol w:w="2627"/>
              <w:gridCol w:w="1314"/>
            </w:tblGrid>
            <w:tr w14:paraId="259B8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vMerge w:val="restart"/>
                  <w:tcBorders>
                    <w:tl2br w:val="nil"/>
                    <w:tr2bl w:val="nil"/>
                  </w:tcBorders>
                  <w:noWrap w:val="0"/>
                  <w:vAlign w:val="center"/>
                </w:tcPr>
                <w:p w14:paraId="671BF3D6">
                  <w:pPr>
                    <w:spacing w:before="55" w:line="228" w:lineRule="auto"/>
                    <w:jc w:val="center"/>
                    <w:rPr>
                      <w:rFonts w:hint="default" w:ascii="Times New Roman" w:hAnsi="Times New Roman" w:eastAsia="宋体" w:cs="Times New Roman"/>
                      <w:b/>
                      <w:bCs/>
                      <w:sz w:val="21"/>
                      <w:szCs w:val="21"/>
                      <w:u w:val="none" w:color="auto"/>
                      <w:lang w:val="en-US" w:eastAsia="zh-CN"/>
                    </w:rPr>
                  </w:pPr>
                  <w:r>
                    <w:rPr>
                      <w:rFonts w:hint="eastAsia" w:ascii="Times New Roman" w:hAnsi="Times New Roman" w:eastAsia="宋体" w:cs="Times New Roman"/>
                      <w:b/>
                      <w:bCs/>
                      <w:sz w:val="21"/>
                      <w:szCs w:val="21"/>
                      <w:u w:val="none" w:color="auto"/>
                      <w:lang w:val="en-US" w:eastAsia="zh-CN"/>
                    </w:rPr>
                    <w:t>监测断面</w:t>
                  </w:r>
                </w:p>
              </w:tc>
              <w:tc>
                <w:tcPr>
                  <w:tcW w:w="1556" w:type="pct"/>
                  <w:tcBorders>
                    <w:tl2br w:val="nil"/>
                    <w:tr2bl w:val="nil"/>
                  </w:tcBorders>
                  <w:noWrap w:val="0"/>
                  <w:vAlign w:val="center"/>
                </w:tcPr>
                <w:p w14:paraId="6E60217D">
                  <w:pPr>
                    <w:spacing w:before="55" w:line="230" w:lineRule="auto"/>
                    <w:jc w:val="center"/>
                    <w:rPr>
                      <w:rFonts w:hint="eastAsia" w:ascii="Times New Roman" w:hAnsi="Times New Roman" w:eastAsia="宋体" w:cs="Times New Roman"/>
                      <w:b/>
                      <w:bCs/>
                      <w:sz w:val="21"/>
                      <w:szCs w:val="21"/>
                      <w:u w:val="none" w:color="auto"/>
                      <w:lang w:val="en-US" w:eastAsia="zh-CN"/>
                    </w:rPr>
                  </w:pPr>
                  <w:r>
                    <w:rPr>
                      <w:rFonts w:hint="eastAsia" w:ascii="Times New Roman" w:hAnsi="Times New Roman" w:eastAsia="宋体" w:cs="Times New Roman"/>
                      <w:b/>
                      <w:bCs/>
                      <w:sz w:val="21"/>
                      <w:szCs w:val="21"/>
                      <w:u w:val="none" w:color="auto"/>
                      <w:lang w:val="en-US" w:eastAsia="zh-CN"/>
                    </w:rPr>
                    <w:t>水质达标情况</w:t>
                  </w:r>
                </w:p>
              </w:tc>
              <w:tc>
                <w:tcPr>
                  <w:tcW w:w="1560" w:type="pct"/>
                  <w:vMerge w:val="restart"/>
                  <w:tcBorders>
                    <w:tl2br w:val="nil"/>
                    <w:tr2bl w:val="nil"/>
                  </w:tcBorders>
                  <w:noWrap w:val="0"/>
                  <w:vAlign w:val="center"/>
                </w:tcPr>
                <w:p w14:paraId="52823A6B">
                  <w:pPr>
                    <w:spacing w:before="55" w:line="230" w:lineRule="auto"/>
                    <w:jc w:val="center"/>
                    <w:rPr>
                      <w:rFonts w:hint="default" w:ascii="Times New Roman" w:hAnsi="Times New Roman" w:eastAsia="宋体" w:cs="Times New Roman"/>
                      <w:b/>
                      <w:bCs/>
                      <w:sz w:val="21"/>
                      <w:szCs w:val="21"/>
                      <w:u w:val="none" w:color="auto"/>
                      <w:lang w:val="en-US" w:eastAsia="zh-CN"/>
                    </w:rPr>
                  </w:pPr>
                  <w:r>
                    <w:rPr>
                      <w:rFonts w:hint="eastAsia" w:cs="Times New Roman"/>
                      <w:b/>
                      <w:bCs/>
                      <w:sz w:val="21"/>
                      <w:szCs w:val="21"/>
                      <w:u w:val="none" w:color="auto"/>
                      <w:lang w:val="en-US" w:eastAsia="zh-CN"/>
                    </w:rPr>
                    <w:t>所在河流</w:t>
                  </w:r>
                </w:p>
              </w:tc>
              <w:tc>
                <w:tcPr>
                  <w:tcW w:w="780" w:type="pct"/>
                  <w:vMerge w:val="restart"/>
                  <w:tcBorders>
                    <w:tl2br w:val="nil"/>
                    <w:tr2bl w:val="nil"/>
                  </w:tcBorders>
                  <w:noWrap w:val="0"/>
                  <w:vAlign w:val="center"/>
                </w:tcPr>
                <w:p w14:paraId="178E1EC5">
                  <w:pPr>
                    <w:spacing w:before="55" w:line="230" w:lineRule="auto"/>
                    <w:jc w:val="center"/>
                    <w:rPr>
                      <w:rFonts w:hint="default" w:ascii="Times New Roman" w:hAnsi="Times New Roman" w:eastAsia="宋体" w:cs="Times New Roman"/>
                      <w:b/>
                      <w:bCs/>
                      <w:sz w:val="21"/>
                      <w:szCs w:val="21"/>
                      <w:u w:val="none" w:color="auto"/>
                      <w:lang w:val="en-US" w:eastAsia="zh-CN"/>
                    </w:rPr>
                  </w:pPr>
                  <w:r>
                    <w:rPr>
                      <w:rFonts w:hint="eastAsia" w:cs="Times New Roman"/>
                      <w:b/>
                      <w:bCs/>
                      <w:sz w:val="21"/>
                      <w:szCs w:val="21"/>
                      <w:u w:val="none" w:color="auto"/>
                      <w:lang w:val="en-US" w:eastAsia="zh-CN"/>
                    </w:rPr>
                    <w:t>断面属性</w:t>
                  </w:r>
                </w:p>
              </w:tc>
            </w:tr>
            <w:tr w14:paraId="1ACF3C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vMerge w:val="continue"/>
                  <w:tcBorders>
                    <w:tl2br w:val="nil"/>
                    <w:tr2bl w:val="nil"/>
                  </w:tcBorders>
                  <w:noWrap w:val="0"/>
                  <w:vAlign w:val="center"/>
                </w:tcPr>
                <w:p w14:paraId="0E8C3AF4">
                  <w:pPr>
                    <w:spacing w:before="69" w:line="195" w:lineRule="auto"/>
                    <w:ind w:left="1401"/>
                    <w:jc w:val="left"/>
                    <w:rPr>
                      <w:rFonts w:ascii="Times New Roman" w:hAnsi="Times New Roman" w:eastAsia="宋体" w:cs="Times New Roman"/>
                      <w:sz w:val="21"/>
                      <w:szCs w:val="21"/>
                      <w:u w:val="none" w:color="auto"/>
                    </w:rPr>
                  </w:pPr>
                </w:p>
              </w:tc>
              <w:tc>
                <w:tcPr>
                  <w:tcW w:w="1556" w:type="pct"/>
                  <w:tcBorders>
                    <w:tl2br w:val="nil"/>
                    <w:tr2bl w:val="nil"/>
                  </w:tcBorders>
                  <w:noWrap w:val="0"/>
                  <w:vAlign w:val="center"/>
                </w:tcPr>
                <w:p w14:paraId="1592CA95">
                  <w:pPr>
                    <w:spacing w:before="34" w:line="228" w:lineRule="auto"/>
                    <w:jc w:val="center"/>
                    <w:rPr>
                      <w:rFonts w:hint="default" w:ascii="Times New Roman" w:hAnsi="Times New Roman" w:eastAsia="宋体" w:cs="Times New Roman"/>
                      <w:spacing w:val="3"/>
                      <w:sz w:val="21"/>
                      <w:szCs w:val="21"/>
                      <w:u w:val="none" w:color="auto"/>
                      <w:lang w:val="en-US" w:eastAsia="zh-CN"/>
                    </w:rPr>
                  </w:pPr>
                  <w:r>
                    <w:rPr>
                      <w:rFonts w:hint="eastAsia" w:cs="Times New Roman"/>
                      <w:spacing w:val="3"/>
                      <w:sz w:val="21"/>
                      <w:szCs w:val="21"/>
                      <w:u w:val="none" w:color="auto"/>
                      <w:lang w:val="en-US" w:eastAsia="zh-CN"/>
                    </w:rPr>
                    <w:t>2025年1-12月</w:t>
                  </w:r>
                </w:p>
              </w:tc>
              <w:tc>
                <w:tcPr>
                  <w:tcW w:w="1560" w:type="pct"/>
                  <w:vMerge w:val="continue"/>
                  <w:tcBorders>
                    <w:tl2br w:val="nil"/>
                    <w:tr2bl w:val="nil"/>
                  </w:tcBorders>
                  <w:noWrap w:val="0"/>
                  <w:vAlign w:val="center"/>
                </w:tcPr>
                <w:p w14:paraId="46F075C7">
                  <w:pPr>
                    <w:spacing w:before="34" w:line="228" w:lineRule="auto"/>
                    <w:jc w:val="center"/>
                    <w:rPr>
                      <w:rFonts w:hint="default" w:ascii="Times New Roman" w:hAnsi="Times New Roman" w:eastAsia="宋体" w:cs="Times New Roman"/>
                      <w:spacing w:val="3"/>
                      <w:sz w:val="21"/>
                      <w:szCs w:val="21"/>
                      <w:u w:val="none" w:color="auto"/>
                      <w:lang w:val="en-US"/>
                    </w:rPr>
                  </w:pPr>
                </w:p>
              </w:tc>
              <w:tc>
                <w:tcPr>
                  <w:tcW w:w="780" w:type="pct"/>
                  <w:vMerge w:val="continue"/>
                  <w:tcBorders>
                    <w:tl2br w:val="nil"/>
                    <w:tr2bl w:val="nil"/>
                  </w:tcBorders>
                  <w:noWrap w:val="0"/>
                  <w:vAlign w:val="center"/>
                </w:tcPr>
                <w:p w14:paraId="76C2F57F">
                  <w:pPr>
                    <w:spacing w:before="34" w:line="228" w:lineRule="auto"/>
                    <w:jc w:val="center"/>
                    <w:rPr>
                      <w:rFonts w:hint="default" w:ascii="Times New Roman" w:hAnsi="Times New Roman" w:eastAsia="宋体" w:cs="Times New Roman"/>
                      <w:spacing w:val="3"/>
                      <w:sz w:val="21"/>
                      <w:szCs w:val="21"/>
                      <w:u w:val="none" w:color="auto"/>
                      <w:lang w:val="en-US"/>
                    </w:rPr>
                  </w:pPr>
                </w:p>
              </w:tc>
            </w:tr>
            <w:tr w14:paraId="3C502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51ABD0EA">
                  <w:pPr>
                    <w:spacing w:before="34" w:line="228" w:lineRule="auto"/>
                    <w:jc w:val="center"/>
                    <w:rPr>
                      <w:rFonts w:hint="eastAsia"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归阳镇</w:t>
                  </w:r>
                </w:p>
              </w:tc>
              <w:tc>
                <w:tcPr>
                  <w:tcW w:w="1556" w:type="pct"/>
                  <w:tcBorders>
                    <w:tl2br w:val="nil"/>
                    <w:tr2bl w:val="nil"/>
                  </w:tcBorders>
                  <w:noWrap w:val="0"/>
                  <w:vAlign w:val="center"/>
                </w:tcPr>
                <w:p w14:paraId="3EFF72B8">
                  <w:pPr>
                    <w:spacing w:before="34" w:line="228" w:lineRule="auto"/>
                    <w:jc w:val="center"/>
                    <w:rPr>
                      <w:rFonts w:hint="default" w:ascii="Times New Roman" w:hAnsi="Times New Roman" w:eastAsia="宋体" w:cs="Times New Roman"/>
                      <w:sz w:val="21"/>
                      <w:szCs w:val="21"/>
                      <w:u w:val="none" w:color="auto"/>
                      <w:lang w:val="en-US" w:eastAsia="zh-CN"/>
                    </w:rPr>
                  </w:pPr>
                  <w:r>
                    <w:rPr>
                      <w:rFonts w:hint="default" w:ascii="Times New Roman" w:hAnsi="Times New Roman" w:eastAsia="宋体" w:cs="Times New Roman"/>
                      <w:caps w:val="0"/>
                      <w:sz w:val="24"/>
                      <w:szCs w:val="24"/>
                      <w:u w:val="none" w:color="auto"/>
                    </w:rPr>
                    <w:t>Ⅱ</w:t>
                  </w:r>
                </w:p>
              </w:tc>
              <w:tc>
                <w:tcPr>
                  <w:tcW w:w="1560" w:type="pct"/>
                  <w:tcBorders>
                    <w:tl2br w:val="nil"/>
                    <w:tr2bl w:val="nil"/>
                  </w:tcBorders>
                  <w:noWrap w:val="0"/>
                  <w:vAlign w:val="center"/>
                </w:tcPr>
                <w:p w14:paraId="771CDC48">
                  <w:pPr>
                    <w:spacing w:before="34" w:line="228" w:lineRule="auto"/>
                    <w:jc w:val="center"/>
                    <w:rPr>
                      <w:rFonts w:hint="eastAsia" w:ascii="Times New Roman" w:hAnsi="Times New Roman" w:eastAsia="宋体" w:cs="Times New Roman"/>
                      <w:sz w:val="21"/>
                      <w:szCs w:val="21"/>
                      <w:u w:val="none" w:color="auto"/>
                      <w:lang w:val="en-US" w:eastAsia="zh-CN"/>
                    </w:rPr>
                  </w:pPr>
                  <w:r>
                    <w:rPr>
                      <w:rFonts w:hint="eastAsia" w:cs="Times New Roman"/>
                      <w:caps w:val="0"/>
                      <w:sz w:val="24"/>
                      <w:szCs w:val="24"/>
                      <w:u w:val="none" w:color="auto"/>
                      <w:lang w:val="en-US" w:eastAsia="zh-CN"/>
                    </w:rPr>
                    <w:t>湘江</w:t>
                  </w:r>
                </w:p>
              </w:tc>
              <w:tc>
                <w:tcPr>
                  <w:tcW w:w="780" w:type="pct"/>
                  <w:tcBorders>
                    <w:tl2br w:val="nil"/>
                    <w:tr2bl w:val="nil"/>
                  </w:tcBorders>
                  <w:noWrap w:val="0"/>
                  <w:vAlign w:val="center"/>
                </w:tcPr>
                <w:p w14:paraId="1528F32D">
                  <w:pPr>
                    <w:spacing w:before="34" w:line="228" w:lineRule="auto"/>
                    <w:jc w:val="center"/>
                    <w:rPr>
                      <w:rFonts w:hint="eastAsia" w:ascii="Times New Roman" w:hAnsi="Times New Roman" w:eastAsia="宋体" w:cs="Times New Roman"/>
                      <w:sz w:val="21"/>
                      <w:szCs w:val="21"/>
                      <w:u w:val="none" w:color="auto"/>
                      <w:lang w:val="en-US" w:eastAsia="zh-CN"/>
                    </w:rPr>
                  </w:pPr>
                  <w:r>
                    <w:rPr>
                      <w:rFonts w:hint="eastAsia" w:cs="Times New Roman"/>
                      <w:caps w:val="0"/>
                      <w:sz w:val="24"/>
                      <w:szCs w:val="24"/>
                      <w:u w:val="none" w:color="auto"/>
                      <w:lang w:val="en-US" w:eastAsia="zh-CN"/>
                    </w:rPr>
                    <w:t>国控</w:t>
                  </w:r>
                </w:p>
              </w:tc>
            </w:tr>
            <w:tr w14:paraId="44E7A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501C93AE">
                  <w:pPr>
                    <w:spacing w:before="34" w:line="228" w:lineRule="auto"/>
                    <w:jc w:val="center"/>
                    <w:rPr>
                      <w:rFonts w:hint="default" w:ascii="Times New Roman" w:hAnsi="Times New Roman" w:eastAsia="宋体" w:cs="Times New Roman"/>
                      <w:sz w:val="21"/>
                      <w:szCs w:val="21"/>
                      <w:u w:val="none" w:color="auto"/>
                      <w:lang w:val="en-US" w:eastAsia="zh-CN"/>
                    </w:rPr>
                  </w:pPr>
                  <w:r>
                    <w:rPr>
                      <w:rFonts w:hint="eastAsia" w:ascii="Times New Roman" w:hAnsi="Times New Roman" w:eastAsia="宋体" w:cs="Times New Roman"/>
                      <w:sz w:val="21"/>
                      <w:szCs w:val="21"/>
                      <w:u w:val="none" w:color="auto"/>
                      <w:lang w:val="en-US" w:eastAsia="zh-CN"/>
                    </w:rPr>
                    <w:t>浯溪水厂（杨梅岩）</w:t>
                  </w:r>
                </w:p>
              </w:tc>
              <w:tc>
                <w:tcPr>
                  <w:tcW w:w="1556" w:type="pct"/>
                  <w:tcBorders>
                    <w:tl2br w:val="nil"/>
                    <w:tr2bl w:val="nil"/>
                  </w:tcBorders>
                  <w:noWrap w:val="0"/>
                  <w:vAlign w:val="center"/>
                </w:tcPr>
                <w:p w14:paraId="3F03A536">
                  <w:pPr>
                    <w:spacing w:before="34" w:line="228" w:lineRule="auto"/>
                    <w:jc w:val="center"/>
                    <w:rPr>
                      <w:rFonts w:hint="eastAsia" w:ascii="Times New Roman" w:hAnsi="Times New Roman" w:eastAsia="宋体" w:cs="Times New Roman"/>
                      <w:sz w:val="21"/>
                      <w:szCs w:val="21"/>
                      <w:u w:val="none" w:color="auto"/>
                      <w:lang w:val="en-US" w:eastAsia="zh-CN"/>
                    </w:rPr>
                  </w:pPr>
                  <w:r>
                    <w:rPr>
                      <w:rFonts w:hint="default" w:ascii="Times New Roman" w:hAnsi="Times New Roman" w:eastAsia="宋体" w:cs="Times New Roman"/>
                      <w:caps w:val="0"/>
                      <w:sz w:val="24"/>
                      <w:szCs w:val="24"/>
                      <w:u w:val="none" w:color="auto"/>
                    </w:rPr>
                    <w:t>Ⅱ</w:t>
                  </w:r>
                </w:p>
              </w:tc>
              <w:tc>
                <w:tcPr>
                  <w:tcW w:w="1560" w:type="pct"/>
                  <w:tcBorders>
                    <w:tl2br w:val="nil"/>
                    <w:tr2bl w:val="nil"/>
                  </w:tcBorders>
                  <w:noWrap w:val="0"/>
                  <w:vAlign w:val="center"/>
                </w:tcPr>
                <w:p w14:paraId="294314C7">
                  <w:pPr>
                    <w:spacing w:before="34" w:line="228" w:lineRule="auto"/>
                    <w:jc w:val="center"/>
                    <w:rPr>
                      <w:rFonts w:hint="eastAsia" w:ascii="Times New Roman" w:hAnsi="Times New Roman" w:eastAsia="宋体" w:cs="Times New Roman"/>
                      <w:sz w:val="21"/>
                      <w:szCs w:val="21"/>
                      <w:u w:val="none" w:color="auto"/>
                      <w:lang w:val="en-US" w:eastAsia="zh-CN"/>
                    </w:rPr>
                  </w:pPr>
                  <w:r>
                    <w:rPr>
                      <w:rFonts w:hint="eastAsia" w:cs="Times New Roman"/>
                      <w:caps w:val="0"/>
                      <w:sz w:val="24"/>
                      <w:szCs w:val="24"/>
                      <w:u w:val="none" w:color="auto"/>
                      <w:lang w:val="en-US" w:eastAsia="zh-CN"/>
                    </w:rPr>
                    <w:t>湘江</w:t>
                  </w:r>
                </w:p>
              </w:tc>
              <w:tc>
                <w:tcPr>
                  <w:tcW w:w="780" w:type="pct"/>
                  <w:tcBorders>
                    <w:tl2br w:val="nil"/>
                    <w:tr2bl w:val="nil"/>
                  </w:tcBorders>
                  <w:noWrap w:val="0"/>
                  <w:vAlign w:val="center"/>
                </w:tcPr>
                <w:p w14:paraId="798FFB14">
                  <w:pPr>
                    <w:spacing w:before="34" w:line="228" w:lineRule="auto"/>
                    <w:jc w:val="center"/>
                    <w:rPr>
                      <w:rFonts w:hint="eastAsia" w:ascii="Times New Roman" w:hAnsi="Times New Roman" w:eastAsia="宋体" w:cs="Times New Roman"/>
                      <w:sz w:val="21"/>
                      <w:szCs w:val="21"/>
                      <w:u w:val="none" w:color="auto"/>
                      <w:lang w:val="en-US" w:eastAsia="zh-CN"/>
                    </w:rPr>
                  </w:pPr>
                  <w:r>
                    <w:rPr>
                      <w:rFonts w:hint="eastAsia" w:cs="Times New Roman"/>
                      <w:caps w:val="0"/>
                      <w:sz w:val="24"/>
                      <w:szCs w:val="24"/>
                      <w:u w:val="none" w:color="auto"/>
                      <w:lang w:val="en-US" w:eastAsia="zh-CN"/>
                    </w:rPr>
                    <w:t>省控</w:t>
                  </w:r>
                </w:p>
              </w:tc>
            </w:tr>
            <w:tr w14:paraId="1DF827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69247757">
                  <w:pPr>
                    <w:spacing w:before="34" w:line="228" w:lineRule="auto"/>
                    <w:jc w:val="center"/>
                    <w:rPr>
                      <w:rFonts w:hint="default" w:ascii="Times New Roman" w:hAnsi="Times New Roman" w:eastAsia="宋体" w:cs="Times New Roman"/>
                      <w:sz w:val="21"/>
                      <w:szCs w:val="21"/>
                      <w:u w:val="none" w:color="auto"/>
                      <w:lang w:val="en-US" w:eastAsia="zh-CN"/>
                    </w:rPr>
                  </w:pPr>
                  <w:r>
                    <w:rPr>
                      <w:rFonts w:hint="eastAsia" w:cs="Times New Roman"/>
                      <w:sz w:val="21"/>
                      <w:szCs w:val="21"/>
                      <w:u w:val="none" w:color="auto"/>
                      <w:lang w:val="en-US" w:eastAsia="zh-CN"/>
                    </w:rPr>
                    <w:t>祁阳观音滩</w:t>
                  </w:r>
                </w:p>
              </w:tc>
              <w:tc>
                <w:tcPr>
                  <w:tcW w:w="2434" w:type="dxa"/>
                  <w:tcBorders>
                    <w:tl2br w:val="nil"/>
                    <w:tr2bl w:val="nil"/>
                  </w:tcBorders>
                  <w:noWrap w:val="0"/>
                  <w:vAlign w:val="center"/>
                </w:tcPr>
                <w:p w14:paraId="2E709A02">
                  <w:pPr>
                    <w:spacing w:before="34" w:line="228" w:lineRule="auto"/>
                    <w:jc w:val="center"/>
                    <w:rPr>
                      <w:rFonts w:hint="default" w:ascii="Times New Roman" w:hAnsi="Times New Roman" w:eastAsia="宋体" w:cs="Times New Roman"/>
                      <w:caps w:val="0"/>
                      <w:sz w:val="24"/>
                      <w:szCs w:val="24"/>
                      <w:u w:val="none" w:color="auto"/>
                    </w:rPr>
                  </w:pPr>
                  <w:r>
                    <w:rPr>
                      <w:rFonts w:hint="default" w:ascii="Times New Roman" w:hAnsi="Times New Roman" w:eastAsia="宋体" w:cs="Times New Roman"/>
                      <w:caps w:val="0"/>
                      <w:sz w:val="24"/>
                      <w:szCs w:val="24"/>
                      <w:u w:val="none" w:color="auto"/>
                    </w:rPr>
                    <w:t>Ⅱ</w:t>
                  </w:r>
                </w:p>
              </w:tc>
              <w:tc>
                <w:tcPr>
                  <w:tcW w:w="2440" w:type="dxa"/>
                  <w:tcBorders>
                    <w:tl2br w:val="nil"/>
                    <w:tr2bl w:val="nil"/>
                  </w:tcBorders>
                  <w:noWrap w:val="0"/>
                  <w:vAlign w:val="center"/>
                </w:tcPr>
                <w:p w14:paraId="380A96B3">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湘江</w:t>
                  </w:r>
                </w:p>
              </w:tc>
              <w:tc>
                <w:tcPr>
                  <w:tcW w:w="1220" w:type="dxa"/>
                  <w:tcBorders>
                    <w:tl2br w:val="nil"/>
                    <w:tr2bl w:val="nil"/>
                  </w:tcBorders>
                  <w:noWrap w:val="0"/>
                  <w:vAlign w:val="center"/>
                </w:tcPr>
                <w:p w14:paraId="3C51E219">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省控</w:t>
                  </w:r>
                </w:p>
              </w:tc>
            </w:tr>
            <w:tr w14:paraId="211EFE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7F59770E">
                  <w:pPr>
                    <w:spacing w:before="34" w:line="228" w:lineRule="auto"/>
                    <w:jc w:val="center"/>
                    <w:rPr>
                      <w:rFonts w:hint="default" w:cs="Times New Roman"/>
                      <w:sz w:val="21"/>
                      <w:szCs w:val="21"/>
                      <w:u w:val="none" w:color="auto"/>
                      <w:lang w:val="en-US" w:eastAsia="zh-CN"/>
                    </w:rPr>
                  </w:pPr>
                  <w:r>
                    <w:rPr>
                      <w:rFonts w:hint="eastAsia" w:cs="Times New Roman"/>
                      <w:sz w:val="21"/>
                      <w:szCs w:val="21"/>
                      <w:u w:val="none" w:color="auto"/>
                      <w:lang w:val="en-US" w:eastAsia="zh-CN"/>
                    </w:rPr>
                    <w:t>普济桥</w:t>
                  </w:r>
                </w:p>
              </w:tc>
              <w:tc>
                <w:tcPr>
                  <w:tcW w:w="2434" w:type="dxa"/>
                  <w:tcBorders>
                    <w:tl2br w:val="nil"/>
                    <w:tr2bl w:val="nil"/>
                  </w:tcBorders>
                  <w:noWrap w:val="0"/>
                  <w:vAlign w:val="center"/>
                </w:tcPr>
                <w:p w14:paraId="0D3A71A7">
                  <w:pPr>
                    <w:spacing w:before="34" w:line="228" w:lineRule="auto"/>
                    <w:jc w:val="center"/>
                    <w:rPr>
                      <w:rFonts w:hint="default" w:ascii="Times New Roman" w:hAnsi="Times New Roman" w:eastAsia="宋体" w:cs="Times New Roman"/>
                      <w:caps w:val="0"/>
                      <w:sz w:val="24"/>
                      <w:szCs w:val="24"/>
                      <w:u w:val="none" w:color="auto"/>
                    </w:rPr>
                  </w:pPr>
                  <w:r>
                    <w:rPr>
                      <w:rFonts w:hint="default" w:ascii="Times New Roman" w:hAnsi="Times New Roman" w:eastAsia="宋体" w:cs="Times New Roman"/>
                      <w:caps w:val="0"/>
                      <w:sz w:val="24"/>
                      <w:szCs w:val="24"/>
                      <w:u w:val="none" w:color="auto"/>
                    </w:rPr>
                    <w:t>Ⅱ</w:t>
                  </w:r>
                </w:p>
              </w:tc>
              <w:tc>
                <w:tcPr>
                  <w:tcW w:w="2440" w:type="dxa"/>
                  <w:tcBorders>
                    <w:tl2br w:val="nil"/>
                    <w:tr2bl w:val="nil"/>
                  </w:tcBorders>
                  <w:noWrap w:val="0"/>
                  <w:vAlign w:val="center"/>
                </w:tcPr>
                <w:p w14:paraId="0558E855">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湘江</w:t>
                  </w:r>
                </w:p>
              </w:tc>
              <w:tc>
                <w:tcPr>
                  <w:tcW w:w="1220" w:type="dxa"/>
                  <w:tcBorders>
                    <w:tl2br w:val="nil"/>
                    <w:tr2bl w:val="nil"/>
                  </w:tcBorders>
                  <w:noWrap w:val="0"/>
                  <w:vAlign w:val="center"/>
                </w:tcPr>
                <w:p w14:paraId="09DE4BBE">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省控</w:t>
                  </w:r>
                </w:p>
              </w:tc>
            </w:tr>
            <w:tr w14:paraId="5008F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584507FA">
                  <w:pPr>
                    <w:spacing w:before="34" w:line="228" w:lineRule="auto"/>
                    <w:jc w:val="center"/>
                    <w:rPr>
                      <w:rFonts w:hint="default" w:cs="Times New Roman"/>
                      <w:sz w:val="21"/>
                      <w:szCs w:val="21"/>
                      <w:u w:val="none" w:color="auto"/>
                      <w:lang w:val="en-US" w:eastAsia="zh-CN"/>
                    </w:rPr>
                  </w:pPr>
                  <w:r>
                    <w:rPr>
                      <w:rFonts w:hint="eastAsia" w:cs="Times New Roman"/>
                      <w:sz w:val="21"/>
                      <w:szCs w:val="21"/>
                      <w:u w:val="none" w:color="auto"/>
                      <w:lang w:val="en-US" w:eastAsia="zh-CN"/>
                    </w:rPr>
                    <w:t>祁水入湘江口</w:t>
                  </w:r>
                </w:p>
              </w:tc>
              <w:tc>
                <w:tcPr>
                  <w:tcW w:w="2434" w:type="dxa"/>
                  <w:tcBorders>
                    <w:tl2br w:val="nil"/>
                    <w:tr2bl w:val="nil"/>
                  </w:tcBorders>
                  <w:noWrap w:val="0"/>
                  <w:vAlign w:val="center"/>
                </w:tcPr>
                <w:p w14:paraId="50D6A2B8">
                  <w:pPr>
                    <w:spacing w:before="34" w:line="228" w:lineRule="auto"/>
                    <w:jc w:val="center"/>
                    <w:rPr>
                      <w:rFonts w:hint="default" w:ascii="Times New Roman" w:hAnsi="Times New Roman" w:eastAsia="宋体" w:cs="Times New Roman"/>
                      <w:caps w:val="0"/>
                      <w:sz w:val="24"/>
                      <w:szCs w:val="24"/>
                      <w:u w:val="none" w:color="auto"/>
                    </w:rPr>
                  </w:pPr>
                  <w:r>
                    <w:rPr>
                      <w:rFonts w:hint="default" w:ascii="Times New Roman" w:hAnsi="Times New Roman" w:eastAsia="宋体" w:cs="Times New Roman"/>
                      <w:caps w:val="0"/>
                      <w:sz w:val="24"/>
                      <w:szCs w:val="24"/>
                      <w:u w:val="none" w:color="auto"/>
                    </w:rPr>
                    <w:t>Ⅱ</w:t>
                  </w:r>
                </w:p>
              </w:tc>
              <w:tc>
                <w:tcPr>
                  <w:tcW w:w="2440" w:type="dxa"/>
                  <w:tcBorders>
                    <w:tl2br w:val="nil"/>
                    <w:tr2bl w:val="nil"/>
                  </w:tcBorders>
                  <w:noWrap w:val="0"/>
                  <w:vAlign w:val="center"/>
                </w:tcPr>
                <w:p w14:paraId="023EA622">
                  <w:pPr>
                    <w:spacing w:before="34" w:line="228" w:lineRule="auto"/>
                    <w:jc w:val="center"/>
                    <w:rPr>
                      <w:rFonts w:hint="default" w:cs="Times New Roman"/>
                      <w:caps w:val="0"/>
                      <w:sz w:val="24"/>
                      <w:szCs w:val="24"/>
                      <w:u w:val="none" w:color="auto"/>
                      <w:lang w:val="en-US" w:eastAsia="zh-CN"/>
                    </w:rPr>
                  </w:pPr>
                  <w:r>
                    <w:rPr>
                      <w:rFonts w:hint="eastAsia" w:cs="Times New Roman"/>
                      <w:caps w:val="0"/>
                      <w:sz w:val="24"/>
                      <w:szCs w:val="24"/>
                      <w:u w:val="none" w:color="auto"/>
                      <w:lang w:val="en-US" w:eastAsia="zh-CN"/>
                    </w:rPr>
                    <w:t>祁水</w:t>
                  </w:r>
                </w:p>
              </w:tc>
              <w:tc>
                <w:tcPr>
                  <w:tcW w:w="1220" w:type="dxa"/>
                  <w:tcBorders>
                    <w:tl2br w:val="nil"/>
                    <w:tr2bl w:val="nil"/>
                  </w:tcBorders>
                  <w:noWrap w:val="0"/>
                  <w:vAlign w:val="center"/>
                </w:tcPr>
                <w:p w14:paraId="76145696">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省控</w:t>
                  </w:r>
                </w:p>
              </w:tc>
            </w:tr>
            <w:tr w14:paraId="7C4DB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102" w:type="pct"/>
                  <w:tcBorders>
                    <w:tl2br w:val="nil"/>
                    <w:tr2bl w:val="nil"/>
                  </w:tcBorders>
                  <w:noWrap w:val="0"/>
                  <w:vAlign w:val="center"/>
                </w:tcPr>
                <w:p w14:paraId="0989E9F1">
                  <w:pPr>
                    <w:spacing w:before="34" w:line="228" w:lineRule="auto"/>
                    <w:jc w:val="center"/>
                    <w:rPr>
                      <w:rFonts w:hint="default" w:cs="Times New Roman"/>
                      <w:sz w:val="21"/>
                      <w:szCs w:val="21"/>
                      <w:u w:val="none" w:color="auto"/>
                      <w:lang w:val="en-US" w:eastAsia="zh-CN"/>
                    </w:rPr>
                  </w:pPr>
                  <w:r>
                    <w:rPr>
                      <w:rFonts w:hint="eastAsia" w:cs="Times New Roman"/>
                      <w:sz w:val="21"/>
                      <w:szCs w:val="21"/>
                      <w:u w:val="none" w:color="auto"/>
                      <w:lang w:val="en-US" w:eastAsia="zh-CN"/>
                    </w:rPr>
                    <w:t>黄花河入湘江口</w:t>
                  </w:r>
                </w:p>
              </w:tc>
              <w:tc>
                <w:tcPr>
                  <w:tcW w:w="2434" w:type="dxa"/>
                  <w:tcBorders>
                    <w:tl2br w:val="nil"/>
                    <w:tr2bl w:val="nil"/>
                  </w:tcBorders>
                  <w:noWrap w:val="0"/>
                  <w:vAlign w:val="center"/>
                </w:tcPr>
                <w:p w14:paraId="45D79918">
                  <w:pPr>
                    <w:spacing w:before="34" w:line="228" w:lineRule="auto"/>
                    <w:jc w:val="center"/>
                    <w:rPr>
                      <w:rFonts w:hint="default" w:ascii="Times New Roman" w:hAnsi="Times New Roman" w:eastAsia="宋体" w:cs="Times New Roman"/>
                      <w:caps w:val="0"/>
                      <w:sz w:val="24"/>
                      <w:szCs w:val="24"/>
                      <w:u w:val="none" w:color="auto"/>
                    </w:rPr>
                  </w:pPr>
                  <w:r>
                    <w:rPr>
                      <w:rFonts w:hint="default" w:ascii="Times New Roman" w:hAnsi="Times New Roman" w:eastAsia="宋体" w:cs="Times New Roman"/>
                      <w:caps w:val="0"/>
                      <w:sz w:val="24"/>
                      <w:szCs w:val="24"/>
                      <w:u w:val="none" w:color="auto"/>
                    </w:rPr>
                    <w:t>Ⅱ</w:t>
                  </w:r>
                </w:p>
              </w:tc>
              <w:tc>
                <w:tcPr>
                  <w:tcW w:w="2440" w:type="dxa"/>
                  <w:tcBorders>
                    <w:tl2br w:val="nil"/>
                    <w:tr2bl w:val="nil"/>
                  </w:tcBorders>
                  <w:noWrap w:val="0"/>
                  <w:vAlign w:val="center"/>
                </w:tcPr>
                <w:p w14:paraId="176E2C33">
                  <w:pPr>
                    <w:spacing w:before="34" w:line="228" w:lineRule="auto"/>
                    <w:jc w:val="center"/>
                    <w:rPr>
                      <w:rFonts w:hint="default" w:cs="Times New Roman"/>
                      <w:caps w:val="0"/>
                      <w:sz w:val="24"/>
                      <w:szCs w:val="24"/>
                      <w:u w:val="none" w:color="auto"/>
                      <w:lang w:val="en-US" w:eastAsia="zh-CN"/>
                    </w:rPr>
                  </w:pPr>
                  <w:r>
                    <w:rPr>
                      <w:rFonts w:hint="eastAsia" w:cs="Times New Roman"/>
                      <w:caps w:val="0"/>
                      <w:sz w:val="24"/>
                      <w:szCs w:val="24"/>
                      <w:u w:val="none" w:color="auto"/>
                      <w:lang w:val="en-US" w:eastAsia="zh-CN"/>
                    </w:rPr>
                    <w:t>黄花河</w:t>
                  </w:r>
                </w:p>
              </w:tc>
              <w:tc>
                <w:tcPr>
                  <w:tcW w:w="1220" w:type="dxa"/>
                  <w:tcBorders>
                    <w:tl2br w:val="nil"/>
                    <w:tr2bl w:val="nil"/>
                  </w:tcBorders>
                  <w:noWrap w:val="0"/>
                  <w:vAlign w:val="center"/>
                </w:tcPr>
                <w:p w14:paraId="79B18797">
                  <w:pPr>
                    <w:spacing w:before="34" w:line="228" w:lineRule="auto"/>
                    <w:jc w:val="center"/>
                    <w:rPr>
                      <w:rFonts w:hint="eastAsia" w:cs="Times New Roman"/>
                      <w:caps w:val="0"/>
                      <w:sz w:val="24"/>
                      <w:szCs w:val="24"/>
                      <w:u w:val="none" w:color="auto"/>
                      <w:lang w:val="en-US" w:eastAsia="zh-CN"/>
                    </w:rPr>
                  </w:pPr>
                  <w:r>
                    <w:rPr>
                      <w:rFonts w:hint="eastAsia" w:cs="Times New Roman"/>
                      <w:caps w:val="0"/>
                      <w:sz w:val="24"/>
                      <w:szCs w:val="24"/>
                      <w:u w:val="none" w:color="auto"/>
                      <w:lang w:val="en-US" w:eastAsia="zh-CN"/>
                    </w:rPr>
                    <w:t>省控</w:t>
                  </w:r>
                </w:p>
              </w:tc>
            </w:tr>
          </w:tbl>
          <w:p w14:paraId="5621B2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highlight w:val="none"/>
                <w:u w:val="none" w:color="auto"/>
                <w:lang w:eastAsia="zh-CN"/>
              </w:rPr>
            </w:pPr>
            <w:r>
              <w:rPr>
                <w:rFonts w:hint="default" w:ascii="Times New Roman" w:hAnsi="Times New Roman" w:eastAsia="宋体" w:cs="Times New Roman"/>
                <w:color w:val="auto"/>
                <w:spacing w:val="0"/>
                <w:kern w:val="0"/>
                <w:sz w:val="24"/>
                <w:szCs w:val="24"/>
                <w:u w:val="none" w:color="auto"/>
              </w:rPr>
              <w:t>根据上表</w:t>
            </w:r>
            <w:r>
              <w:rPr>
                <w:rFonts w:hint="eastAsia" w:ascii="Times New Roman" w:hAnsi="Times New Roman" w:eastAsia="宋体" w:cs="Times New Roman"/>
                <w:color w:val="auto"/>
                <w:spacing w:val="0"/>
                <w:kern w:val="0"/>
                <w:sz w:val="24"/>
                <w:szCs w:val="24"/>
                <w:u w:val="none" w:color="auto"/>
                <w:lang w:val="en-US" w:eastAsia="zh-CN"/>
              </w:rPr>
              <w:t>统计</w:t>
            </w:r>
            <w:r>
              <w:rPr>
                <w:rFonts w:hint="default" w:ascii="Times New Roman" w:hAnsi="Times New Roman" w:eastAsia="宋体" w:cs="Times New Roman"/>
                <w:color w:val="auto"/>
                <w:spacing w:val="0"/>
                <w:kern w:val="0"/>
                <w:sz w:val="24"/>
                <w:szCs w:val="24"/>
                <w:u w:val="none" w:color="auto"/>
              </w:rPr>
              <w:t>结果，</w:t>
            </w:r>
            <w:r>
              <w:rPr>
                <w:rFonts w:hint="eastAsia" w:ascii="Times New Roman" w:hAnsi="Times New Roman" w:eastAsia="宋体" w:cs="Times New Roman"/>
                <w:b w:val="0"/>
                <w:bCs w:val="0"/>
                <w:snapToGrid w:val="0"/>
                <w:color w:val="000000"/>
                <w:spacing w:val="11"/>
                <w:kern w:val="0"/>
                <w:sz w:val="24"/>
                <w:szCs w:val="24"/>
                <w:u w:val="none" w:color="auto"/>
                <w:lang w:val="en-US" w:eastAsia="zh-CN"/>
              </w:rPr>
              <w:t>项目所在区域</w:t>
            </w:r>
            <w:r>
              <w:rPr>
                <w:rFonts w:hint="eastAsia" w:ascii="Times New Roman" w:hAnsi="Times New Roman" w:cs="Times New Roman"/>
                <w:b w:val="0"/>
                <w:bCs w:val="0"/>
                <w:snapToGrid w:val="0"/>
                <w:color w:val="000000"/>
                <w:spacing w:val="11"/>
                <w:kern w:val="0"/>
                <w:sz w:val="24"/>
                <w:szCs w:val="24"/>
                <w:u w:val="none" w:color="auto"/>
                <w:lang w:val="en-US" w:eastAsia="zh-CN"/>
              </w:rPr>
              <w:t>祁阳市地表水监测</w:t>
            </w:r>
            <w:r>
              <w:rPr>
                <w:rFonts w:hint="eastAsia" w:ascii="Times New Roman" w:hAnsi="Times New Roman" w:cs="Times New Roman"/>
                <w:color w:val="auto"/>
                <w:spacing w:val="0"/>
                <w:kern w:val="0"/>
                <w:sz w:val="24"/>
                <w:szCs w:val="24"/>
                <w:u w:val="none" w:color="auto"/>
                <w:lang w:val="en-US" w:eastAsia="zh-CN"/>
              </w:rPr>
              <w:t>断面</w:t>
            </w:r>
            <w:r>
              <w:rPr>
                <w:rFonts w:hint="default" w:ascii="Times New Roman" w:hAnsi="Times New Roman" w:eastAsia="宋体" w:cs="Times New Roman"/>
                <w:color w:val="auto"/>
                <w:spacing w:val="0"/>
                <w:kern w:val="0"/>
                <w:sz w:val="24"/>
                <w:szCs w:val="24"/>
                <w:u w:val="none" w:color="auto"/>
              </w:rPr>
              <w:t>水质</w:t>
            </w:r>
            <w:r>
              <w:rPr>
                <w:rFonts w:hint="eastAsia" w:ascii="Times New Roman" w:hAnsi="Times New Roman" w:eastAsia="宋体" w:cs="Times New Roman"/>
                <w:color w:val="auto"/>
                <w:spacing w:val="0"/>
                <w:kern w:val="0"/>
                <w:sz w:val="24"/>
                <w:szCs w:val="24"/>
                <w:u w:val="none" w:color="auto"/>
                <w:lang w:val="en-US" w:eastAsia="zh-CN"/>
              </w:rPr>
              <w:t>均</w:t>
            </w:r>
            <w:r>
              <w:rPr>
                <w:rFonts w:hint="default" w:ascii="Times New Roman" w:hAnsi="Times New Roman" w:eastAsia="宋体" w:cs="Times New Roman"/>
                <w:color w:val="auto"/>
                <w:spacing w:val="0"/>
                <w:kern w:val="0"/>
                <w:sz w:val="24"/>
                <w:szCs w:val="24"/>
                <w:u w:val="none" w:color="auto"/>
              </w:rPr>
              <w:t>能达到《地表水环境质量标准》（GB3838-2002）III类水质要求，区域地表水环境质量现状</w:t>
            </w:r>
            <w:r>
              <w:rPr>
                <w:rFonts w:hint="eastAsia" w:ascii="Times New Roman" w:hAnsi="Times New Roman" w:cs="Times New Roman"/>
                <w:color w:val="auto"/>
                <w:spacing w:val="0"/>
                <w:kern w:val="0"/>
                <w:sz w:val="24"/>
                <w:szCs w:val="24"/>
                <w:u w:val="none" w:color="auto"/>
                <w:lang w:val="en-US" w:eastAsia="zh-CN"/>
              </w:rPr>
              <w:t>良</w:t>
            </w:r>
            <w:r>
              <w:rPr>
                <w:rFonts w:hint="default" w:ascii="Times New Roman" w:hAnsi="Times New Roman" w:eastAsia="宋体" w:cs="Times New Roman"/>
                <w:color w:val="auto"/>
                <w:spacing w:val="0"/>
                <w:kern w:val="0"/>
                <w:sz w:val="24"/>
                <w:szCs w:val="24"/>
                <w:u w:val="none" w:color="auto"/>
              </w:rPr>
              <w:t>好</w:t>
            </w:r>
            <w:r>
              <w:rPr>
                <w:rFonts w:hint="eastAsia" w:ascii="Times New Roman" w:hAnsi="Times New Roman" w:eastAsia="宋体" w:cs="Times New Roman"/>
                <w:color w:val="auto"/>
                <w:sz w:val="24"/>
                <w:szCs w:val="24"/>
                <w:highlight w:val="none"/>
                <w:u w:val="none" w:color="auto"/>
                <w:lang w:eastAsia="zh-CN"/>
              </w:rPr>
              <w:t>。</w:t>
            </w:r>
          </w:p>
          <w:p w14:paraId="6E921E2A">
            <w:pPr>
              <w:keepNext w:val="0"/>
              <w:keepLines w:val="0"/>
              <w:suppressLineNumbers w:val="0"/>
              <w:spacing w:before="0" w:beforeAutospacing="0" w:after="0" w:afterAutospacing="0" w:line="360" w:lineRule="auto"/>
              <w:ind w:left="0" w:right="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3、声环境</w:t>
            </w:r>
          </w:p>
          <w:p w14:paraId="6F9ED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highlight w:val="none"/>
                <w:u w:val="none" w:color="auto"/>
                <w:lang w:val="en-US" w:eastAsia="zh-CN"/>
              </w:rPr>
              <w:t>根据现场调查，本项目</w:t>
            </w:r>
            <w:r>
              <w:rPr>
                <w:rFonts w:hint="eastAsia" w:ascii="Times New Roman" w:hAnsi="Times New Roman" w:eastAsia="宋体" w:cs="Times New Roman"/>
                <w:color w:val="auto"/>
                <w:sz w:val="24"/>
                <w:highlight w:val="none"/>
                <w:u w:val="none" w:color="auto"/>
                <w:lang w:val="en-US" w:eastAsia="zh-CN"/>
              </w:rPr>
              <w:t>所在厂区的厂界外</w:t>
            </w:r>
            <w:r>
              <w:rPr>
                <w:rFonts w:hint="default" w:ascii="Times New Roman" w:hAnsi="Times New Roman" w:eastAsia="宋体" w:cs="Times New Roman"/>
                <w:color w:val="auto"/>
                <w:sz w:val="24"/>
                <w:highlight w:val="none"/>
                <w:u w:val="none" w:color="auto"/>
                <w:lang w:val="en-US" w:eastAsia="zh-CN"/>
              </w:rPr>
              <w:t>周围50m范围内</w:t>
            </w:r>
            <w:r>
              <w:rPr>
                <w:rFonts w:hint="eastAsia" w:cs="Times New Roman"/>
                <w:color w:val="auto"/>
                <w:sz w:val="24"/>
                <w:highlight w:val="none"/>
                <w:u w:val="none" w:color="auto"/>
                <w:lang w:val="en-US" w:eastAsia="zh-CN"/>
              </w:rPr>
              <w:t>不</w:t>
            </w:r>
            <w:r>
              <w:rPr>
                <w:rFonts w:hint="eastAsia" w:ascii="Times New Roman" w:hAnsi="Times New Roman" w:eastAsia="宋体" w:cs="Times New Roman"/>
                <w:color w:val="auto"/>
                <w:sz w:val="24"/>
                <w:highlight w:val="none"/>
                <w:u w:val="none" w:color="auto"/>
                <w:lang w:val="en-US" w:eastAsia="zh-CN"/>
              </w:rPr>
              <w:t>存在声环境保护目标</w:t>
            </w:r>
            <w:r>
              <w:rPr>
                <w:rFonts w:hint="default" w:ascii="Times New Roman" w:hAnsi="Times New Roman" w:eastAsia="宋体" w:cs="Times New Roman"/>
                <w:color w:val="auto"/>
                <w:sz w:val="24"/>
                <w:highlight w:val="none"/>
                <w:u w:val="none" w:color="auto"/>
                <w:lang w:val="en-US" w:eastAsia="zh-CN"/>
              </w:rPr>
              <w:t>。</w:t>
            </w:r>
            <w:r>
              <w:rPr>
                <w:rFonts w:hint="eastAsia" w:ascii="Times New Roman" w:hAnsi="Times New Roman" w:eastAsia="宋体" w:cs="Times New Roman"/>
                <w:color w:val="auto"/>
                <w:sz w:val="24"/>
                <w:highlight w:val="none"/>
                <w:u w:val="none" w:color="auto"/>
                <w:lang w:val="en-US" w:eastAsia="zh-CN"/>
              </w:rPr>
              <w:t>根据《建设项目环境影响报告表编制技术指南（污染影响类）》（试行</w:t>
            </w:r>
            <w:r>
              <w:rPr>
                <w:rFonts w:hint="eastAsia" w:ascii="Times New Roman" w:hAnsi="Times New Roman" w:eastAsia="宋体" w:cs="Times New Roman"/>
                <w:color w:val="000000"/>
                <w:sz w:val="24"/>
                <w:highlight w:val="none"/>
                <w:u w:val="none" w:color="auto"/>
                <w:lang w:val="en-US" w:eastAsia="zh-CN"/>
              </w:rPr>
              <w:t>），应对厂界外周围50m范围内声环境保护目标进行噪声监测。因此，</w:t>
            </w:r>
            <w:r>
              <w:rPr>
                <w:rFonts w:hint="eastAsia" w:ascii="Times New Roman" w:hAnsi="Times New Roman" w:cs="Times New Roman"/>
                <w:color w:val="000000"/>
                <w:sz w:val="24"/>
                <w:highlight w:val="none"/>
                <w:u w:val="none" w:color="auto"/>
                <w:lang w:eastAsia="zh-CN"/>
              </w:rPr>
              <w:t>本次评价</w:t>
            </w:r>
            <w:r>
              <w:rPr>
                <w:rFonts w:hint="eastAsia" w:cs="Times New Roman"/>
                <w:color w:val="000000"/>
                <w:sz w:val="24"/>
                <w:highlight w:val="none"/>
                <w:u w:val="none" w:color="auto"/>
                <w:lang w:val="en-US" w:eastAsia="zh-CN"/>
              </w:rPr>
              <w:t>可不进行</w:t>
            </w:r>
            <w:r>
              <w:rPr>
                <w:rFonts w:hint="default" w:ascii="Times New Roman" w:hAnsi="Times New Roman" w:cs="Times New Roman"/>
                <w:color w:val="000000"/>
                <w:sz w:val="24"/>
                <w:szCs w:val="22"/>
              </w:rPr>
              <w:t>声环境现状监测。</w:t>
            </w:r>
          </w:p>
          <w:p w14:paraId="69812F2E">
            <w:pPr>
              <w:keepNext w:val="0"/>
              <w:keepLines w:val="0"/>
              <w:suppressLineNumbers w:val="0"/>
              <w:spacing w:before="0" w:beforeAutospacing="0" w:after="0" w:afterAutospacing="0" w:line="360" w:lineRule="auto"/>
              <w:ind w:left="0" w:right="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4、生态环境</w:t>
            </w:r>
          </w:p>
          <w:p w14:paraId="2AC32033">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u w:val="none"/>
              </w:rPr>
            </w:pPr>
            <w:r>
              <w:rPr>
                <w:rFonts w:hint="default" w:ascii="Times New Roman" w:hAnsi="Times New Roman" w:cs="Times New Roman"/>
                <w:color w:val="auto"/>
                <w:sz w:val="24"/>
                <w:szCs w:val="22"/>
                <w:u w:val="none"/>
              </w:rPr>
              <w:t>根据生态环境部办公厅2020年12月24日印发的《</w:t>
            </w:r>
            <w:r>
              <w:rPr>
                <w:rFonts w:hint="default" w:ascii="Times New Roman" w:hAnsi="Times New Roman" w:cs="Times New Roman"/>
                <w:color w:val="auto"/>
                <w:sz w:val="24"/>
                <w:szCs w:val="22"/>
                <w:u w:val="none"/>
              </w:rPr>
              <w:fldChar w:fldCharType="begin"/>
            </w:r>
            <w:r>
              <w:rPr>
                <w:rFonts w:hint="default" w:ascii="Times New Roman" w:hAnsi="Times New Roman" w:cs="Times New Roman"/>
                <w:color w:val="auto"/>
                <w:sz w:val="24"/>
                <w:szCs w:val="22"/>
                <w:u w:val="none"/>
              </w:rPr>
              <w:instrText xml:space="preserve"> HYPERLINK "http://www.gepresearch.com/uploads/soft/210104/1_1746581341.pdf" \t "http://www.gepresearch.com/76/_blank" </w:instrText>
            </w:r>
            <w:r>
              <w:rPr>
                <w:rFonts w:hint="default" w:ascii="Times New Roman" w:hAnsi="Times New Roman" w:cs="Times New Roman"/>
                <w:color w:val="auto"/>
                <w:sz w:val="24"/>
                <w:szCs w:val="22"/>
                <w:u w:val="none"/>
              </w:rPr>
              <w:fldChar w:fldCharType="separate"/>
            </w:r>
            <w:r>
              <w:rPr>
                <w:rFonts w:hint="default" w:ascii="Times New Roman" w:hAnsi="Times New Roman" w:cs="Times New Roman"/>
                <w:color w:val="auto"/>
                <w:sz w:val="24"/>
                <w:szCs w:val="22"/>
                <w:u w:val="none"/>
              </w:rPr>
              <w:t>建设项目环境影响报告表编制技术指南（污染影响类）（试行）</w:t>
            </w:r>
            <w:r>
              <w:rPr>
                <w:rFonts w:hint="default" w:ascii="Times New Roman" w:hAnsi="Times New Roman" w:cs="Times New Roman"/>
                <w:color w:val="auto"/>
                <w:sz w:val="24"/>
                <w:szCs w:val="22"/>
                <w:u w:val="none"/>
              </w:rPr>
              <w:fldChar w:fldCharType="end"/>
            </w:r>
            <w:r>
              <w:rPr>
                <w:rFonts w:hint="default" w:ascii="Times New Roman" w:hAnsi="Times New Roman" w:cs="Times New Roman"/>
                <w:color w:val="auto"/>
                <w:sz w:val="24"/>
                <w:szCs w:val="22"/>
                <w:u w:val="none"/>
              </w:rPr>
              <w:t>》中具体编制要求“</w:t>
            </w:r>
            <w:r>
              <w:rPr>
                <w:rFonts w:hint="eastAsia" w:ascii="Times New Roman" w:hAnsi="Times New Roman" w:cs="Times New Roman"/>
                <w:color w:val="auto"/>
                <w:sz w:val="24"/>
                <w:u w:val="none"/>
              </w:rPr>
              <w:t>产业园区外建设项目新增用地且用地范围内含有生态环境敏感目标时，应进行生态调查</w:t>
            </w:r>
            <w:r>
              <w:rPr>
                <w:rFonts w:hint="default" w:ascii="Times New Roman" w:hAnsi="Times New Roman" w:cs="Times New Roman"/>
                <w:color w:val="auto"/>
                <w:sz w:val="24"/>
                <w:u w:val="none"/>
              </w:rPr>
              <w:t>。</w:t>
            </w:r>
            <w:r>
              <w:rPr>
                <w:rFonts w:hint="default" w:ascii="Times New Roman" w:hAnsi="Times New Roman" w:cs="Times New Roman"/>
                <w:color w:val="auto"/>
                <w:sz w:val="24"/>
                <w:szCs w:val="22"/>
                <w:u w:val="none"/>
              </w:rPr>
              <w:t>”</w:t>
            </w:r>
          </w:p>
          <w:p w14:paraId="630E0DFE">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w:t>
            </w:r>
            <w:r>
              <w:rPr>
                <w:rFonts w:hint="default" w:ascii="Times New Roman" w:hAnsi="Times New Roman" w:eastAsia="宋体"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位于工业园范围内</w:t>
            </w:r>
            <w:r>
              <w:rPr>
                <w:rFonts w:hint="default" w:ascii="Times New Roman" w:hAnsi="Times New Roman" w:eastAsia="宋体" w:cs="Times New Roman"/>
                <w:color w:val="auto"/>
                <w:sz w:val="24"/>
                <w:szCs w:val="24"/>
                <w:highlight w:val="none"/>
              </w:rPr>
              <w:t>，厂区范围内无生态环境保护目标，因此不需进行生态现状调查。</w:t>
            </w:r>
          </w:p>
          <w:p w14:paraId="0020CCB6">
            <w:pPr>
              <w:keepNext w:val="0"/>
              <w:keepLines w:val="0"/>
              <w:suppressLineNumbers w:val="0"/>
              <w:spacing w:before="0" w:beforeAutospacing="0" w:after="0" w:afterAutospacing="0" w:line="360" w:lineRule="auto"/>
              <w:ind w:left="0" w:right="0"/>
              <w:jc w:val="lef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5、地下水</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土壤</w:t>
            </w:r>
            <w:r>
              <w:rPr>
                <w:rFonts w:hint="default" w:ascii="Times New Roman" w:hAnsi="Times New Roman" w:cs="Times New Roman"/>
                <w:b/>
                <w:bCs/>
                <w:color w:val="auto"/>
                <w:sz w:val="24"/>
                <w:szCs w:val="24"/>
                <w:highlight w:val="none"/>
              </w:rPr>
              <w:t>环境</w:t>
            </w:r>
          </w:p>
          <w:p w14:paraId="33D6B4F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lang w:val="en-US" w:eastAsia="zh-CN"/>
              </w:rPr>
            </w:pPr>
            <w:r>
              <w:rPr>
                <w:rFonts w:hint="default" w:ascii="Times New Roman" w:hAnsi="Times New Roman" w:cs="Times New Roman"/>
                <w:color w:val="auto"/>
                <w:sz w:val="24"/>
                <w:szCs w:val="28"/>
                <w:highlight w:val="none"/>
              </w:rPr>
              <w:t>根据《建设项目环境影响报告表编制技术指南（污染影响类）（试行）》，原则上不开展环境质量现状调查，</w:t>
            </w:r>
            <w:r>
              <w:rPr>
                <w:rFonts w:hint="eastAsia" w:ascii="Times New Roman" w:hAnsi="Times New Roman" w:cs="Times New Roman"/>
                <w:color w:val="auto"/>
                <w:sz w:val="24"/>
                <w:highlight w:val="none"/>
                <w:lang w:val="en-US" w:eastAsia="zh-CN"/>
              </w:rPr>
              <w:t>本项目厂区危废间等将进行防腐防渗措施，因此</w:t>
            </w:r>
            <w:r>
              <w:rPr>
                <w:rFonts w:hint="default" w:ascii="Times New Roman" w:hAnsi="Times New Roman" w:cs="Times New Roman"/>
                <w:color w:val="auto"/>
                <w:spacing w:val="-9"/>
                <w:sz w:val="24"/>
                <w:highlight w:val="none"/>
              </w:rPr>
              <w:t>不存在土壤、地下水环境污染途径，不</w:t>
            </w:r>
            <w:r>
              <w:rPr>
                <w:rFonts w:hint="eastAsia" w:ascii="Times New Roman" w:hAnsi="Times New Roman" w:cs="Times New Roman"/>
                <w:color w:val="auto"/>
                <w:spacing w:val="-9"/>
                <w:sz w:val="24"/>
                <w:highlight w:val="none"/>
                <w:lang w:val="en-US" w:eastAsia="zh-CN"/>
              </w:rPr>
              <w:t>对</w:t>
            </w:r>
            <w:r>
              <w:rPr>
                <w:rFonts w:hint="default" w:ascii="Times New Roman" w:hAnsi="Times New Roman" w:cs="Times New Roman"/>
                <w:color w:val="auto"/>
                <w:spacing w:val="-9"/>
                <w:sz w:val="24"/>
                <w:highlight w:val="none"/>
              </w:rPr>
              <w:t>地下水、土壤环境质量</w:t>
            </w:r>
            <w:r>
              <w:rPr>
                <w:rFonts w:hint="eastAsia" w:ascii="Times New Roman" w:hAnsi="Times New Roman" w:cs="Times New Roman"/>
                <w:color w:val="auto"/>
                <w:spacing w:val="-9"/>
                <w:sz w:val="24"/>
                <w:highlight w:val="none"/>
                <w:lang w:val="en-US" w:eastAsia="zh-CN"/>
              </w:rPr>
              <w:t>做</w:t>
            </w:r>
            <w:r>
              <w:rPr>
                <w:rFonts w:hint="default" w:ascii="Times New Roman" w:hAnsi="Times New Roman" w:cs="Times New Roman"/>
                <w:color w:val="auto"/>
                <w:spacing w:val="-9"/>
                <w:sz w:val="24"/>
                <w:highlight w:val="none"/>
              </w:rPr>
              <w:t>现状监测</w:t>
            </w:r>
            <w:r>
              <w:rPr>
                <w:rFonts w:hint="default" w:ascii="Times New Roman" w:hAnsi="Times New Roman" w:cs="Times New Roman"/>
                <w:color w:val="auto"/>
                <w:sz w:val="24"/>
                <w:szCs w:val="28"/>
                <w:highlight w:val="none"/>
              </w:rPr>
              <w:t>。</w:t>
            </w:r>
          </w:p>
        </w:tc>
      </w:tr>
      <w:tr w14:paraId="02069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723" w:type="dxa"/>
            <w:noWrap w:val="0"/>
            <w:vAlign w:val="center"/>
          </w:tcPr>
          <w:p w14:paraId="234396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1C0F87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保护</w:t>
            </w:r>
          </w:p>
          <w:p w14:paraId="6F225E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目标</w:t>
            </w:r>
          </w:p>
        </w:tc>
        <w:tc>
          <w:tcPr>
            <w:tcW w:w="8338" w:type="dxa"/>
            <w:noWrap w:val="0"/>
            <w:vAlign w:val="center"/>
          </w:tcPr>
          <w:p w14:paraId="6D0F0CBA">
            <w:pPr>
              <w:pStyle w:val="2"/>
              <w:keepNext w:val="0"/>
              <w:keepLines w:val="0"/>
              <w:suppressLineNumbers w:val="0"/>
              <w:snapToGrid/>
              <w:spacing w:before="0" w:beforeAutospacing="0" w:after="0" w:afterAutospacing="0" w:line="360" w:lineRule="auto"/>
              <w:ind w:left="0" w:right="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1、大气环境</w:t>
            </w:r>
          </w:p>
          <w:p w14:paraId="6732D894">
            <w:pPr>
              <w:pStyle w:val="2"/>
              <w:keepNext w:val="0"/>
              <w:keepLines w:val="0"/>
              <w:suppressLineNumbers w:val="0"/>
              <w:snapToGrid/>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u w:val="none" w:color="auto"/>
              </w:rPr>
            </w:pPr>
            <w:r>
              <w:rPr>
                <w:rFonts w:hint="default" w:ascii="Times New Roman" w:hAnsi="Times New Roman" w:eastAsia="宋体" w:cs="Times New Roman"/>
                <w:color w:val="auto"/>
                <w:kern w:val="0"/>
                <w:sz w:val="24"/>
                <w:u w:val="none" w:color="auto"/>
                <w:lang w:val="en-US" w:eastAsia="zh-CN"/>
              </w:rPr>
              <w:t>根据现场实地踏勘结果，本项目</w:t>
            </w:r>
            <w:r>
              <w:rPr>
                <w:rFonts w:hint="eastAsia" w:ascii="Times New Roman" w:hAnsi="Times New Roman" w:eastAsia="宋体" w:cs="Times New Roman"/>
                <w:color w:val="auto"/>
                <w:kern w:val="0"/>
                <w:sz w:val="24"/>
                <w:u w:val="none" w:color="auto"/>
                <w:lang w:val="en-US" w:eastAsia="zh-CN"/>
              </w:rPr>
              <w:t>位于</w:t>
            </w:r>
            <w:r>
              <w:rPr>
                <w:rFonts w:hint="eastAsia" w:cs="Times New Roman"/>
                <w:color w:val="auto"/>
                <w:kern w:val="0"/>
                <w:sz w:val="24"/>
                <w:u w:val="none" w:color="auto"/>
                <w:lang w:val="en-US" w:eastAsia="zh-CN"/>
              </w:rPr>
              <w:t>祁阳高新技术产业开发区灯塔路152号祁阳五洲医药包装有限公司建设的二期联合厂房</w:t>
            </w:r>
            <w:r>
              <w:rPr>
                <w:rFonts w:hint="default" w:ascii="Times New Roman" w:hAnsi="Times New Roman" w:eastAsia="宋体" w:cs="Times New Roman"/>
                <w:color w:val="auto"/>
                <w:kern w:val="0"/>
                <w:sz w:val="24"/>
                <w:u w:val="none" w:color="auto"/>
                <w:lang w:val="en-US" w:eastAsia="zh-CN"/>
              </w:rPr>
              <w:t>，其主要</w:t>
            </w:r>
            <w:r>
              <w:rPr>
                <w:rFonts w:hint="eastAsia" w:ascii="Times New Roman" w:hAnsi="Times New Roman" w:eastAsia="宋体" w:cs="Times New Roman"/>
                <w:color w:val="auto"/>
                <w:kern w:val="0"/>
                <w:sz w:val="24"/>
                <w:u w:val="none" w:color="auto"/>
                <w:lang w:val="en-US" w:eastAsia="zh-CN"/>
              </w:rPr>
              <w:t>大气</w:t>
            </w:r>
            <w:r>
              <w:rPr>
                <w:rFonts w:hint="default" w:ascii="Times New Roman" w:hAnsi="Times New Roman" w:eastAsia="宋体" w:cs="Times New Roman"/>
                <w:color w:val="auto"/>
                <w:kern w:val="0"/>
                <w:sz w:val="24"/>
                <w:u w:val="none" w:color="auto"/>
                <w:lang w:val="en-US" w:eastAsia="zh-CN"/>
              </w:rPr>
              <w:t>环境保护目标见表3-</w:t>
            </w:r>
            <w:r>
              <w:rPr>
                <w:rFonts w:hint="eastAsia" w:ascii="Times New Roman" w:hAnsi="Times New Roman" w:eastAsia="宋体" w:cs="Times New Roman"/>
                <w:color w:val="auto"/>
                <w:kern w:val="0"/>
                <w:sz w:val="24"/>
                <w:u w:val="none" w:color="auto"/>
                <w:lang w:val="en-US" w:eastAsia="zh-CN"/>
              </w:rPr>
              <w:t>4</w:t>
            </w:r>
            <w:r>
              <w:rPr>
                <w:rFonts w:hint="default" w:ascii="Times New Roman" w:hAnsi="Times New Roman" w:eastAsia="宋体" w:cs="Times New Roman"/>
                <w:color w:val="auto"/>
                <w:kern w:val="0"/>
                <w:sz w:val="24"/>
                <w:u w:val="none" w:color="auto"/>
                <w:lang w:val="en-US" w:eastAsia="zh-CN"/>
              </w:rPr>
              <w:t>，项目周边环境保护目标图详见附图。</w:t>
            </w:r>
          </w:p>
          <w:p w14:paraId="69B6B231">
            <w:pPr>
              <w:pStyle w:val="2"/>
              <w:keepNext w:val="0"/>
              <w:keepLines w:val="0"/>
              <w:suppressLineNumbers w:val="0"/>
              <w:spacing w:beforeAutospacing="0" w:after="0" w:afterAutospacing="0"/>
              <w:ind w:left="0"/>
              <w:jc w:val="center"/>
              <w:rPr>
                <w:rFonts w:hint="default" w:ascii="Times New Roman" w:hAnsi="Times New Roman" w:eastAsia="宋体" w:cs="Times New Roman"/>
                <w:b/>
                <w:color w:val="auto"/>
                <w:spacing w:val="6"/>
                <w:sz w:val="21"/>
                <w:szCs w:val="21"/>
                <w:highlight w:val="none"/>
                <w:u w:val="none"/>
                <w:lang w:val="eu-ES"/>
              </w:rPr>
            </w:pPr>
            <w:r>
              <w:rPr>
                <w:rFonts w:hint="default" w:ascii="Times New Roman" w:hAnsi="Times New Roman" w:eastAsia="宋体" w:cs="Times New Roman"/>
                <w:b/>
                <w:color w:val="auto"/>
                <w:spacing w:val="6"/>
                <w:sz w:val="21"/>
                <w:szCs w:val="21"/>
                <w:highlight w:val="none"/>
                <w:u w:val="none"/>
                <w:lang w:val="eu-ES"/>
              </w:rPr>
              <w:t>表3-</w:t>
            </w:r>
            <w:r>
              <w:rPr>
                <w:rFonts w:hint="eastAsia" w:ascii="Times New Roman" w:hAnsi="Times New Roman" w:eastAsia="宋体" w:cs="Times New Roman"/>
                <w:b/>
                <w:color w:val="auto"/>
                <w:spacing w:val="6"/>
                <w:sz w:val="21"/>
                <w:szCs w:val="21"/>
                <w:highlight w:val="none"/>
                <w:u w:val="none"/>
                <w:lang w:val="en-US" w:eastAsia="zh-CN"/>
              </w:rPr>
              <w:t xml:space="preserve">4  </w:t>
            </w:r>
            <w:r>
              <w:rPr>
                <w:rFonts w:hint="default" w:ascii="Times New Roman" w:hAnsi="Times New Roman" w:eastAsia="宋体" w:cs="Times New Roman"/>
                <w:b/>
                <w:color w:val="auto"/>
                <w:spacing w:val="6"/>
                <w:sz w:val="21"/>
                <w:szCs w:val="21"/>
                <w:highlight w:val="none"/>
                <w:u w:val="none"/>
                <w:lang w:val="eu-ES"/>
              </w:rPr>
              <w:t>项目环境保护目标一览表</w:t>
            </w:r>
          </w:p>
          <w:tbl>
            <w:tblPr>
              <w:tblStyle w:val="44"/>
              <w:tblW w:w="842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324"/>
              <w:gridCol w:w="1083"/>
              <w:gridCol w:w="1111"/>
              <w:gridCol w:w="1167"/>
              <w:gridCol w:w="581"/>
              <w:gridCol w:w="968"/>
              <w:gridCol w:w="588"/>
              <w:gridCol w:w="862"/>
              <w:gridCol w:w="1737"/>
            </w:tblGrid>
            <w:tr w14:paraId="3505F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07" w:hRule="atLeast"/>
                <w:jc w:val="center"/>
              </w:trPr>
              <w:tc>
                <w:tcPr>
                  <w:tcW w:w="324" w:type="dxa"/>
                  <w:vMerge w:val="restart"/>
                  <w:tcBorders>
                    <w:tl2br w:val="nil"/>
                    <w:tr2bl w:val="nil"/>
                  </w:tcBorders>
                  <w:noWrap w:val="0"/>
                  <w:vAlign w:val="center"/>
                </w:tcPr>
                <w:p w14:paraId="13A96EA4">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类别</w:t>
                  </w:r>
                </w:p>
              </w:tc>
              <w:tc>
                <w:tcPr>
                  <w:tcW w:w="1083" w:type="dxa"/>
                  <w:vMerge w:val="restart"/>
                  <w:tcBorders>
                    <w:tl2br w:val="nil"/>
                    <w:tr2bl w:val="nil"/>
                  </w:tcBorders>
                  <w:noWrap w:val="0"/>
                  <w:vAlign w:val="center"/>
                </w:tcPr>
                <w:p w14:paraId="63074270">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名称</w:t>
                  </w:r>
                </w:p>
              </w:tc>
              <w:tc>
                <w:tcPr>
                  <w:tcW w:w="2278" w:type="dxa"/>
                  <w:gridSpan w:val="2"/>
                  <w:tcBorders>
                    <w:tl2br w:val="nil"/>
                    <w:tr2bl w:val="nil"/>
                  </w:tcBorders>
                  <w:noWrap w:val="0"/>
                  <w:vAlign w:val="center"/>
                </w:tcPr>
                <w:p w14:paraId="34F79A75">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坐标/°</w:t>
                  </w:r>
                </w:p>
              </w:tc>
              <w:tc>
                <w:tcPr>
                  <w:tcW w:w="581" w:type="dxa"/>
                  <w:vMerge w:val="restart"/>
                  <w:tcBorders>
                    <w:tl2br w:val="nil"/>
                    <w:tr2bl w:val="nil"/>
                  </w:tcBorders>
                  <w:noWrap w:val="0"/>
                  <w:vAlign w:val="center"/>
                </w:tcPr>
                <w:p w14:paraId="1CA1DDE3">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相对方位</w:t>
                  </w:r>
                </w:p>
              </w:tc>
              <w:tc>
                <w:tcPr>
                  <w:tcW w:w="968" w:type="dxa"/>
                  <w:vMerge w:val="restart"/>
                  <w:tcBorders>
                    <w:tl2br w:val="nil"/>
                    <w:tr2bl w:val="nil"/>
                  </w:tcBorders>
                  <w:noWrap w:val="0"/>
                  <w:vAlign w:val="center"/>
                </w:tcPr>
                <w:p w14:paraId="0A73E45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相对厂界距离/m</w:t>
                  </w:r>
                </w:p>
              </w:tc>
              <w:tc>
                <w:tcPr>
                  <w:tcW w:w="588" w:type="dxa"/>
                  <w:vMerge w:val="restart"/>
                  <w:tcBorders>
                    <w:tl2br w:val="nil"/>
                    <w:tr2bl w:val="nil"/>
                  </w:tcBorders>
                  <w:noWrap w:val="0"/>
                  <w:vAlign w:val="center"/>
                </w:tcPr>
                <w:p w14:paraId="3AA7F9B4">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主要功能</w:t>
                  </w:r>
                </w:p>
              </w:tc>
              <w:tc>
                <w:tcPr>
                  <w:tcW w:w="862" w:type="dxa"/>
                  <w:vMerge w:val="restart"/>
                  <w:tcBorders>
                    <w:tl2br w:val="nil"/>
                    <w:tr2bl w:val="nil"/>
                  </w:tcBorders>
                  <w:noWrap w:val="0"/>
                  <w:vAlign w:val="center"/>
                </w:tcPr>
                <w:p w14:paraId="304B0B8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规模</w:t>
                  </w:r>
                </w:p>
              </w:tc>
              <w:tc>
                <w:tcPr>
                  <w:tcW w:w="1737" w:type="dxa"/>
                  <w:vMerge w:val="restart"/>
                  <w:tcBorders>
                    <w:tl2br w:val="nil"/>
                    <w:tr2bl w:val="nil"/>
                  </w:tcBorders>
                  <w:noWrap w:val="0"/>
                  <w:vAlign w:val="center"/>
                </w:tcPr>
                <w:p w14:paraId="096C8A69">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保护级别</w:t>
                  </w:r>
                </w:p>
              </w:tc>
            </w:tr>
            <w:tr w14:paraId="766F8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07" w:hRule="atLeast"/>
                <w:jc w:val="center"/>
              </w:trPr>
              <w:tc>
                <w:tcPr>
                  <w:tcW w:w="324" w:type="dxa"/>
                  <w:vMerge w:val="continue"/>
                  <w:tcBorders>
                    <w:tl2br w:val="nil"/>
                    <w:tr2bl w:val="nil"/>
                  </w:tcBorders>
                  <w:noWrap w:val="0"/>
                  <w:vAlign w:val="center"/>
                </w:tcPr>
                <w:p w14:paraId="70FB063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vMerge w:val="continue"/>
                  <w:tcBorders>
                    <w:tl2br w:val="nil"/>
                    <w:tr2bl w:val="nil"/>
                  </w:tcBorders>
                  <w:noWrap w:val="0"/>
                  <w:vAlign w:val="center"/>
                </w:tcPr>
                <w:p w14:paraId="485E5C2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111" w:type="dxa"/>
                  <w:tcBorders>
                    <w:tl2br w:val="nil"/>
                    <w:tr2bl w:val="nil"/>
                  </w:tcBorders>
                  <w:noWrap w:val="0"/>
                  <w:vAlign w:val="center"/>
                </w:tcPr>
                <w:p w14:paraId="2E582C49">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经度</w:t>
                  </w:r>
                </w:p>
              </w:tc>
              <w:tc>
                <w:tcPr>
                  <w:tcW w:w="1167" w:type="dxa"/>
                  <w:tcBorders>
                    <w:tl2br w:val="nil"/>
                    <w:tr2bl w:val="nil"/>
                  </w:tcBorders>
                  <w:noWrap w:val="0"/>
                  <w:vAlign w:val="center"/>
                </w:tcPr>
                <w:p w14:paraId="23B54096">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纬度</w:t>
                  </w:r>
                </w:p>
              </w:tc>
              <w:tc>
                <w:tcPr>
                  <w:tcW w:w="581" w:type="dxa"/>
                  <w:vMerge w:val="continue"/>
                  <w:tcBorders>
                    <w:tl2br w:val="nil"/>
                    <w:tr2bl w:val="nil"/>
                  </w:tcBorders>
                  <w:noWrap w:val="0"/>
                  <w:vAlign w:val="center"/>
                </w:tcPr>
                <w:p w14:paraId="6EF170FE">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968" w:type="dxa"/>
                  <w:vMerge w:val="continue"/>
                  <w:tcBorders>
                    <w:tl2br w:val="nil"/>
                    <w:tr2bl w:val="nil"/>
                  </w:tcBorders>
                  <w:noWrap w:val="0"/>
                  <w:vAlign w:val="center"/>
                </w:tcPr>
                <w:p w14:paraId="208B86AC">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588" w:type="dxa"/>
                  <w:vMerge w:val="continue"/>
                  <w:tcBorders>
                    <w:tl2br w:val="nil"/>
                    <w:tr2bl w:val="nil"/>
                  </w:tcBorders>
                  <w:noWrap w:val="0"/>
                  <w:vAlign w:val="center"/>
                </w:tcPr>
                <w:p w14:paraId="2221580A">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862" w:type="dxa"/>
                  <w:vMerge w:val="continue"/>
                  <w:tcBorders>
                    <w:tl2br w:val="nil"/>
                    <w:tr2bl w:val="nil"/>
                  </w:tcBorders>
                  <w:noWrap w:val="0"/>
                  <w:vAlign w:val="center"/>
                </w:tcPr>
                <w:p w14:paraId="56E634BB">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737" w:type="dxa"/>
                  <w:vMerge w:val="continue"/>
                  <w:tcBorders>
                    <w:tl2br w:val="nil"/>
                    <w:tr2bl w:val="nil"/>
                  </w:tcBorders>
                  <w:noWrap w:val="0"/>
                  <w:vAlign w:val="center"/>
                </w:tcPr>
                <w:p w14:paraId="569FF51B">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4FD2E3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324" w:type="dxa"/>
                  <w:vMerge w:val="restart"/>
                  <w:tcBorders>
                    <w:tl2br w:val="nil"/>
                    <w:tr2bl w:val="nil"/>
                  </w:tcBorders>
                  <w:noWrap w:val="0"/>
                  <w:vAlign w:val="center"/>
                </w:tcPr>
                <w:p w14:paraId="0F9F6DE1">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大气环境</w:t>
                  </w:r>
                </w:p>
              </w:tc>
              <w:tc>
                <w:tcPr>
                  <w:tcW w:w="1083" w:type="dxa"/>
                  <w:tcBorders>
                    <w:tl2br w:val="nil"/>
                    <w:tr2bl w:val="nil"/>
                  </w:tcBorders>
                  <w:noWrap w:val="0"/>
                  <w:vAlign w:val="center"/>
                </w:tcPr>
                <w:p w14:paraId="5E121FDE">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凯俊</w:t>
                  </w:r>
                  <w:r>
                    <w:rPr>
                      <w:rFonts w:hint="default" w:ascii="Times New Roman" w:hAnsi="Times New Roman" w:cs="Times New Roman"/>
                      <w:color w:val="auto"/>
                      <w:u w:val="none"/>
                      <w:lang w:val="en-US" w:eastAsia="zh-CN"/>
                    </w:rPr>
                    <w:t>·</w:t>
                  </w:r>
                  <w:r>
                    <w:rPr>
                      <w:rFonts w:hint="eastAsia" w:cs="Times New Roman"/>
                      <w:color w:val="auto"/>
                      <w:u w:val="none"/>
                      <w:lang w:val="en-US" w:eastAsia="zh-CN"/>
                    </w:rPr>
                    <w:t>盛科城</w:t>
                  </w:r>
                </w:p>
              </w:tc>
              <w:tc>
                <w:tcPr>
                  <w:tcW w:w="1111" w:type="dxa"/>
                  <w:tcBorders>
                    <w:tl2br w:val="nil"/>
                    <w:tr2bl w:val="nil"/>
                  </w:tcBorders>
                  <w:noWrap w:val="0"/>
                  <w:vAlign w:val="center"/>
                </w:tcPr>
                <w:p w14:paraId="7D4BBA54">
                  <w:pPr>
                    <w:pStyle w:val="83"/>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111.851468</w:t>
                  </w:r>
                </w:p>
              </w:tc>
              <w:tc>
                <w:tcPr>
                  <w:tcW w:w="1167" w:type="dxa"/>
                  <w:tcBorders>
                    <w:tl2br w:val="nil"/>
                    <w:tr2bl w:val="nil"/>
                  </w:tcBorders>
                  <w:noWrap w:val="0"/>
                  <w:vAlign w:val="center"/>
                </w:tcPr>
                <w:p w14:paraId="6EAFD8DC">
                  <w:pPr>
                    <w:pStyle w:val="83"/>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26.550205</w:t>
                  </w:r>
                </w:p>
              </w:tc>
              <w:tc>
                <w:tcPr>
                  <w:tcW w:w="581" w:type="dxa"/>
                  <w:tcBorders>
                    <w:tl2br w:val="nil"/>
                    <w:tr2bl w:val="nil"/>
                  </w:tcBorders>
                  <w:noWrap w:val="0"/>
                  <w:vAlign w:val="center"/>
                </w:tcPr>
                <w:p w14:paraId="2B9D22E7">
                  <w:pPr>
                    <w:pStyle w:val="83"/>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西</w:t>
                  </w:r>
                  <w:r>
                    <w:rPr>
                      <w:rFonts w:hint="eastAsia" w:ascii="Times New Roman" w:hAnsi="Times New Roman" w:eastAsia="宋体" w:cs="Times New Roman"/>
                      <w:color w:val="auto"/>
                      <w:u w:val="none"/>
                      <w:lang w:val="en-US" w:eastAsia="zh-CN"/>
                    </w:rPr>
                    <w:t>侧</w:t>
                  </w:r>
                </w:p>
              </w:tc>
              <w:tc>
                <w:tcPr>
                  <w:tcW w:w="968" w:type="dxa"/>
                  <w:tcBorders>
                    <w:tl2br w:val="nil"/>
                    <w:tr2bl w:val="nil"/>
                  </w:tcBorders>
                  <w:noWrap w:val="0"/>
                  <w:vAlign w:val="center"/>
                </w:tcPr>
                <w:p w14:paraId="0A76F714">
                  <w:pPr>
                    <w:pStyle w:val="83"/>
                    <w:keepNext w:val="0"/>
                    <w:keepLines w:val="0"/>
                    <w:suppressLineNumbers w:val="0"/>
                    <w:bidi w:val="0"/>
                    <w:spacing w:before="0" w:beforeAutospacing="0" w:after="0" w:afterAutospacing="0" w:line="240" w:lineRule="auto"/>
                    <w:ind w:left="0" w:right="0"/>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158~418</w:t>
                  </w:r>
                </w:p>
              </w:tc>
              <w:tc>
                <w:tcPr>
                  <w:tcW w:w="588" w:type="dxa"/>
                  <w:tcBorders>
                    <w:tl2br w:val="nil"/>
                    <w:tr2bl w:val="nil"/>
                  </w:tcBorders>
                  <w:noWrap w:val="0"/>
                  <w:vAlign w:val="center"/>
                </w:tcPr>
                <w:p w14:paraId="1418913A">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1640A540">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1983</w:t>
                  </w:r>
                  <w:r>
                    <w:rPr>
                      <w:rFonts w:hint="default" w:ascii="Times New Roman" w:hAnsi="Times New Roman" w:eastAsia="宋体" w:cs="Times New Roman"/>
                      <w:color w:val="auto"/>
                      <w:u w:val="none"/>
                      <w:lang w:val="en-US" w:eastAsia="zh-CN"/>
                    </w:rPr>
                    <w:t xml:space="preserve"> 户、</w:t>
                  </w:r>
                  <w:r>
                    <w:rPr>
                      <w:rFonts w:hint="eastAsia" w:cs="Times New Roman"/>
                      <w:color w:val="auto"/>
                      <w:u w:val="none"/>
                      <w:lang w:val="en-US" w:eastAsia="zh-CN"/>
                    </w:rPr>
                    <w:t>600</w:t>
                  </w:r>
                  <w:r>
                    <w:rPr>
                      <w:rFonts w:hint="default" w:ascii="Times New Roman" w:hAnsi="Times New Roman" w:eastAsia="宋体" w:cs="Times New Roman"/>
                      <w:color w:val="auto"/>
                      <w:u w:val="none"/>
                      <w:lang w:val="en-US" w:eastAsia="zh-CN"/>
                    </w:rPr>
                    <w:t>0人</w:t>
                  </w:r>
                </w:p>
              </w:tc>
              <w:tc>
                <w:tcPr>
                  <w:tcW w:w="1737" w:type="dxa"/>
                  <w:vMerge w:val="restart"/>
                  <w:tcBorders>
                    <w:tl2br w:val="nil"/>
                    <w:tr2bl w:val="nil"/>
                  </w:tcBorders>
                  <w:noWrap w:val="0"/>
                  <w:vAlign w:val="center"/>
                </w:tcPr>
                <w:p w14:paraId="588FB16C">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《环境空气质量标准》（GB3095-20</w:t>
                  </w:r>
                  <w:r>
                    <w:rPr>
                      <w:rFonts w:hint="eastAsia" w:cs="Times New Roman"/>
                      <w:color w:val="auto"/>
                      <w:u w:val="none"/>
                      <w:lang w:val="en-US" w:eastAsia="zh-CN"/>
                    </w:rPr>
                    <w:t>26</w:t>
                  </w:r>
                  <w:r>
                    <w:rPr>
                      <w:rFonts w:hint="eastAsia" w:ascii="Times New Roman" w:hAnsi="Times New Roman" w:eastAsia="宋体" w:cs="Times New Roman"/>
                      <w:color w:val="auto"/>
                      <w:u w:val="none"/>
                      <w:lang w:val="en-US" w:eastAsia="zh-CN"/>
                    </w:rPr>
                    <w:t>）二类</w:t>
                  </w:r>
                </w:p>
              </w:tc>
            </w:tr>
            <w:tr w14:paraId="73996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324" w:type="dxa"/>
                  <w:vMerge w:val="continue"/>
                  <w:tcBorders>
                    <w:tl2br w:val="nil"/>
                    <w:tr2bl w:val="nil"/>
                  </w:tcBorders>
                  <w:noWrap w:val="0"/>
                  <w:vAlign w:val="center"/>
                </w:tcPr>
                <w:p w14:paraId="007EB6AD">
                  <w:pPr>
                    <w:pStyle w:val="83"/>
                    <w:keepNext w:val="0"/>
                    <w:keepLines w:val="0"/>
                    <w:suppressLineNumbers w:val="0"/>
                    <w:bidi w:val="0"/>
                    <w:spacing w:before="0" w:beforeAutospacing="0" w:after="0" w:afterAutospacing="0" w:line="240" w:lineRule="auto"/>
                    <w:ind w:left="0" w:right="0"/>
                    <w:rPr>
                      <w:rFonts w:hint="eastAsia"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2034BFDF">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cs="Times New Roman"/>
                      <w:color w:val="auto"/>
                      <w:kern w:val="0"/>
                      <w:u w:val="none"/>
                      <w:lang w:val="en-US" w:eastAsia="zh-CN"/>
                    </w:rPr>
                  </w:pPr>
                  <w:r>
                    <w:rPr>
                      <w:rFonts w:hint="eastAsia" w:cs="Times New Roman"/>
                      <w:color w:val="auto"/>
                      <w:kern w:val="0"/>
                      <w:u w:val="none"/>
                      <w:lang w:val="en-US" w:eastAsia="zh-CN"/>
                    </w:rPr>
                    <w:t>祁阳碧桂园</w:t>
                  </w:r>
                </w:p>
              </w:tc>
              <w:tc>
                <w:tcPr>
                  <w:tcW w:w="1111" w:type="dxa"/>
                  <w:tcBorders>
                    <w:tl2br w:val="nil"/>
                    <w:tr2bl w:val="nil"/>
                  </w:tcBorders>
                  <w:noWrap w:val="0"/>
                  <w:vAlign w:val="center"/>
                </w:tcPr>
                <w:p w14:paraId="4821D74E">
                  <w:pPr>
                    <w:pStyle w:val="83"/>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111.852817</w:t>
                  </w:r>
                </w:p>
              </w:tc>
              <w:tc>
                <w:tcPr>
                  <w:tcW w:w="1167" w:type="dxa"/>
                  <w:tcBorders>
                    <w:tl2br w:val="nil"/>
                    <w:tr2bl w:val="nil"/>
                  </w:tcBorders>
                  <w:noWrap w:val="0"/>
                  <w:vAlign w:val="center"/>
                </w:tcPr>
                <w:p w14:paraId="2E15FBA0">
                  <w:pPr>
                    <w:pStyle w:val="83"/>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26.547439</w:t>
                  </w:r>
                </w:p>
              </w:tc>
              <w:tc>
                <w:tcPr>
                  <w:tcW w:w="581" w:type="dxa"/>
                  <w:tcBorders>
                    <w:tl2br w:val="nil"/>
                    <w:tr2bl w:val="nil"/>
                  </w:tcBorders>
                  <w:noWrap w:val="0"/>
                  <w:vAlign w:val="center"/>
                </w:tcPr>
                <w:p w14:paraId="3D3C06DB">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南</w:t>
                  </w:r>
                  <w:r>
                    <w:rPr>
                      <w:rFonts w:hint="eastAsia" w:ascii="Times New Roman" w:hAnsi="Times New Roman" w:eastAsia="宋体" w:cs="Times New Roman"/>
                      <w:color w:val="auto"/>
                      <w:u w:val="none"/>
                      <w:lang w:val="en-US" w:eastAsia="zh-CN"/>
                    </w:rPr>
                    <w:t>侧</w:t>
                  </w:r>
                </w:p>
              </w:tc>
              <w:tc>
                <w:tcPr>
                  <w:tcW w:w="968" w:type="dxa"/>
                  <w:tcBorders>
                    <w:tl2br w:val="nil"/>
                    <w:tr2bl w:val="nil"/>
                  </w:tcBorders>
                  <w:noWrap w:val="0"/>
                  <w:vAlign w:val="center"/>
                </w:tcPr>
                <w:p w14:paraId="3DAC54BC">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55~366</w:t>
                  </w:r>
                </w:p>
              </w:tc>
              <w:tc>
                <w:tcPr>
                  <w:tcW w:w="588" w:type="dxa"/>
                  <w:tcBorders>
                    <w:tl2br w:val="nil"/>
                    <w:tr2bl w:val="nil"/>
                  </w:tcBorders>
                  <w:noWrap w:val="0"/>
                  <w:vAlign w:val="center"/>
                </w:tcPr>
                <w:p w14:paraId="6A71E99C">
                  <w:pPr>
                    <w:pStyle w:val="83"/>
                    <w:keepNext w:val="0"/>
                    <w:keepLines w:val="0"/>
                    <w:suppressLineNumbers w:val="0"/>
                    <w:bidi w:val="0"/>
                    <w:spacing w:before="0" w:beforeAutospacing="0" w:after="0" w:afterAutospacing="0" w:line="240" w:lineRule="auto"/>
                    <w:ind w:left="0" w:right="0" w:firstLine="0" w:firstLineChars="0"/>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2102B35D">
                  <w:pPr>
                    <w:pStyle w:val="83"/>
                    <w:keepNext w:val="0"/>
                    <w:keepLines w:val="0"/>
                    <w:suppressLineNumbers w:val="0"/>
                    <w:bidi w:val="0"/>
                    <w:spacing w:before="0" w:beforeAutospacing="0" w:after="0" w:afterAutospacing="0" w:line="240" w:lineRule="auto"/>
                    <w:ind w:left="0" w:right="0" w:firstLine="0" w:firstLineChars="0"/>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1</w:t>
                  </w:r>
                  <w:r>
                    <w:rPr>
                      <w:rFonts w:hint="eastAsia" w:cs="Times New Roman"/>
                      <w:color w:val="auto"/>
                      <w:u w:val="none"/>
                      <w:lang w:val="en-US" w:eastAsia="zh-CN"/>
                    </w:rPr>
                    <w:t>49</w:t>
                  </w:r>
                  <w:r>
                    <w:rPr>
                      <w:rFonts w:hint="eastAsia" w:ascii="Times New Roman" w:hAnsi="Times New Roman" w:eastAsia="宋体" w:cs="Times New Roman"/>
                      <w:color w:val="auto"/>
                      <w:u w:val="none"/>
                      <w:lang w:val="en-US" w:eastAsia="zh-CN"/>
                    </w:rPr>
                    <w:t>0 户、4</w:t>
                  </w:r>
                  <w:r>
                    <w:rPr>
                      <w:rFonts w:hint="eastAsia" w:cs="Times New Roman"/>
                      <w:color w:val="auto"/>
                      <w:u w:val="none"/>
                      <w:lang w:val="en-US" w:eastAsia="zh-CN"/>
                    </w:rPr>
                    <w:t>50</w:t>
                  </w:r>
                  <w:r>
                    <w:rPr>
                      <w:rFonts w:hint="eastAsia" w:ascii="Times New Roman" w:hAnsi="Times New Roman" w:eastAsia="宋体" w:cs="Times New Roman"/>
                      <w:color w:val="auto"/>
                      <w:u w:val="none"/>
                      <w:lang w:val="en-US" w:eastAsia="zh-CN"/>
                    </w:rPr>
                    <w:t>0 人</w:t>
                  </w:r>
                </w:p>
              </w:tc>
              <w:tc>
                <w:tcPr>
                  <w:tcW w:w="1737" w:type="dxa"/>
                  <w:vMerge w:val="continue"/>
                  <w:tcBorders>
                    <w:tl2br w:val="nil"/>
                    <w:tr2bl w:val="nil"/>
                  </w:tcBorders>
                  <w:noWrap w:val="0"/>
                  <w:vAlign w:val="center"/>
                </w:tcPr>
                <w:p w14:paraId="1F5BD09E">
                  <w:pPr>
                    <w:pStyle w:val="83"/>
                    <w:keepNext w:val="0"/>
                    <w:keepLines w:val="0"/>
                    <w:suppressLineNumbers w:val="0"/>
                    <w:bidi w:val="0"/>
                    <w:spacing w:before="0" w:beforeAutospacing="0" w:after="0" w:afterAutospacing="0" w:line="240" w:lineRule="auto"/>
                    <w:ind w:left="0" w:right="0"/>
                    <w:rPr>
                      <w:rFonts w:hint="eastAsia" w:ascii="Times New Roman" w:hAnsi="Times New Roman" w:eastAsia="宋体" w:cs="Times New Roman"/>
                      <w:color w:val="auto"/>
                      <w:u w:val="none"/>
                      <w:lang w:val="en-US" w:eastAsia="zh-CN"/>
                    </w:rPr>
                  </w:pPr>
                </w:p>
              </w:tc>
            </w:tr>
            <w:tr w14:paraId="2FE5E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74BF48DE">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34CCE0D8">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项目西侧居民</w:t>
                  </w:r>
                </w:p>
              </w:tc>
              <w:tc>
                <w:tcPr>
                  <w:tcW w:w="1111" w:type="dxa"/>
                  <w:tcBorders>
                    <w:tl2br w:val="nil"/>
                    <w:tr2bl w:val="nil"/>
                  </w:tcBorders>
                  <w:noWrap w:val="0"/>
                  <w:vAlign w:val="center"/>
                </w:tcPr>
                <w:p w14:paraId="2B6E8F77">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111.852838</w:t>
                  </w:r>
                </w:p>
              </w:tc>
              <w:tc>
                <w:tcPr>
                  <w:tcW w:w="1167" w:type="dxa"/>
                  <w:tcBorders>
                    <w:tl2br w:val="nil"/>
                    <w:tr2bl w:val="nil"/>
                  </w:tcBorders>
                  <w:noWrap w:val="0"/>
                  <w:vAlign w:val="center"/>
                </w:tcPr>
                <w:p w14:paraId="425BA4D9">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26.549876</w:t>
                  </w:r>
                </w:p>
              </w:tc>
              <w:tc>
                <w:tcPr>
                  <w:tcW w:w="581" w:type="dxa"/>
                  <w:tcBorders>
                    <w:tl2br w:val="nil"/>
                    <w:tr2bl w:val="nil"/>
                  </w:tcBorders>
                  <w:noWrap w:val="0"/>
                  <w:vAlign w:val="center"/>
                </w:tcPr>
                <w:p w14:paraId="7F77BC4A">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西侧</w:t>
                  </w:r>
                </w:p>
              </w:tc>
              <w:tc>
                <w:tcPr>
                  <w:tcW w:w="968" w:type="dxa"/>
                  <w:tcBorders>
                    <w:tl2br w:val="nil"/>
                    <w:tr2bl w:val="nil"/>
                  </w:tcBorders>
                  <w:noWrap w:val="0"/>
                  <w:vAlign w:val="center"/>
                </w:tcPr>
                <w:p w14:paraId="5A03884E">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110~294</w:t>
                  </w:r>
                </w:p>
              </w:tc>
              <w:tc>
                <w:tcPr>
                  <w:tcW w:w="588" w:type="dxa"/>
                  <w:tcBorders>
                    <w:tl2br w:val="nil"/>
                    <w:tr2bl w:val="nil"/>
                  </w:tcBorders>
                  <w:noWrap w:val="0"/>
                  <w:vAlign w:val="center"/>
                </w:tcPr>
                <w:p w14:paraId="3ED84C38">
                  <w:pPr>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58AA8519">
                  <w:pPr>
                    <w:pStyle w:val="83"/>
                    <w:keepNext w:val="0"/>
                    <w:keepLines w:val="0"/>
                    <w:suppressLineNumbers w:val="0"/>
                    <w:bidi w:val="0"/>
                    <w:spacing w:before="0" w:beforeAutospacing="0" w:after="0" w:afterAutospacing="0" w:line="240" w:lineRule="auto"/>
                    <w:ind w:left="0" w:right="0" w:firstLine="0" w:firstLineChars="0"/>
                    <w:rPr>
                      <w:rFonts w:hint="eastAsia" w:ascii="Times New Roman" w:hAnsi="Times New Roman" w:eastAsia="宋体" w:cs="Times New Roman"/>
                      <w:color w:val="auto"/>
                      <w:u w:val="none"/>
                      <w:lang w:val="en-US" w:eastAsia="zh-CN"/>
                    </w:rPr>
                  </w:pPr>
                  <w:r>
                    <w:rPr>
                      <w:rFonts w:hint="eastAsia" w:cs="Times New Roman"/>
                      <w:color w:val="auto"/>
                      <w:u w:val="none"/>
                      <w:lang w:val="en-US" w:eastAsia="zh-CN"/>
                    </w:rPr>
                    <w:t>约</w:t>
                  </w:r>
                  <w:r>
                    <w:rPr>
                      <w:rFonts w:hint="eastAsia" w:ascii="Times New Roman" w:hAnsi="Times New Roman" w:eastAsia="宋体" w:cs="Times New Roman"/>
                      <w:color w:val="auto"/>
                      <w:u w:val="none"/>
                      <w:lang w:val="en-US" w:eastAsia="zh-CN"/>
                    </w:rPr>
                    <w:t>3</w:t>
                  </w:r>
                  <w:r>
                    <w:rPr>
                      <w:rFonts w:hint="eastAsia" w:cs="Times New Roman"/>
                      <w:color w:val="auto"/>
                      <w:u w:val="none"/>
                      <w:lang w:val="en-US" w:eastAsia="zh-CN"/>
                    </w:rPr>
                    <w:t>0</w:t>
                  </w:r>
                  <w:r>
                    <w:rPr>
                      <w:rFonts w:hint="eastAsia" w:ascii="Times New Roman" w:hAnsi="Times New Roman" w:eastAsia="宋体" w:cs="Times New Roman"/>
                      <w:color w:val="auto"/>
                      <w:u w:val="none"/>
                      <w:lang w:val="en-US" w:eastAsia="zh-CN"/>
                    </w:rPr>
                    <w:t>0人</w:t>
                  </w:r>
                </w:p>
              </w:tc>
              <w:tc>
                <w:tcPr>
                  <w:tcW w:w="1737" w:type="dxa"/>
                  <w:vMerge w:val="continue"/>
                  <w:tcBorders>
                    <w:tl2br w:val="nil"/>
                    <w:tr2bl w:val="nil"/>
                  </w:tcBorders>
                  <w:noWrap w:val="0"/>
                  <w:vAlign w:val="center"/>
                </w:tcPr>
                <w:p w14:paraId="7444D82D">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1E3BED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3E8AAE98">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6C333E9E">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祁阳嘉信悦府</w:t>
                  </w:r>
                </w:p>
              </w:tc>
              <w:tc>
                <w:tcPr>
                  <w:tcW w:w="1111" w:type="dxa"/>
                  <w:tcBorders>
                    <w:tl2br w:val="nil"/>
                    <w:tr2bl w:val="nil"/>
                  </w:tcBorders>
                  <w:noWrap w:val="0"/>
                  <w:vAlign w:val="center"/>
                </w:tcPr>
                <w:p w14:paraId="55E88486">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111.852378</w:t>
                  </w:r>
                </w:p>
              </w:tc>
              <w:tc>
                <w:tcPr>
                  <w:tcW w:w="1167" w:type="dxa"/>
                  <w:tcBorders>
                    <w:tl2br w:val="nil"/>
                    <w:tr2bl w:val="nil"/>
                  </w:tcBorders>
                  <w:noWrap w:val="0"/>
                  <w:vAlign w:val="center"/>
                </w:tcPr>
                <w:p w14:paraId="142A09B9">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26.545003</w:t>
                  </w:r>
                </w:p>
              </w:tc>
              <w:tc>
                <w:tcPr>
                  <w:tcW w:w="581" w:type="dxa"/>
                  <w:tcBorders>
                    <w:tl2br w:val="nil"/>
                    <w:tr2bl w:val="nil"/>
                  </w:tcBorders>
                  <w:noWrap w:val="0"/>
                  <w:vAlign w:val="center"/>
                </w:tcPr>
                <w:p w14:paraId="07BD4411">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南侧</w:t>
                  </w:r>
                </w:p>
              </w:tc>
              <w:tc>
                <w:tcPr>
                  <w:tcW w:w="968" w:type="dxa"/>
                  <w:tcBorders>
                    <w:tl2br w:val="nil"/>
                    <w:tr2bl w:val="nil"/>
                  </w:tcBorders>
                  <w:noWrap w:val="0"/>
                  <w:vAlign w:val="center"/>
                </w:tcPr>
                <w:p w14:paraId="7CEA5A21">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258~675</w:t>
                  </w:r>
                </w:p>
              </w:tc>
              <w:tc>
                <w:tcPr>
                  <w:tcW w:w="588" w:type="dxa"/>
                  <w:tcBorders>
                    <w:tl2br w:val="nil"/>
                    <w:tr2bl w:val="nil"/>
                  </w:tcBorders>
                  <w:noWrap w:val="0"/>
                  <w:vAlign w:val="center"/>
                </w:tcPr>
                <w:p w14:paraId="5F423B44">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0C6A892E">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1479户、4450人</w:t>
                  </w:r>
                </w:p>
              </w:tc>
              <w:tc>
                <w:tcPr>
                  <w:tcW w:w="1737" w:type="dxa"/>
                  <w:vMerge w:val="continue"/>
                  <w:tcBorders>
                    <w:tl2br w:val="nil"/>
                    <w:tr2bl w:val="nil"/>
                  </w:tcBorders>
                  <w:noWrap w:val="0"/>
                  <w:vAlign w:val="center"/>
                </w:tcPr>
                <w:p w14:paraId="525603F5">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2A8C9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1E508EDF">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5D516714">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项目南侧安置小区</w:t>
                  </w:r>
                </w:p>
              </w:tc>
              <w:tc>
                <w:tcPr>
                  <w:tcW w:w="1111" w:type="dxa"/>
                  <w:tcBorders>
                    <w:tl2br w:val="nil"/>
                    <w:tr2bl w:val="nil"/>
                  </w:tcBorders>
                  <w:noWrap w:val="0"/>
                  <w:vAlign w:val="center"/>
                </w:tcPr>
                <w:p w14:paraId="63D30031">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111.855087</w:t>
                  </w:r>
                </w:p>
              </w:tc>
              <w:tc>
                <w:tcPr>
                  <w:tcW w:w="1167" w:type="dxa"/>
                  <w:tcBorders>
                    <w:tl2br w:val="nil"/>
                    <w:tr2bl w:val="nil"/>
                  </w:tcBorders>
                  <w:noWrap w:val="0"/>
                  <w:vAlign w:val="center"/>
                </w:tcPr>
                <w:p w14:paraId="1238C72A">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26.546073</w:t>
                  </w:r>
                </w:p>
              </w:tc>
              <w:tc>
                <w:tcPr>
                  <w:tcW w:w="581" w:type="dxa"/>
                  <w:tcBorders>
                    <w:tl2br w:val="nil"/>
                    <w:tr2bl w:val="nil"/>
                  </w:tcBorders>
                  <w:noWrap w:val="0"/>
                  <w:vAlign w:val="center"/>
                </w:tcPr>
                <w:p w14:paraId="463CB4B0">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南侧</w:t>
                  </w:r>
                </w:p>
              </w:tc>
              <w:tc>
                <w:tcPr>
                  <w:tcW w:w="968" w:type="dxa"/>
                  <w:tcBorders>
                    <w:tl2br w:val="nil"/>
                    <w:tr2bl w:val="nil"/>
                  </w:tcBorders>
                  <w:noWrap w:val="0"/>
                  <w:vAlign w:val="center"/>
                </w:tcPr>
                <w:p w14:paraId="243C83E3">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252~641</w:t>
                  </w:r>
                </w:p>
              </w:tc>
              <w:tc>
                <w:tcPr>
                  <w:tcW w:w="588" w:type="dxa"/>
                  <w:tcBorders>
                    <w:tl2br w:val="nil"/>
                    <w:tr2bl w:val="nil"/>
                  </w:tcBorders>
                  <w:noWrap w:val="0"/>
                  <w:vAlign w:val="center"/>
                </w:tcPr>
                <w:p w14:paraId="49F64480">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47B39FFB">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cs="Times New Roman"/>
                      <w:color w:val="auto"/>
                      <w:u w:val="none"/>
                      <w:lang w:val="en-US" w:eastAsia="zh-CN"/>
                    </w:rPr>
                    <w:t>约70</w:t>
                  </w:r>
                  <w:r>
                    <w:rPr>
                      <w:rFonts w:hint="eastAsia" w:ascii="Times New Roman" w:hAnsi="Times New Roman" w:eastAsia="宋体" w:cs="Times New Roman"/>
                      <w:color w:val="auto"/>
                      <w:u w:val="none"/>
                      <w:lang w:val="en-US" w:eastAsia="zh-CN"/>
                    </w:rPr>
                    <w:t>0人</w:t>
                  </w:r>
                </w:p>
              </w:tc>
              <w:tc>
                <w:tcPr>
                  <w:tcW w:w="1737" w:type="dxa"/>
                  <w:vMerge w:val="continue"/>
                  <w:tcBorders>
                    <w:tl2br w:val="nil"/>
                    <w:tr2bl w:val="nil"/>
                  </w:tcBorders>
                  <w:noWrap w:val="0"/>
                  <w:vAlign w:val="center"/>
                </w:tcPr>
                <w:p w14:paraId="7248A8A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5B6ADC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1EEFC5A1">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16B21C5B">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项目东侧居民</w:t>
                  </w:r>
                </w:p>
              </w:tc>
              <w:tc>
                <w:tcPr>
                  <w:tcW w:w="1111" w:type="dxa"/>
                  <w:tcBorders>
                    <w:tl2br w:val="nil"/>
                    <w:tr2bl w:val="nil"/>
                  </w:tcBorders>
                  <w:noWrap w:val="0"/>
                  <w:vAlign w:val="center"/>
                </w:tcPr>
                <w:p w14:paraId="558CFFAB">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111.856490</w:t>
                  </w:r>
                </w:p>
              </w:tc>
              <w:tc>
                <w:tcPr>
                  <w:tcW w:w="1167" w:type="dxa"/>
                  <w:tcBorders>
                    <w:tl2br w:val="nil"/>
                    <w:tr2bl w:val="nil"/>
                  </w:tcBorders>
                  <w:noWrap w:val="0"/>
                  <w:vAlign w:val="center"/>
                </w:tcPr>
                <w:p w14:paraId="28D327D6">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26.549237</w:t>
                  </w:r>
                </w:p>
              </w:tc>
              <w:tc>
                <w:tcPr>
                  <w:tcW w:w="581" w:type="dxa"/>
                  <w:tcBorders>
                    <w:tl2br w:val="nil"/>
                    <w:tr2bl w:val="nil"/>
                  </w:tcBorders>
                  <w:noWrap w:val="0"/>
                  <w:vAlign w:val="center"/>
                </w:tcPr>
                <w:p w14:paraId="69DB87C1">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东侧</w:t>
                  </w:r>
                </w:p>
              </w:tc>
              <w:tc>
                <w:tcPr>
                  <w:tcW w:w="968" w:type="dxa"/>
                  <w:tcBorders>
                    <w:tl2br w:val="nil"/>
                    <w:tr2bl w:val="nil"/>
                  </w:tcBorders>
                  <w:noWrap w:val="0"/>
                  <w:vAlign w:val="center"/>
                </w:tcPr>
                <w:p w14:paraId="2A632E62">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148~327</w:t>
                  </w:r>
                </w:p>
              </w:tc>
              <w:tc>
                <w:tcPr>
                  <w:tcW w:w="588" w:type="dxa"/>
                  <w:tcBorders>
                    <w:tl2br w:val="nil"/>
                    <w:tr2bl w:val="nil"/>
                  </w:tcBorders>
                  <w:noWrap w:val="0"/>
                  <w:vAlign w:val="center"/>
                </w:tcPr>
                <w:p w14:paraId="2A25B0F2">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26BF9511">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cs="Times New Roman"/>
                      <w:color w:val="auto"/>
                      <w:u w:val="none"/>
                      <w:lang w:val="en-US" w:eastAsia="zh-CN"/>
                    </w:rPr>
                    <w:t>约65</w:t>
                  </w:r>
                  <w:r>
                    <w:rPr>
                      <w:rFonts w:hint="eastAsia" w:ascii="Times New Roman" w:hAnsi="Times New Roman" w:eastAsia="宋体" w:cs="Times New Roman"/>
                      <w:color w:val="auto"/>
                      <w:u w:val="none"/>
                      <w:lang w:val="en-US" w:eastAsia="zh-CN"/>
                    </w:rPr>
                    <w:t>0人</w:t>
                  </w:r>
                </w:p>
              </w:tc>
              <w:tc>
                <w:tcPr>
                  <w:tcW w:w="1737" w:type="dxa"/>
                  <w:vMerge w:val="continue"/>
                  <w:tcBorders>
                    <w:tl2br w:val="nil"/>
                    <w:tr2bl w:val="nil"/>
                  </w:tcBorders>
                  <w:noWrap w:val="0"/>
                  <w:vAlign w:val="center"/>
                </w:tcPr>
                <w:p w14:paraId="3B7A845C">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2DB5F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4C7076A1">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3A6DB492">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灯塔小学（在建）</w:t>
                  </w:r>
                </w:p>
              </w:tc>
              <w:tc>
                <w:tcPr>
                  <w:tcW w:w="1111" w:type="dxa"/>
                  <w:tcBorders>
                    <w:tl2br w:val="nil"/>
                    <w:tr2bl w:val="nil"/>
                  </w:tcBorders>
                  <w:noWrap w:val="0"/>
                  <w:vAlign w:val="center"/>
                </w:tcPr>
                <w:p w14:paraId="7176D9EC">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111.855365</w:t>
                  </w:r>
                </w:p>
              </w:tc>
              <w:tc>
                <w:tcPr>
                  <w:tcW w:w="1167" w:type="dxa"/>
                  <w:tcBorders>
                    <w:tl2br w:val="nil"/>
                    <w:tr2bl w:val="nil"/>
                  </w:tcBorders>
                  <w:noWrap w:val="0"/>
                  <w:vAlign w:val="center"/>
                </w:tcPr>
                <w:p w14:paraId="78217B9C">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26.547627</w:t>
                  </w:r>
                </w:p>
              </w:tc>
              <w:tc>
                <w:tcPr>
                  <w:tcW w:w="581" w:type="dxa"/>
                  <w:tcBorders>
                    <w:tl2br w:val="nil"/>
                    <w:tr2bl w:val="nil"/>
                  </w:tcBorders>
                  <w:noWrap w:val="0"/>
                  <w:vAlign w:val="center"/>
                </w:tcPr>
                <w:p w14:paraId="442583B6">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南侧</w:t>
                  </w:r>
                </w:p>
              </w:tc>
              <w:tc>
                <w:tcPr>
                  <w:tcW w:w="968" w:type="dxa"/>
                  <w:tcBorders>
                    <w:tl2br w:val="nil"/>
                    <w:tr2bl w:val="nil"/>
                  </w:tcBorders>
                  <w:noWrap w:val="0"/>
                  <w:vAlign w:val="center"/>
                </w:tcPr>
                <w:p w14:paraId="470B57C9">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53~265</w:t>
                  </w:r>
                </w:p>
              </w:tc>
              <w:tc>
                <w:tcPr>
                  <w:tcW w:w="588" w:type="dxa"/>
                  <w:tcBorders>
                    <w:tl2br w:val="nil"/>
                    <w:tr2bl w:val="nil"/>
                  </w:tcBorders>
                  <w:noWrap w:val="0"/>
                  <w:vAlign w:val="center"/>
                </w:tcPr>
                <w:p w14:paraId="00CEC3D9">
                  <w:pPr>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师生</w:t>
                  </w:r>
                </w:p>
              </w:tc>
              <w:tc>
                <w:tcPr>
                  <w:tcW w:w="862" w:type="dxa"/>
                  <w:tcBorders>
                    <w:tl2br w:val="nil"/>
                    <w:tr2bl w:val="nil"/>
                  </w:tcBorders>
                  <w:noWrap w:val="0"/>
                  <w:vAlign w:val="center"/>
                </w:tcPr>
                <w:p w14:paraId="597C1C49">
                  <w:pPr>
                    <w:keepNext w:val="0"/>
                    <w:keepLines w:val="0"/>
                    <w:suppressLineNumbers w:val="0"/>
                    <w:bidi w:val="0"/>
                    <w:spacing w:before="0" w:beforeAutospacing="0" w:after="0" w:afterAutospacing="0" w:line="240" w:lineRule="auto"/>
                    <w:ind w:left="0" w:right="0" w:firstLine="0" w:firstLineChars="0"/>
                    <w:jc w:val="center"/>
                    <w:rPr>
                      <w:rFonts w:hint="default" w:cs="Times New Roman"/>
                      <w:color w:val="auto"/>
                      <w:u w:val="none"/>
                      <w:lang w:val="en-US" w:eastAsia="zh-CN"/>
                    </w:rPr>
                  </w:pPr>
                  <w:r>
                    <w:rPr>
                      <w:rFonts w:hint="eastAsia" w:cs="Times New Roman"/>
                      <w:color w:val="auto"/>
                      <w:u w:val="none"/>
                      <w:lang w:val="en-US" w:eastAsia="zh-CN"/>
                    </w:rPr>
                    <w:t>1080人</w:t>
                  </w:r>
                </w:p>
              </w:tc>
              <w:tc>
                <w:tcPr>
                  <w:tcW w:w="1737" w:type="dxa"/>
                  <w:vMerge w:val="continue"/>
                  <w:tcBorders>
                    <w:tl2br w:val="nil"/>
                    <w:tr2bl w:val="nil"/>
                  </w:tcBorders>
                  <w:noWrap w:val="0"/>
                  <w:vAlign w:val="center"/>
                </w:tcPr>
                <w:p w14:paraId="1352999C">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r w14:paraId="31853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519" w:hRule="atLeast"/>
                <w:jc w:val="center"/>
              </w:trPr>
              <w:tc>
                <w:tcPr>
                  <w:tcW w:w="324" w:type="dxa"/>
                  <w:vMerge w:val="continue"/>
                  <w:tcBorders>
                    <w:tl2br w:val="nil"/>
                    <w:tr2bl w:val="nil"/>
                  </w:tcBorders>
                  <w:noWrap w:val="0"/>
                  <w:vAlign w:val="center"/>
                </w:tcPr>
                <w:p w14:paraId="0FC02CF7">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c>
                <w:tcPr>
                  <w:tcW w:w="1083" w:type="dxa"/>
                  <w:tcBorders>
                    <w:tl2br w:val="nil"/>
                    <w:tr2bl w:val="nil"/>
                  </w:tcBorders>
                  <w:noWrap w:val="0"/>
                  <w:vAlign w:val="center"/>
                </w:tcPr>
                <w:p w14:paraId="55915741">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kern w:val="0"/>
                      <w:u w:val="none"/>
                      <w:lang w:val="en-US" w:eastAsia="zh-CN"/>
                    </w:rPr>
                  </w:pPr>
                  <w:r>
                    <w:rPr>
                      <w:rFonts w:hint="eastAsia" w:cs="Times New Roman"/>
                      <w:color w:val="auto"/>
                      <w:kern w:val="0"/>
                      <w:u w:val="none"/>
                      <w:lang w:val="en-US" w:eastAsia="zh-CN"/>
                    </w:rPr>
                    <w:t>五里社区居民</w:t>
                  </w:r>
                </w:p>
              </w:tc>
              <w:tc>
                <w:tcPr>
                  <w:tcW w:w="1111" w:type="dxa"/>
                  <w:tcBorders>
                    <w:tl2br w:val="nil"/>
                    <w:tr2bl w:val="nil"/>
                  </w:tcBorders>
                  <w:noWrap w:val="0"/>
                  <w:vAlign w:val="center"/>
                </w:tcPr>
                <w:p w14:paraId="238B9A3B">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111.857207</w:t>
                  </w:r>
                </w:p>
              </w:tc>
              <w:tc>
                <w:tcPr>
                  <w:tcW w:w="1167" w:type="dxa"/>
                  <w:tcBorders>
                    <w:tl2br w:val="nil"/>
                    <w:tr2bl w:val="nil"/>
                  </w:tcBorders>
                  <w:noWrap w:val="0"/>
                  <w:vAlign w:val="center"/>
                </w:tcPr>
                <w:p w14:paraId="740848B3">
                  <w:pPr>
                    <w:pStyle w:val="83"/>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26.553266</w:t>
                  </w:r>
                </w:p>
              </w:tc>
              <w:tc>
                <w:tcPr>
                  <w:tcW w:w="581" w:type="dxa"/>
                  <w:tcBorders>
                    <w:tl2br w:val="nil"/>
                    <w:tr2bl w:val="nil"/>
                  </w:tcBorders>
                  <w:noWrap w:val="0"/>
                  <w:vAlign w:val="center"/>
                </w:tcPr>
                <w:p w14:paraId="3476BDF1">
                  <w:pPr>
                    <w:pStyle w:val="83"/>
                    <w:keepNext w:val="0"/>
                    <w:keepLines w:val="0"/>
                    <w:suppressLineNumbers w:val="0"/>
                    <w:bidi w:val="0"/>
                    <w:spacing w:before="0" w:beforeAutospacing="0" w:after="0" w:afterAutospacing="0" w:line="240" w:lineRule="auto"/>
                    <w:ind w:left="0" w:right="0" w:firstLine="0" w:firstLineChars="0"/>
                    <w:rPr>
                      <w:rFonts w:hint="default" w:cs="Times New Roman"/>
                      <w:color w:val="auto"/>
                      <w:u w:val="none"/>
                      <w:lang w:val="en-US" w:eastAsia="zh-CN"/>
                    </w:rPr>
                  </w:pPr>
                  <w:r>
                    <w:rPr>
                      <w:rFonts w:hint="eastAsia" w:cs="Times New Roman"/>
                      <w:color w:val="auto"/>
                      <w:u w:val="none"/>
                      <w:lang w:val="en-US" w:eastAsia="zh-CN"/>
                    </w:rPr>
                    <w:t>东北侧</w:t>
                  </w:r>
                </w:p>
              </w:tc>
              <w:tc>
                <w:tcPr>
                  <w:tcW w:w="968" w:type="dxa"/>
                  <w:tcBorders>
                    <w:tl2br w:val="nil"/>
                    <w:tr2bl w:val="nil"/>
                  </w:tcBorders>
                  <w:noWrap w:val="0"/>
                  <w:vAlign w:val="center"/>
                </w:tcPr>
                <w:p w14:paraId="3DB64A63">
                  <w:pPr>
                    <w:pStyle w:val="83"/>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400~577</w:t>
                  </w:r>
                </w:p>
              </w:tc>
              <w:tc>
                <w:tcPr>
                  <w:tcW w:w="588" w:type="dxa"/>
                  <w:tcBorders>
                    <w:tl2br w:val="nil"/>
                    <w:tr2bl w:val="nil"/>
                  </w:tcBorders>
                  <w:noWrap w:val="0"/>
                  <w:vAlign w:val="center"/>
                </w:tcPr>
                <w:p w14:paraId="39FF342D">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ascii="Times New Roman" w:hAnsi="Times New Roman" w:eastAsia="宋体" w:cs="Times New Roman"/>
                      <w:color w:val="auto"/>
                      <w:u w:val="none"/>
                      <w:lang w:val="en-US" w:eastAsia="zh-CN"/>
                    </w:rPr>
                    <w:t>居民</w:t>
                  </w:r>
                </w:p>
              </w:tc>
              <w:tc>
                <w:tcPr>
                  <w:tcW w:w="862" w:type="dxa"/>
                  <w:tcBorders>
                    <w:tl2br w:val="nil"/>
                    <w:tr2bl w:val="nil"/>
                  </w:tcBorders>
                  <w:noWrap w:val="0"/>
                  <w:vAlign w:val="center"/>
                </w:tcPr>
                <w:p w14:paraId="4FB56C02">
                  <w:pPr>
                    <w:keepNext w:val="0"/>
                    <w:keepLines w:val="0"/>
                    <w:suppressLineNumbers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u w:val="none"/>
                      <w:lang w:val="en-US" w:eastAsia="zh-CN"/>
                    </w:rPr>
                  </w:pPr>
                  <w:r>
                    <w:rPr>
                      <w:rFonts w:hint="eastAsia" w:cs="Times New Roman"/>
                      <w:color w:val="auto"/>
                      <w:u w:val="none"/>
                      <w:lang w:val="en-US" w:eastAsia="zh-CN"/>
                    </w:rPr>
                    <w:t>约25</w:t>
                  </w:r>
                  <w:r>
                    <w:rPr>
                      <w:rFonts w:hint="eastAsia" w:ascii="Times New Roman" w:hAnsi="Times New Roman" w:eastAsia="宋体" w:cs="Times New Roman"/>
                      <w:color w:val="auto"/>
                      <w:u w:val="none"/>
                      <w:lang w:val="en-US" w:eastAsia="zh-CN"/>
                    </w:rPr>
                    <w:t>0人</w:t>
                  </w:r>
                </w:p>
              </w:tc>
              <w:tc>
                <w:tcPr>
                  <w:tcW w:w="1737" w:type="dxa"/>
                  <w:vMerge w:val="continue"/>
                  <w:tcBorders>
                    <w:tl2br w:val="nil"/>
                    <w:tr2bl w:val="nil"/>
                  </w:tcBorders>
                  <w:noWrap w:val="0"/>
                  <w:vAlign w:val="center"/>
                </w:tcPr>
                <w:p w14:paraId="261AF22A">
                  <w:pPr>
                    <w:pStyle w:val="83"/>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u w:val="none"/>
                      <w:lang w:val="en-US" w:eastAsia="zh-CN"/>
                    </w:rPr>
                  </w:pPr>
                </w:p>
              </w:tc>
            </w:tr>
          </w:tbl>
          <w:p w14:paraId="77C4B811">
            <w:pPr>
              <w:pStyle w:val="128"/>
              <w:keepNext w:val="0"/>
              <w:keepLines w:val="0"/>
              <w:suppressLineNumbers w:val="0"/>
              <w:spacing w:before="0" w:beforeAutospacing="0" w:after="0" w:afterAutospacing="0" w:line="360" w:lineRule="auto"/>
              <w:ind w:left="0" w:right="0" w:firstLine="482"/>
              <w:jc w:val="left"/>
              <w:rPr>
                <w:rFonts w:hint="default" w:ascii="Times New Roman" w:hAnsi="Times New Roman" w:cs="Times New Roman"/>
                <w:b/>
                <w:strike w:val="0"/>
                <w:dstrike w:val="0"/>
                <w:color w:val="000000"/>
                <w:sz w:val="24"/>
                <w:u w:val="none" w:color="auto"/>
              </w:rPr>
            </w:pPr>
            <w:r>
              <w:rPr>
                <w:rFonts w:hint="eastAsia" w:ascii="Times New Roman" w:hAnsi="Times New Roman" w:cs="Times New Roman"/>
                <w:b/>
                <w:strike w:val="0"/>
                <w:dstrike w:val="0"/>
                <w:color w:val="000000"/>
                <w:sz w:val="24"/>
                <w:u w:val="none" w:color="auto"/>
              </w:rPr>
              <w:t>2、声环境</w:t>
            </w:r>
          </w:p>
          <w:p w14:paraId="5CDED5E7">
            <w:pPr>
              <w:pStyle w:val="128"/>
              <w:keepNext w:val="0"/>
              <w:keepLines w:val="0"/>
              <w:suppressLineNumbers w:val="0"/>
              <w:spacing w:before="0" w:beforeAutospacing="0" w:after="0" w:afterAutospacing="0" w:line="360" w:lineRule="auto"/>
              <w:ind w:left="0" w:right="0"/>
              <w:jc w:val="left"/>
              <w:rPr>
                <w:rFonts w:hint="eastAsia" w:ascii="Times New Roman" w:hAnsi="Times New Roman" w:cs="Times New Roman"/>
                <w:bCs/>
                <w:strike w:val="0"/>
                <w:dstrike w:val="0"/>
                <w:color w:val="000000"/>
                <w:sz w:val="24"/>
                <w:u w:val="none"/>
              </w:rPr>
            </w:pPr>
            <w:r>
              <w:rPr>
                <w:rFonts w:hint="eastAsia" w:ascii="Times New Roman" w:hAnsi="Times New Roman" w:cs="Times New Roman"/>
                <w:bCs/>
                <w:strike w:val="0"/>
                <w:dstrike w:val="0"/>
                <w:color w:val="000000"/>
                <w:sz w:val="24"/>
                <w:u w:val="none" w:color="auto"/>
              </w:rPr>
              <w:t>本项目位于</w:t>
            </w:r>
            <w:r>
              <w:rPr>
                <w:rFonts w:hint="eastAsia" w:ascii="Times New Roman" w:cs="宋体"/>
                <w:strike w:val="0"/>
                <w:dstrike w:val="0"/>
                <w:color w:val="000000"/>
                <w:sz w:val="24"/>
                <w:u w:val="none" w:color="auto"/>
                <w:lang w:eastAsia="zh-CN"/>
              </w:rPr>
              <w:t>祁阳市</w:t>
            </w:r>
            <w:r>
              <w:rPr>
                <w:rFonts w:hint="eastAsia"/>
                <w:sz w:val="24"/>
                <w:szCs w:val="24"/>
                <w:lang w:val="en-US" w:eastAsia="zh-CN"/>
              </w:rPr>
              <w:t>高新技术产业开发区灯塔路152号祁阳五洲医药包装有限公司建设的二期联合厂房</w:t>
            </w:r>
            <w:r>
              <w:rPr>
                <w:rFonts w:hint="eastAsia" w:ascii="Times New Roman" w:hAnsi="Times New Roman" w:cs="Times New Roman"/>
                <w:bCs/>
                <w:strike w:val="0"/>
                <w:dstrike w:val="0"/>
                <w:color w:val="000000"/>
                <w:sz w:val="24"/>
                <w:u w:val="none" w:color="auto"/>
              </w:rPr>
              <w:t>，项目</w:t>
            </w:r>
            <w:r>
              <w:rPr>
                <w:rFonts w:hint="eastAsia" w:hAnsi="Times New Roman" w:cs="Times New Roman"/>
                <w:bCs/>
                <w:strike w:val="0"/>
                <w:dstrike w:val="0"/>
                <w:color w:val="000000"/>
                <w:sz w:val="24"/>
                <w:u w:val="none" w:color="auto"/>
                <w:lang w:val="en-US" w:eastAsia="zh-CN"/>
              </w:rPr>
              <w:t>厂界</w:t>
            </w:r>
            <w:r>
              <w:rPr>
                <w:rFonts w:hint="eastAsia" w:ascii="Times New Roman" w:hAnsi="Times New Roman" w:cs="Times New Roman"/>
                <w:bCs/>
                <w:strike w:val="0"/>
                <w:dstrike w:val="0"/>
                <w:color w:val="000000"/>
                <w:sz w:val="24"/>
                <w:u w:val="none" w:color="auto"/>
              </w:rPr>
              <w:t>周边</w:t>
            </w:r>
            <w:r>
              <w:rPr>
                <w:rFonts w:hint="eastAsia" w:hAnsi="Times New Roman" w:cs="Times New Roman"/>
                <w:bCs/>
                <w:strike w:val="0"/>
                <w:dstrike w:val="0"/>
                <w:color w:val="000000"/>
                <w:sz w:val="24"/>
                <w:u w:val="none" w:color="auto"/>
                <w:lang w:val="en-US" w:eastAsia="zh-CN"/>
              </w:rPr>
              <w:t>50m范围内无</w:t>
            </w:r>
            <w:r>
              <w:rPr>
                <w:rFonts w:hint="eastAsia" w:ascii="Times New Roman" w:hAnsi="Times New Roman" w:cs="Times New Roman"/>
                <w:bCs/>
                <w:strike w:val="0"/>
                <w:dstrike w:val="0"/>
                <w:color w:val="000000"/>
                <w:sz w:val="24"/>
                <w:u w:val="none" w:color="auto"/>
              </w:rPr>
              <w:t>声</w:t>
            </w:r>
            <w:r>
              <w:rPr>
                <w:rFonts w:hint="default" w:ascii="Times New Roman" w:hAnsi="Times New Roman" w:eastAsia="宋体" w:cs="Times New Roman"/>
                <w:color w:val="auto"/>
                <w:kern w:val="0"/>
                <w:sz w:val="24"/>
                <w:u w:val="none" w:color="auto"/>
                <w:lang w:val="en-US" w:eastAsia="zh-CN"/>
              </w:rPr>
              <w:t>环境保护目标</w:t>
            </w:r>
            <w:r>
              <w:rPr>
                <w:rFonts w:hint="eastAsia" w:ascii="Times New Roman" w:hAnsi="Times New Roman" w:cs="Times New Roman"/>
                <w:bCs/>
                <w:strike w:val="0"/>
                <w:dstrike w:val="0"/>
                <w:color w:val="000000"/>
                <w:sz w:val="24"/>
                <w:u w:val="none" w:color="auto"/>
              </w:rPr>
              <w:t>。</w:t>
            </w:r>
          </w:p>
          <w:p w14:paraId="76FF0A98">
            <w:pPr>
              <w:pStyle w:val="128"/>
              <w:keepNext w:val="0"/>
              <w:keepLines w:val="0"/>
              <w:suppressLineNumbers w:val="0"/>
              <w:spacing w:before="0" w:beforeAutospacing="0" w:after="0" w:afterAutospacing="0" w:line="360" w:lineRule="auto"/>
              <w:ind w:left="0" w:right="0" w:firstLine="482"/>
              <w:jc w:val="left"/>
              <w:rPr>
                <w:rFonts w:hint="eastAsia" w:ascii="Times New Roman" w:hAnsi="Times New Roman" w:cs="Times New Roman"/>
                <w:b/>
                <w:color w:val="000000"/>
                <w:sz w:val="24"/>
                <w:u w:val="none"/>
              </w:rPr>
            </w:pPr>
            <w:r>
              <w:rPr>
                <w:rFonts w:hint="eastAsia" w:ascii="Times New Roman" w:hAnsi="Times New Roman" w:cs="Times New Roman"/>
                <w:b/>
                <w:color w:val="000000"/>
                <w:sz w:val="24"/>
                <w:u w:val="none"/>
              </w:rPr>
              <w:t>3、地下水环境</w:t>
            </w:r>
          </w:p>
          <w:p w14:paraId="0671B138">
            <w:pPr>
              <w:pStyle w:val="128"/>
              <w:keepNext w:val="0"/>
              <w:keepLines w:val="0"/>
              <w:suppressLineNumbers w:val="0"/>
              <w:spacing w:before="0" w:beforeAutospacing="0" w:after="0" w:afterAutospacing="0" w:line="360" w:lineRule="auto"/>
              <w:ind w:left="0" w:right="0"/>
              <w:jc w:val="left"/>
              <w:rPr>
                <w:rFonts w:hint="eastAsia" w:ascii="Times New Roman" w:hAnsi="Times New Roman" w:cs="Times New Roman"/>
                <w:bCs/>
                <w:color w:val="000000"/>
                <w:sz w:val="24"/>
                <w:u w:val="none"/>
              </w:rPr>
            </w:pPr>
            <w:r>
              <w:rPr>
                <w:rFonts w:hint="eastAsia" w:ascii="Times New Roman" w:hAnsi="Times New Roman" w:cs="Times New Roman"/>
                <w:bCs/>
                <w:color w:val="000000"/>
                <w:sz w:val="24"/>
                <w:u w:val="none"/>
              </w:rPr>
              <w:t>本项目厂界外500m范围内无地下水集中式饮用水水源和热水、矿泉水、温泉等特殊地下水资源</w:t>
            </w:r>
            <w:r>
              <w:rPr>
                <w:rFonts w:hint="eastAsia" w:ascii="Times New Roman" w:hAnsi="Times New Roman" w:cs="Times New Roman"/>
                <w:bCs/>
                <w:color w:val="000000"/>
                <w:sz w:val="24"/>
                <w:u w:val="none"/>
                <w:lang w:eastAsia="zh-CN"/>
              </w:rPr>
              <w:t>，</w:t>
            </w:r>
            <w:r>
              <w:rPr>
                <w:rFonts w:hint="eastAsia" w:ascii="Times New Roman" w:hAnsi="Times New Roman" w:cs="Times New Roman"/>
                <w:bCs/>
                <w:color w:val="000000"/>
                <w:sz w:val="24"/>
                <w:u w:val="none"/>
                <w:lang w:val="en-US" w:eastAsia="zh-CN"/>
              </w:rPr>
              <w:t>调查范围内不存在乡镇或村级饮用水源（千吨万人、千人以上饮用水源）</w:t>
            </w:r>
            <w:r>
              <w:rPr>
                <w:rFonts w:hint="eastAsia" w:ascii="Times New Roman" w:hAnsi="Times New Roman" w:cs="Times New Roman"/>
                <w:bCs/>
                <w:color w:val="000000"/>
                <w:sz w:val="24"/>
                <w:u w:val="none"/>
              </w:rPr>
              <w:t>。</w:t>
            </w:r>
          </w:p>
          <w:p w14:paraId="6A0AE9F4">
            <w:pPr>
              <w:pStyle w:val="128"/>
              <w:keepNext w:val="0"/>
              <w:keepLines w:val="0"/>
              <w:suppressLineNumbers w:val="0"/>
              <w:spacing w:before="0" w:beforeAutospacing="0" w:after="0" w:afterAutospacing="0" w:line="360" w:lineRule="auto"/>
              <w:ind w:left="0" w:leftChars="0" w:right="0" w:firstLine="482" w:firstLineChars="200"/>
              <w:jc w:val="left"/>
              <w:rPr>
                <w:rFonts w:hint="eastAsia" w:ascii="Times New Roman" w:hAnsi="Times New Roman" w:cs="Times New Roman"/>
                <w:b/>
                <w:color w:val="000000"/>
                <w:sz w:val="24"/>
              </w:rPr>
            </w:pPr>
            <w:r>
              <w:rPr>
                <w:rFonts w:hint="eastAsia" w:ascii="Times New Roman" w:hAnsi="Times New Roman" w:cs="Times New Roman"/>
                <w:b/>
                <w:color w:val="000000"/>
                <w:sz w:val="24"/>
                <w:lang w:val="en-US" w:eastAsia="zh-CN"/>
              </w:rPr>
              <w:t>4、</w:t>
            </w:r>
            <w:r>
              <w:rPr>
                <w:rFonts w:hint="eastAsia" w:ascii="Times New Roman" w:hAnsi="Times New Roman" w:cs="Times New Roman"/>
                <w:b/>
                <w:color w:val="000000"/>
                <w:sz w:val="24"/>
              </w:rPr>
              <w:t>生态环境</w:t>
            </w:r>
          </w:p>
          <w:p w14:paraId="5D9DE05D">
            <w:pPr>
              <w:keepNext w:val="0"/>
              <w:keepLines/>
              <w:suppressLineNumbers w:val="0"/>
              <w:spacing w:before="0" w:beforeAutospacing="0" w:after="0" w:afterAutospacing="0" w:line="360" w:lineRule="auto"/>
              <w:ind w:left="0" w:right="0" w:firstLine="480" w:firstLineChars="200"/>
              <w:rPr>
                <w:rFonts w:hint="default" w:ascii="Times New Roman" w:hAnsi="Times New Roman" w:cs="Times New Roman"/>
                <w:color w:val="auto"/>
                <w:kern w:val="0"/>
                <w:szCs w:val="21"/>
                <w:highlight w:val="none"/>
              </w:rPr>
            </w:pPr>
            <w:r>
              <w:rPr>
                <w:rFonts w:hint="eastAsia" w:ascii="Times New Roman" w:hAnsi="Times New Roman" w:cs="Times New Roman"/>
                <w:bCs/>
                <w:color w:val="000000"/>
                <w:sz w:val="24"/>
              </w:rPr>
              <w:t>本项目位于</w:t>
            </w:r>
            <w:r>
              <w:rPr>
                <w:rFonts w:hint="eastAsia" w:ascii="Times New Roman" w:hAnsi="Times New Roman" w:cs="宋体"/>
                <w:color w:val="000000"/>
                <w:sz w:val="24"/>
                <w:lang w:eastAsia="zh-CN"/>
              </w:rPr>
              <w:t>祁阳</w:t>
            </w:r>
            <w:r>
              <w:rPr>
                <w:rFonts w:hint="eastAsia" w:ascii="Times New Roman" w:hAnsi="Times New Roman" w:cs="宋体"/>
                <w:color w:val="000000"/>
                <w:sz w:val="24"/>
                <w:lang w:val="en-US" w:eastAsia="zh-CN"/>
              </w:rPr>
              <w:t>高新技术产业开发区新区片区</w:t>
            </w:r>
            <w:r>
              <w:rPr>
                <w:rFonts w:hint="eastAsia" w:ascii="Times New Roman" w:hAnsi="Times New Roman" w:cs="Times New Roman"/>
                <w:bCs/>
                <w:color w:val="000000"/>
                <w:sz w:val="24"/>
              </w:rPr>
              <w:t>，</w:t>
            </w:r>
            <w:r>
              <w:rPr>
                <w:rFonts w:hint="eastAsia" w:ascii="Times New Roman" w:hAnsi="Times New Roman" w:cs="Times New Roman"/>
                <w:bCs/>
                <w:color w:val="000000"/>
                <w:sz w:val="24"/>
                <w:lang w:val="en-US" w:eastAsia="zh-CN"/>
              </w:rPr>
              <w:t>项目周边</w:t>
            </w:r>
            <w:r>
              <w:rPr>
                <w:rStyle w:val="51"/>
                <w:rFonts w:hint="eastAsia" w:ascii="Times New Roman" w:hAnsi="Times New Roman" w:cs="Times New Roman"/>
                <w:color w:val="000000"/>
                <w:kern w:val="0"/>
                <w:sz w:val="24"/>
              </w:rPr>
              <w:t>无</w:t>
            </w:r>
            <w:r>
              <w:rPr>
                <w:rFonts w:hint="eastAsia" w:ascii="Times New Roman" w:hAnsi="Times New Roman" w:cs="Times New Roman"/>
                <w:bCs/>
                <w:color w:val="000000"/>
                <w:sz w:val="24"/>
              </w:rPr>
              <w:t>生态环境保护目标。</w:t>
            </w:r>
          </w:p>
        </w:tc>
      </w:tr>
      <w:tr w14:paraId="3BF1E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23" w:type="dxa"/>
            <w:noWrap w:val="0"/>
            <w:tcMar>
              <w:left w:w="28" w:type="dxa"/>
              <w:right w:w="28" w:type="dxa"/>
            </w:tcMar>
            <w:vAlign w:val="center"/>
          </w:tcPr>
          <w:p w14:paraId="32ABF5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w:t>
            </w:r>
          </w:p>
          <w:p w14:paraId="4EE77CC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物排</w:t>
            </w:r>
          </w:p>
          <w:p w14:paraId="067BD9B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放控</w:t>
            </w:r>
          </w:p>
          <w:p w14:paraId="5B459CB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制标</w:t>
            </w:r>
          </w:p>
          <w:p w14:paraId="32A27C0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准</w:t>
            </w:r>
          </w:p>
        </w:tc>
        <w:tc>
          <w:tcPr>
            <w:tcW w:w="8338" w:type="dxa"/>
            <w:noWrap w:val="0"/>
            <w:vAlign w:val="center"/>
          </w:tcPr>
          <w:p w14:paraId="6618FFC6">
            <w:pPr>
              <w:keepNext w:val="0"/>
              <w:keepLines w:val="0"/>
              <w:suppressLineNumbers w:val="0"/>
              <w:adjustRightInd w:val="0"/>
              <w:spacing w:before="120" w:beforeLines="50" w:beforeAutospacing="0" w:after="0" w:afterAutospacing="0" w:line="360" w:lineRule="auto"/>
              <w:ind w:left="0" w:right="0"/>
              <w:rPr>
                <w:rFonts w:hint="default" w:ascii="Times New Roman" w:hAnsi="Times New Roman" w:cs="Times New Roman"/>
                <w:b/>
                <w:bCs/>
                <w:color w:val="auto"/>
                <w:kern w:val="0"/>
                <w:sz w:val="24"/>
                <w:szCs w:val="24"/>
                <w:highlight w:val="none"/>
              </w:rPr>
            </w:pPr>
            <w:r>
              <w:rPr>
                <w:rFonts w:hint="default" w:ascii="Times New Roman" w:hAnsi="Times New Roman" w:cs="Times New Roman"/>
                <w:b/>
                <w:bCs/>
                <w:color w:val="auto"/>
                <w:kern w:val="0"/>
                <w:sz w:val="24"/>
                <w:szCs w:val="24"/>
                <w:highlight w:val="none"/>
              </w:rPr>
              <w:t>1、大气污染物排放标准</w:t>
            </w:r>
          </w:p>
          <w:p w14:paraId="5A6E9E5F">
            <w:pPr>
              <w:pStyle w:val="8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cs="Times New Roman"/>
                <w:color w:val="auto"/>
                <w:u w:val="none"/>
              </w:rPr>
            </w:pPr>
            <w:r>
              <w:rPr>
                <w:rFonts w:hint="eastAsia" w:cs="Times New Roman"/>
                <w:color w:val="auto"/>
                <w:u w:val="none"/>
              </w:rPr>
              <w:t>项目</w:t>
            </w:r>
            <w:r>
              <w:rPr>
                <w:rFonts w:hint="eastAsia" w:cs="Times New Roman"/>
                <w:color w:val="auto"/>
                <w:u w:val="none"/>
                <w:lang w:val="en-US" w:eastAsia="zh-CN"/>
              </w:rPr>
              <w:t>调胶、调墨、</w:t>
            </w:r>
            <w:r>
              <w:rPr>
                <w:rFonts w:hint="eastAsia" w:cs="Times New Roman"/>
                <w:color w:val="auto"/>
                <w:u w:val="none"/>
              </w:rPr>
              <w:t>印刷、复合、</w:t>
            </w:r>
            <w:r>
              <w:rPr>
                <w:rFonts w:hint="eastAsia" w:cs="Times New Roman"/>
                <w:color w:val="auto"/>
                <w:u w:val="none"/>
                <w:lang w:val="en-US" w:eastAsia="zh-CN"/>
              </w:rPr>
              <w:t>固化、涂布、吹塑等有机</w:t>
            </w:r>
            <w:r>
              <w:rPr>
                <w:rFonts w:hint="eastAsia" w:cs="Times New Roman"/>
                <w:color w:val="auto"/>
                <w:u w:val="none"/>
              </w:rPr>
              <w:t>废气（DA001）污染因子挥发性有机物执行</w:t>
            </w:r>
            <w:r>
              <w:rPr>
                <w:rFonts w:hint="eastAsia" w:cs="Times New Roman"/>
                <w:color w:val="auto"/>
                <w:sz w:val="24"/>
                <w:highlight w:val="none"/>
                <w:lang w:val="en-US" w:eastAsia="zh-CN"/>
              </w:rPr>
              <w:t>《工业企业挥发性有机物排放标准》（DB43/3550-2026）</w:t>
            </w:r>
            <w:r>
              <w:rPr>
                <w:rFonts w:hint="eastAsia" w:cs="Times New Roman"/>
                <w:color w:val="auto"/>
                <w:u w:val="none"/>
              </w:rPr>
              <w:t>表 1 中标准限值，颗粒物执行《印刷工业大气污染物排放标准》（GB 41616—2022）表1 中标准限值，二氧化硫、氮氧化物执行《印刷工业大气污染物排放标准》（GB41616—2022）表2 中标准限值，详见下表</w:t>
            </w:r>
            <w:r>
              <w:rPr>
                <w:rFonts w:hint="eastAsia" w:cs="Times New Roman"/>
                <w:color w:val="auto"/>
                <w:u w:val="none"/>
                <w:lang w:val="en-US" w:eastAsia="zh-CN"/>
              </w:rPr>
              <w:t>3-5、3-6</w:t>
            </w:r>
            <w:r>
              <w:rPr>
                <w:rFonts w:hint="eastAsia" w:cs="Times New Roman"/>
                <w:color w:val="auto"/>
                <w:u w:val="none"/>
              </w:rPr>
              <w:t>。</w:t>
            </w:r>
          </w:p>
          <w:p w14:paraId="54E24ACC">
            <w:pPr>
              <w:pStyle w:val="88"/>
              <w:keepNext w:val="0"/>
              <w:keepLines w:val="0"/>
              <w:suppressLineNumbers w:val="0"/>
              <w:bidi w:val="0"/>
              <w:spacing w:before="0" w:beforeAutospacing="0" w:after="0" w:afterAutospacing="0"/>
              <w:ind w:left="0" w:right="0"/>
              <w:rPr>
                <w:rFonts w:hint="default"/>
                <w:color w:val="auto"/>
                <w:u w:val="none"/>
              </w:rPr>
            </w:pPr>
            <w:r>
              <w:rPr>
                <w:rFonts w:hint="eastAsia"/>
                <w:color w:val="auto"/>
                <w:u w:val="none"/>
              </w:rPr>
              <w:t>表3-</w:t>
            </w:r>
            <w:r>
              <w:rPr>
                <w:rFonts w:hint="eastAsia"/>
                <w:color w:val="auto"/>
                <w:u w:val="none"/>
                <w:lang w:val="en-US" w:eastAsia="zh-CN"/>
              </w:rPr>
              <w:t xml:space="preserve">5 </w:t>
            </w:r>
            <w:r>
              <w:rPr>
                <w:rFonts w:hint="default"/>
                <w:color w:val="auto"/>
                <w:u w:val="none"/>
              </w:rPr>
              <w:t xml:space="preserve"> 《工业企业挥发性有机物排放标准》（DB43/3550-2026）</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2425"/>
              <w:gridCol w:w="2435"/>
              <w:gridCol w:w="1497"/>
              <w:gridCol w:w="1214"/>
            </w:tblGrid>
            <w:tr w14:paraId="6E0A5DF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454" w:hRule="atLeast"/>
                <w:jc w:val="center"/>
              </w:trPr>
              <w:tc>
                <w:tcPr>
                  <w:tcW w:w="503" w:type="pct"/>
                  <w:vMerge w:val="restart"/>
                  <w:noWrap w:val="0"/>
                  <w:vAlign w:val="center"/>
                </w:tcPr>
                <w:p w14:paraId="2B565585">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污染物</w:t>
                  </w:r>
                </w:p>
              </w:tc>
              <w:tc>
                <w:tcPr>
                  <w:tcW w:w="2886" w:type="pct"/>
                  <w:gridSpan w:val="2"/>
                  <w:noWrap w:val="0"/>
                  <w:vAlign w:val="center"/>
                </w:tcPr>
                <w:p w14:paraId="51D96D79">
                  <w:pPr>
                    <w:keepNext w:val="0"/>
                    <w:keepLines w:val="0"/>
                    <w:suppressLineNumbers w:val="0"/>
                    <w:spacing w:before="0" w:beforeAutospacing="0" w:after="0" w:afterAutospacing="0" w:line="240" w:lineRule="atLeast"/>
                    <w:ind w:left="0" w:right="0"/>
                    <w:jc w:val="center"/>
                    <w:rPr>
                      <w:rFonts w:hint="eastAsia" w:cs="Times New Roman"/>
                      <w:b/>
                      <w:color w:val="000000"/>
                      <w:szCs w:val="21"/>
                      <w:lang w:val="en-US" w:eastAsia="zh-CN"/>
                    </w:rPr>
                  </w:pPr>
                  <w:r>
                    <w:rPr>
                      <w:rFonts w:hint="eastAsia" w:cs="Times New Roman"/>
                      <w:b/>
                      <w:color w:val="000000"/>
                      <w:szCs w:val="21"/>
                      <w:lang w:val="en-US" w:eastAsia="zh-CN"/>
                    </w:rPr>
                    <w:t>有组织排放浓度限值</w:t>
                  </w:r>
                </w:p>
              </w:tc>
              <w:tc>
                <w:tcPr>
                  <w:tcW w:w="1610" w:type="pct"/>
                  <w:gridSpan w:val="2"/>
                  <w:noWrap w:val="0"/>
                  <w:vAlign w:val="center"/>
                </w:tcPr>
                <w:p w14:paraId="231AB05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无组织排放监控浓度</w:t>
                  </w:r>
                  <w:r>
                    <w:rPr>
                      <w:rFonts w:hint="eastAsia" w:ascii="Times New Roman" w:hAnsi="Times New Roman" w:cs="Times New Roman"/>
                      <w:b/>
                      <w:color w:val="000000"/>
                      <w:szCs w:val="21"/>
                    </w:rPr>
                    <w:t>限值</w:t>
                  </w:r>
                </w:p>
              </w:tc>
            </w:tr>
            <w:tr w14:paraId="23FCCAC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pct"/>
                  <w:vMerge w:val="continue"/>
                  <w:noWrap w:val="0"/>
                  <w:vAlign w:val="center"/>
                </w:tcPr>
                <w:p w14:paraId="5973FB11">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p>
              </w:tc>
              <w:tc>
                <w:tcPr>
                  <w:tcW w:w="2425" w:type="dxa"/>
                  <w:noWrap w:val="0"/>
                  <w:vAlign w:val="center"/>
                </w:tcPr>
                <w:p w14:paraId="6317D44F">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监控点</w:t>
                  </w:r>
                </w:p>
              </w:tc>
              <w:tc>
                <w:tcPr>
                  <w:tcW w:w="2435" w:type="dxa"/>
                  <w:noWrap w:val="0"/>
                  <w:vAlign w:val="center"/>
                </w:tcPr>
                <w:p w14:paraId="31B792D0">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浓度（mg/m³）</w:t>
                  </w:r>
                </w:p>
              </w:tc>
              <w:tc>
                <w:tcPr>
                  <w:tcW w:w="889" w:type="pct"/>
                  <w:noWrap w:val="0"/>
                  <w:vAlign w:val="center"/>
                </w:tcPr>
                <w:p w14:paraId="29AE2824">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监控点</w:t>
                  </w:r>
                </w:p>
              </w:tc>
              <w:tc>
                <w:tcPr>
                  <w:tcW w:w="721" w:type="pct"/>
                  <w:noWrap w:val="0"/>
                  <w:vAlign w:val="center"/>
                </w:tcPr>
                <w:p w14:paraId="28AF8AA9">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浓度（mg/m³）</w:t>
                  </w:r>
                </w:p>
              </w:tc>
            </w:tr>
            <w:tr w14:paraId="38791EE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3" w:type="pct"/>
                  <w:noWrap w:val="0"/>
                  <w:vAlign w:val="center"/>
                </w:tcPr>
                <w:p w14:paraId="0D3F7A5E">
                  <w:pPr>
                    <w:keepNext w:val="0"/>
                    <w:keepLines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000000"/>
                      <w:szCs w:val="21"/>
                      <w:lang w:val="en-US" w:eastAsia="zh-CN"/>
                    </w:rPr>
                  </w:pPr>
                  <w:r>
                    <w:rPr>
                      <w:rFonts w:hint="eastAsia" w:cs="Times New Roman"/>
                      <w:bCs/>
                      <w:color w:val="000000"/>
                      <w:szCs w:val="21"/>
                      <w:lang w:val="en-US" w:eastAsia="zh-CN"/>
                    </w:rPr>
                    <w:t>NMHC</w:t>
                  </w:r>
                </w:p>
              </w:tc>
              <w:tc>
                <w:tcPr>
                  <w:tcW w:w="1440" w:type="pct"/>
                  <w:noWrap w:val="0"/>
                  <w:vAlign w:val="center"/>
                </w:tcPr>
                <w:p w14:paraId="5007D99E">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eastAsia" w:cs="Times New Roman"/>
                      <w:bCs/>
                      <w:color w:val="000000"/>
                      <w:szCs w:val="21"/>
                      <w:lang w:val="en-US" w:eastAsia="zh-CN"/>
                    </w:rPr>
                    <w:t>生产设施排气筒</w:t>
                  </w:r>
                </w:p>
              </w:tc>
              <w:tc>
                <w:tcPr>
                  <w:tcW w:w="1445" w:type="pct"/>
                  <w:noWrap w:val="0"/>
                  <w:vAlign w:val="center"/>
                </w:tcPr>
                <w:p w14:paraId="7035F806">
                  <w:pPr>
                    <w:keepNext w:val="0"/>
                    <w:keepLines w:val="0"/>
                    <w:suppressLineNumbers w:val="0"/>
                    <w:spacing w:before="0" w:beforeAutospacing="0" w:after="0" w:afterAutospacing="0" w:line="240" w:lineRule="atLeast"/>
                    <w:ind w:left="0" w:right="0"/>
                    <w:jc w:val="center"/>
                    <w:rPr>
                      <w:rFonts w:hint="eastAsia" w:cs="Times New Roman"/>
                      <w:bCs/>
                      <w:color w:val="000000"/>
                      <w:szCs w:val="21"/>
                      <w:lang w:val="en-US" w:eastAsia="zh-CN"/>
                    </w:rPr>
                  </w:pPr>
                  <w:r>
                    <w:rPr>
                      <w:rFonts w:hint="eastAsia" w:cs="Times New Roman"/>
                      <w:bCs/>
                      <w:color w:val="000000"/>
                      <w:szCs w:val="21"/>
                      <w:lang w:val="en-US" w:eastAsia="zh-CN"/>
                    </w:rPr>
                    <w:t>40</w:t>
                  </w:r>
                </w:p>
              </w:tc>
              <w:tc>
                <w:tcPr>
                  <w:tcW w:w="889" w:type="pct"/>
                  <w:noWrap w:val="0"/>
                  <w:vAlign w:val="center"/>
                </w:tcPr>
                <w:p w14:paraId="718D80DF">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周界外浓度最高点</w:t>
                  </w:r>
                </w:p>
              </w:tc>
              <w:tc>
                <w:tcPr>
                  <w:tcW w:w="721" w:type="pct"/>
                  <w:noWrap w:val="0"/>
                  <w:vAlign w:val="center"/>
                </w:tcPr>
                <w:p w14:paraId="01C286D1">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1.0</w:t>
                  </w:r>
                </w:p>
              </w:tc>
            </w:tr>
          </w:tbl>
          <w:p w14:paraId="604F7D8D">
            <w:pPr>
              <w:pStyle w:val="88"/>
              <w:keepNext w:val="0"/>
              <w:keepLines w:val="0"/>
              <w:suppressLineNumbers w:val="0"/>
              <w:bidi w:val="0"/>
              <w:spacing w:before="0" w:beforeAutospacing="0" w:after="0" w:afterAutospacing="0"/>
              <w:ind w:left="0" w:right="0"/>
              <w:rPr>
                <w:rFonts w:hint="default"/>
                <w:color w:val="auto"/>
                <w:u w:val="none"/>
              </w:rPr>
            </w:pPr>
            <w:r>
              <w:rPr>
                <w:rFonts w:hint="eastAsia"/>
                <w:color w:val="auto"/>
                <w:u w:val="none"/>
              </w:rPr>
              <w:t>表3-</w:t>
            </w:r>
            <w:r>
              <w:rPr>
                <w:rFonts w:hint="eastAsia"/>
                <w:color w:val="auto"/>
                <w:u w:val="none"/>
                <w:lang w:val="en-US" w:eastAsia="zh-CN"/>
              </w:rPr>
              <w:t xml:space="preserve">6 </w:t>
            </w:r>
            <w:r>
              <w:rPr>
                <w:rFonts w:hint="default"/>
                <w:color w:val="auto"/>
                <w:u w:val="none"/>
              </w:rPr>
              <w:t xml:space="preserve"> </w:t>
            </w:r>
            <w:r>
              <w:rPr>
                <w:rFonts w:hint="eastAsia" w:cs="Times New Roman"/>
                <w:color w:val="auto"/>
                <w:u w:val="none"/>
              </w:rPr>
              <w:t>《印刷工业大气污染物排放标准》（GB41616—2022）</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49"/>
              <w:gridCol w:w="3577"/>
              <w:gridCol w:w="3592"/>
            </w:tblGrid>
            <w:tr w14:paraId="2BE30E9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2" w:type="pct"/>
                  <w:vMerge w:val="restart"/>
                  <w:noWrap w:val="0"/>
                  <w:vAlign w:val="center"/>
                </w:tcPr>
                <w:p w14:paraId="639A21D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污染物</w:t>
                  </w:r>
                </w:p>
              </w:tc>
              <w:tc>
                <w:tcPr>
                  <w:tcW w:w="4257" w:type="pct"/>
                  <w:gridSpan w:val="2"/>
                  <w:noWrap w:val="0"/>
                  <w:vAlign w:val="center"/>
                </w:tcPr>
                <w:p w14:paraId="55F6C4CB">
                  <w:pPr>
                    <w:keepNext w:val="0"/>
                    <w:keepLines w:val="0"/>
                    <w:suppressLineNumbers w:val="0"/>
                    <w:spacing w:before="0" w:beforeAutospacing="0" w:after="0" w:afterAutospacing="0" w:line="240" w:lineRule="atLeast"/>
                    <w:ind w:left="0" w:right="0"/>
                    <w:jc w:val="center"/>
                    <w:rPr>
                      <w:rFonts w:hint="eastAsia" w:cs="Times New Roman"/>
                      <w:b/>
                      <w:color w:val="000000"/>
                      <w:szCs w:val="21"/>
                      <w:lang w:val="en-US" w:eastAsia="zh-CN"/>
                    </w:rPr>
                  </w:pPr>
                  <w:r>
                    <w:rPr>
                      <w:rFonts w:hint="eastAsia" w:cs="Times New Roman"/>
                      <w:b/>
                      <w:color w:val="000000"/>
                      <w:szCs w:val="21"/>
                      <w:lang w:val="en-US" w:eastAsia="zh-CN"/>
                    </w:rPr>
                    <w:t>有组织排放浓度限值</w:t>
                  </w:r>
                </w:p>
              </w:tc>
            </w:tr>
            <w:tr w14:paraId="28758CF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2" w:type="pct"/>
                  <w:vMerge w:val="continue"/>
                  <w:noWrap w:val="0"/>
                  <w:vAlign w:val="center"/>
                </w:tcPr>
                <w:p w14:paraId="1F111C29">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000000"/>
                      <w:szCs w:val="21"/>
                    </w:rPr>
                  </w:pPr>
                </w:p>
              </w:tc>
              <w:tc>
                <w:tcPr>
                  <w:tcW w:w="2124" w:type="pct"/>
                  <w:noWrap w:val="0"/>
                  <w:vAlign w:val="center"/>
                </w:tcPr>
                <w:p w14:paraId="376EA174">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监控点</w:t>
                  </w:r>
                </w:p>
              </w:tc>
              <w:tc>
                <w:tcPr>
                  <w:tcW w:w="2133" w:type="pct"/>
                  <w:noWrap w:val="0"/>
                  <w:vAlign w:val="center"/>
                </w:tcPr>
                <w:p w14:paraId="5A071062">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color w:val="000000"/>
                      <w:szCs w:val="21"/>
                    </w:rPr>
                  </w:pPr>
                  <w:r>
                    <w:rPr>
                      <w:rFonts w:hint="default" w:ascii="Times New Roman" w:hAnsi="Times New Roman" w:cs="Times New Roman"/>
                      <w:b/>
                      <w:color w:val="000000"/>
                      <w:szCs w:val="21"/>
                    </w:rPr>
                    <w:t>浓度（mg/m³）</w:t>
                  </w:r>
                </w:p>
              </w:tc>
            </w:tr>
            <w:tr w14:paraId="3DE5E8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2" w:type="pct"/>
                  <w:noWrap w:val="0"/>
                  <w:vAlign w:val="center"/>
                </w:tcPr>
                <w:p w14:paraId="0DCDDB4C">
                  <w:pPr>
                    <w:keepNext w:val="0"/>
                    <w:keepLines w:val="0"/>
                    <w:suppressLineNumbers w:val="0"/>
                    <w:spacing w:before="0" w:beforeAutospacing="0" w:after="0" w:afterAutospacing="0" w:line="240" w:lineRule="atLeast"/>
                    <w:ind w:left="0" w:right="0"/>
                    <w:jc w:val="center"/>
                    <w:rPr>
                      <w:rFonts w:hint="default" w:ascii="Times New Roman" w:hAnsi="Times New Roman" w:eastAsia="宋体" w:cs="Times New Roman"/>
                      <w:bCs/>
                      <w:color w:val="000000"/>
                      <w:szCs w:val="21"/>
                      <w:lang w:val="en-US" w:eastAsia="zh-CN"/>
                    </w:rPr>
                  </w:pPr>
                  <w:r>
                    <w:rPr>
                      <w:rFonts w:hint="eastAsia" w:cs="Times New Roman"/>
                      <w:bCs/>
                      <w:color w:val="000000"/>
                      <w:szCs w:val="21"/>
                      <w:lang w:val="en-US" w:eastAsia="zh-CN"/>
                    </w:rPr>
                    <w:t>颗粒物</w:t>
                  </w:r>
                </w:p>
              </w:tc>
              <w:tc>
                <w:tcPr>
                  <w:tcW w:w="2124" w:type="pct"/>
                  <w:vMerge w:val="restart"/>
                  <w:noWrap w:val="0"/>
                  <w:vAlign w:val="center"/>
                </w:tcPr>
                <w:p w14:paraId="6795B06B">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default" w:cs="Times New Roman"/>
                      <w:bCs/>
                      <w:color w:val="000000"/>
                      <w:szCs w:val="21"/>
                      <w:lang w:val="en-US" w:eastAsia="zh-CN"/>
                    </w:rPr>
                    <w:t>燃烧（焚烧、氧化）装置排气筒</w:t>
                  </w:r>
                </w:p>
              </w:tc>
              <w:tc>
                <w:tcPr>
                  <w:tcW w:w="2133" w:type="pct"/>
                  <w:noWrap w:val="0"/>
                  <w:vAlign w:val="center"/>
                </w:tcPr>
                <w:p w14:paraId="5573FD81">
                  <w:pPr>
                    <w:keepNext w:val="0"/>
                    <w:keepLines w:val="0"/>
                    <w:suppressLineNumbers w:val="0"/>
                    <w:spacing w:before="0" w:beforeAutospacing="0" w:after="0" w:afterAutospacing="0" w:line="240" w:lineRule="atLeast"/>
                    <w:ind w:left="0" w:right="0"/>
                    <w:jc w:val="center"/>
                    <w:rPr>
                      <w:rFonts w:hint="eastAsia" w:cs="Times New Roman"/>
                      <w:bCs/>
                      <w:color w:val="000000"/>
                      <w:szCs w:val="21"/>
                      <w:lang w:val="en-US" w:eastAsia="zh-CN"/>
                    </w:rPr>
                  </w:pPr>
                  <w:r>
                    <w:rPr>
                      <w:rFonts w:hint="eastAsia" w:cs="Times New Roman"/>
                      <w:bCs/>
                      <w:color w:val="000000"/>
                      <w:szCs w:val="21"/>
                      <w:lang w:val="en-US" w:eastAsia="zh-CN"/>
                    </w:rPr>
                    <w:t>30</w:t>
                  </w:r>
                </w:p>
              </w:tc>
            </w:tr>
            <w:tr w14:paraId="34F292E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2" w:type="pct"/>
                  <w:noWrap w:val="0"/>
                  <w:vAlign w:val="center"/>
                </w:tcPr>
                <w:p w14:paraId="4210519B">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eastAsia" w:cs="Times New Roman"/>
                      <w:bCs/>
                      <w:color w:val="000000"/>
                      <w:szCs w:val="21"/>
                      <w:lang w:val="en-US" w:eastAsia="zh-CN"/>
                    </w:rPr>
                    <w:t>二氧化硫</w:t>
                  </w:r>
                </w:p>
              </w:tc>
              <w:tc>
                <w:tcPr>
                  <w:tcW w:w="2124" w:type="pct"/>
                  <w:vMerge w:val="continue"/>
                  <w:noWrap w:val="0"/>
                  <w:vAlign w:val="center"/>
                </w:tcPr>
                <w:p w14:paraId="27DA7985">
                  <w:pPr>
                    <w:keepNext w:val="0"/>
                    <w:keepLines w:val="0"/>
                    <w:suppressLineNumbers w:val="0"/>
                    <w:spacing w:before="0" w:beforeAutospacing="0" w:after="0" w:afterAutospacing="0" w:line="240" w:lineRule="atLeast"/>
                    <w:ind w:left="0" w:right="0"/>
                    <w:jc w:val="center"/>
                    <w:rPr>
                      <w:rFonts w:hint="eastAsia" w:cs="Times New Roman"/>
                      <w:bCs/>
                      <w:color w:val="000000"/>
                      <w:szCs w:val="21"/>
                      <w:lang w:val="en-US" w:eastAsia="zh-CN"/>
                    </w:rPr>
                  </w:pPr>
                </w:p>
              </w:tc>
              <w:tc>
                <w:tcPr>
                  <w:tcW w:w="2133" w:type="pct"/>
                  <w:noWrap w:val="0"/>
                  <w:vAlign w:val="center"/>
                </w:tcPr>
                <w:p w14:paraId="1CF29AE3">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eastAsia" w:cs="Times New Roman"/>
                      <w:bCs/>
                      <w:color w:val="000000"/>
                      <w:szCs w:val="21"/>
                      <w:lang w:val="en-US" w:eastAsia="zh-CN"/>
                    </w:rPr>
                    <w:t>200</w:t>
                  </w:r>
                </w:p>
              </w:tc>
            </w:tr>
            <w:tr w14:paraId="414AE53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2" w:type="pct"/>
                  <w:noWrap w:val="0"/>
                  <w:vAlign w:val="center"/>
                </w:tcPr>
                <w:p w14:paraId="37C1A6C9">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eastAsia" w:cs="Times New Roman"/>
                      <w:bCs/>
                      <w:color w:val="000000"/>
                      <w:szCs w:val="21"/>
                      <w:lang w:val="en-US" w:eastAsia="zh-CN"/>
                    </w:rPr>
                    <w:t>氮氧化物</w:t>
                  </w:r>
                </w:p>
              </w:tc>
              <w:tc>
                <w:tcPr>
                  <w:tcW w:w="2124" w:type="pct"/>
                  <w:vMerge w:val="continue"/>
                  <w:noWrap w:val="0"/>
                  <w:vAlign w:val="center"/>
                </w:tcPr>
                <w:p w14:paraId="11A5FE63">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p>
              </w:tc>
              <w:tc>
                <w:tcPr>
                  <w:tcW w:w="2133" w:type="pct"/>
                  <w:noWrap w:val="0"/>
                  <w:vAlign w:val="center"/>
                </w:tcPr>
                <w:p w14:paraId="5BD04C5C">
                  <w:pPr>
                    <w:keepNext w:val="0"/>
                    <w:keepLines w:val="0"/>
                    <w:suppressLineNumbers w:val="0"/>
                    <w:spacing w:before="0" w:beforeAutospacing="0" w:after="0" w:afterAutospacing="0" w:line="240" w:lineRule="atLeast"/>
                    <w:ind w:left="0" w:right="0"/>
                    <w:jc w:val="center"/>
                    <w:rPr>
                      <w:rFonts w:hint="default" w:cs="Times New Roman"/>
                      <w:bCs/>
                      <w:color w:val="000000"/>
                      <w:szCs w:val="21"/>
                      <w:lang w:val="en-US" w:eastAsia="zh-CN"/>
                    </w:rPr>
                  </w:pPr>
                  <w:r>
                    <w:rPr>
                      <w:rFonts w:hint="eastAsia" w:cs="Times New Roman"/>
                      <w:bCs/>
                      <w:color w:val="000000"/>
                      <w:szCs w:val="21"/>
                      <w:lang w:val="en-US" w:eastAsia="zh-CN"/>
                    </w:rPr>
                    <w:t>200</w:t>
                  </w:r>
                </w:p>
              </w:tc>
            </w:tr>
          </w:tbl>
          <w:p w14:paraId="175BB760">
            <w:pPr>
              <w:keepNext w:val="0"/>
              <w:keepLines w:val="0"/>
              <w:suppressLineNumbers w:val="0"/>
              <w:adjustRightInd w:val="0"/>
              <w:spacing w:before="120" w:beforeLines="50" w:beforeAutospacing="0" w:after="0" w:afterAutospacing="0" w:line="360" w:lineRule="auto"/>
              <w:ind w:left="0" w:right="0"/>
              <w:rPr>
                <w:rFonts w:hint="default" w:ascii="Times New Roman" w:hAnsi="Times New Roman" w:cs="Times New Roman"/>
                <w:color w:val="auto"/>
                <w:kern w:val="0"/>
                <w:sz w:val="24"/>
                <w:szCs w:val="24"/>
                <w:highlight w:val="none"/>
              </w:rPr>
            </w:pPr>
            <w:r>
              <w:rPr>
                <w:rFonts w:hint="default" w:ascii="Times New Roman" w:hAnsi="Times New Roman" w:cs="Times New Roman"/>
                <w:b/>
                <w:bCs/>
                <w:color w:val="auto"/>
                <w:kern w:val="0"/>
                <w:sz w:val="24"/>
                <w:szCs w:val="24"/>
                <w:highlight w:val="none"/>
              </w:rPr>
              <w:t>2、水污染物排放标准</w:t>
            </w:r>
          </w:p>
          <w:p w14:paraId="5E8FFB7E">
            <w:pPr>
              <w:pStyle w:val="84"/>
              <w:keepNext w:val="0"/>
              <w:keepLines w:val="0"/>
              <w:suppressLineNumbers w:val="0"/>
              <w:bidi w:val="0"/>
              <w:spacing w:before="0" w:beforeAutospacing="0" w:after="0" w:afterAutospacing="0"/>
              <w:ind w:left="0" w:right="0"/>
              <w:rPr>
                <w:rFonts w:hint="eastAsia" w:cs="Times New Roman"/>
                <w:color w:val="auto"/>
                <w:u w:val="none"/>
              </w:rPr>
            </w:pPr>
            <w:r>
              <w:rPr>
                <w:rFonts w:hint="eastAsia" w:cs="Times New Roman"/>
                <w:color w:val="auto"/>
                <w:u w:val="none"/>
              </w:rPr>
              <w:t>项目</w:t>
            </w:r>
            <w:r>
              <w:rPr>
                <w:rFonts w:hint="eastAsia" w:cs="Times New Roman"/>
                <w:color w:val="auto"/>
                <w:u w:val="none"/>
                <w:lang w:eastAsia="zh-CN"/>
              </w:rPr>
              <w:t>生活污水</w:t>
            </w:r>
            <w:r>
              <w:rPr>
                <w:rFonts w:hint="eastAsia" w:cs="Times New Roman"/>
                <w:color w:val="auto"/>
                <w:u w:val="none"/>
                <w:lang w:val="en-US" w:eastAsia="zh-CN"/>
              </w:rPr>
              <w:t>经化粪池处理达到《污水综合排放标准》（GB8978-1996）表 4 中三级标准和污水处理厂接纳标准后排入污水处理厂深度处理，项目排放标准详见表3-7</w:t>
            </w:r>
            <w:r>
              <w:rPr>
                <w:rFonts w:hint="eastAsia" w:cs="Times New Roman"/>
                <w:color w:val="auto"/>
                <w:u w:val="none"/>
              </w:rPr>
              <w:t>。</w:t>
            </w:r>
          </w:p>
          <w:p w14:paraId="3F24D757">
            <w:pPr>
              <w:pStyle w:val="14"/>
              <w:keepLines w:val="0"/>
              <w:suppressLineNumbers w:val="0"/>
              <w:spacing w:before="120" w:beforeLines="50" w:beforeAutospacing="0" w:after="0" w:afterAutospacing="0" w:line="360" w:lineRule="auto"/>
              <w:ind w:left="0" w:right="0"/>
              <w:jc w:val="center"/>
              <w:rPr>
                <w:rFonts w:hint="default" w:ascii="Times New Roman" w:hAnsi="Times New Roman" w:eastAsia="宋体" w:cs="Times New Roman"/>
                <w:b/>
                <w:sz w:val="21"/>
                <w:szCs w:val="21"/>
              </w:rPr>
            </w:pPr>
            <w:r>
              <w:rPr>
                <w:rFonts w:hint="eastAsia" w:ascii="Times New Roman" w:hAnsi="Times New Roman" w:eastAsia="宋体" w:cs="Times New Roman"/>
                <w:b/>
                <w:color w:val="auto"/>
                <w:kern w:val="2"/>
                <w:sz w:val="21"/>
                <w:szCs w:val="22"/>
                <w:u w:val="none"/>
                <w:lang w:val="en-US" w:eastAsia="zh-CN" w:bidi="ar-SA"/>
              </w:rPr>
              <w:t>表 3-</w:t>
            </w:r>
            <w:r>
              <w:rPr>
                <w:rFonts w:hint="eastAsia" w:cs="Times New Roman"/>
                <w:b/>
                <w:color w:val="auto"/>
                <w:kern w:val="2"/>
                <w:sz w:val="21"/>
                <w:szCs w:val="22"/>
                <w:u w:val="none"/>
                <w:lang w:val="en-US" w:eastAsia="zh-CN" w:bidi="ar-SA"/>
              </w:rPr>
              <w:t>7</w:t>
            </w:r>
            <w:r>
              <w:rPr>
                <w:rFonts w:hint="eastAsia" w:ascii="Times New Roman" w:hAnsi="Times New Roman" w:eastAsia="宋体" w:cs="Times New Roman"/>
                <w:b/>
                <w:color w:val="auto"/>
                <w:kern w:val="2"/>
                <w:sz w:val="21"/>
                <w:szCs w:val="22"/>
                <w:u w:val="none"/>
                <w:lang w:val="en-US" w:eastAsia="zh-CN" w:bidi="ar-SA"/>
              </w:rPr>
              <w:t xml:space="preserve"> </w:t>
            </w:r>
            <w:r>
              <w:rPr>
                <w:rFonts w:hint="default" w:ascii="Times New Roman" w:hAnsi="Times New Roman" w:eastAsia="宋体" w:cs="Times New Roman"/>
                <w:b/>
                <w:sz w:val="21"/>
                <w:szCs w:val="21"/>
              </w:rPr>
              <w:t>污水排放标准(浓度单位：mg/L，pH无量纲)</w:t>
            </w:r>
          </w:p>
          <w:tbl>
            <w:tblPr>
              <w:tblStyle w:val="44"/>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autofit"/>
              <w:tblCellMar>
                <w:top w:w="0" w:type="dxa"/>
                <w:left w:w="108" w:type="dxa"/>
                <w:bottom w:w="0" w:type="dxa"/>
                <w:right w:w="108" w:type="dxa"/>
              </w:tblCellMar>
            </w:tblPr>
            <w:tblGrid>
              <w:gridCol w:w="1927"/>
              <w:gridCol w:w="908"/>
              <w:gridCol w:w="1056"/>
              <w:gridCol w:w="923"/>
              <w:gridCol w:w="896"/>
              <w:gridCol w:w="670"/>
              <w:gridCol w:w="1145"/>
              <w:gridCol w:w="891"/>
            </w:tblGrid>
            <w:tr w14:paraId="27F6F425">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454" w:hRule="atLeast"/>
                <w:jc w:val="center"/>
              </w:trPr>
              <w:tc>
                <w:tcPr>
                  <w:tcW w:w="1144" w:type="pct"/>
                  <w:tcBorders>
                    <w:tl2br w:val="nil"/>
                    <w:tr2bl w:val="nil"/>
                  </w:tcBorders>
                  <w:noWrap w:val="0"/>
                  <w:vAlign w:val="center"/>
                </w:tcPr>
                <w:p w14:paraId="5EC968F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项目</w:t>
                  </w:r>
                </w:p>
              </w:tc>
              <w:tc>
                <w:tcPr>
                  <w:tcW w:w="539" w:type="pct"/>
                  <w:tcBorders>
                    <w:tl2br w:val="nil"/>
                    <w:tr2bl w:val="nil"/>
                  </w:tcBorders>
                  <w:noWrap w:val="0"/>
                  <w:vAlign w:val="center"/>
                </w:tcPr>
                <w:p w14:paraId="46DE39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eastAsia" w:ascii="Times New Roman" w:hAnsi="Times New Roman" w:cs="Times New Roman"/>
                      <w:sz w:val="21"/>
                      <w:szCs w:val="21"/>
                    </w:rPr>
                    <w:t>pH值</w:t>
                  </w:r>
                </w:p>
              </w:tc>
              <w:tc>
                <w:tcPr>
                  <w:tcW w:w="627" w:type="pct"/>
                  <w:tcBorders>
                    <w:tl2br w:val="nil"/>
                    <w:tr2bl w:val="nil"/>
                  </w:tcBorders>
                  <w:noWrap w:val="0"/>
                  <w:vAlign w:val="center"/>
                </w:tcPr>
                <w:p w14:paraId="24A5E7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CODcr</w:t>
                  </w:r>
                </w:p>
              </w:tc>
              <w:tc>
                <w:tcPr>
                  <w:tcW w:w="548" w:type="pct"/>
                  <w:tcBorders>
                    <w:tl2br w:val="nil"/>
                    <w:tr2bl w:val="nil"/>
                  </w:tcBorders>
                  <w:noWrap w:val="0"/>
                  <w:vAlign w:val="center"/>
                </w:tcPr>
                <w:p w14:paraId="7BEFB71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BOD</w:t>
                  </w:r>
                  <w:r>
                    <w:rPr>
                      <w:rFonts w:hint="default" w:ascii="Times New Roman" w:hAnsi="Times New Roman" w:cs="Times New Roman"/>
                      <w:sz w:val="21"/>
                      <w:szCs w:val="21"/>
                      <w:vertAlign w:val="subscript"/>
                    </w:rPr>
                    <w:t>5</w:t>
                  </w:r>
                </w:p>
              </w:tc>
              <w:tc>
                <w:tcPr>
                  <w:tcW w:w="532" w:type="pct"/>
                  <w:tcBorders>
                    <w:tl2br w:val="nil"/>
                    <w:tr2bl w:val="nil"/>
                  </w:tcBorders>
                  <w:noWrap w:val="0"/>
                  <w:vAlign w:val="center"/>
                </w:tcPr>
                <w:p w14:paraId="122D88D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SS</w:t>
                  </w:r>
                </w:p>
              </w:tc>
              <w:tc>
                <w:tcPr>
                  <w:tcW w:w="398" w:type="pct"/>
                  <w:tcBorders>
                    <w:tl2br w:val="nil"/>
                    <w:tr2bl w:val="nil"/>
                  </w:tcBorders>
                  <w:noWrap w:val="0"/>
                  <w:vAlign w:val="center"/>
                </w:tcPr>
                <w:p w14:paraId="0E58823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氨氮</w:t>
                  </w:r>
                </w:p>
              </w:tc>
              <w:tc>
                <w:tcPr>
                  <w:tcW w:w="680" w:type="pct"/>
                  <w:tcBorders>
                    <w:tl2br w:val="nil"/>
                    <w:tr2bl w:val="nil"/>
                  </w:tcBorders>
                  <w:noWrap w:val="0"/>
                  <w:vAlign w:val="center"/>
                </w:tcPr>
                <w:p w14:paraId="353334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动植物油</w:t>
                  </w:r>
                </w:p>
              </w:tc>
              <w:tc>
                <w:tcPr>
                  <w:tcW w:w="529" w:type="pct"/>
                  <w:tcBorders>
                    <w:tl2br w:val="nil"/>
                    <w:tr2bl w:val="nil"/>
                  </w:tcBorders>
                  <w:noWrap w:val="0"/>
                  <w:vAlign w:val="center"/>
                </w:tcPr>
                <w:p w14:paraId="730C123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总磷</w:t>
                  </w:r>
                </w:p>
              </w:tc>
            </w:tr>
            <w:tr w14:paraId="35ECD35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454" w:hRule="atLeast"/>
                <w:jc w:val="center"/>
              </w:trPr>
              <w:tc>
                <w:tcPr>
                  <w:tcW w:w="1144" w:type="pct"/>
                  <w:tcBorders>
                    <w:tl2br w:val="nil"/>
                    <w:tr2bl w:val="nil"/>
                  </w:tcBorders>
                  <w:noWrap w:val="0"/>
                  <w:vAlign w:val="center"/>
                </w:tcPr>
                <w:p w14:paraId="6D5DA92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《污水综合排放标准》(GB8978-1996)表4中的三级标准</w:t>
                  </w:r>
                </w:p>
              </w:tc>
              <w:tc>
                <w:tcPr>
                  <w:tcW w:w="539" w:type="pct"/>
                  <w:tcBorders>
                    <w:tl2br w:val="nil"/>
                    <w:tr2bl w:val="nil"/>
                  </w:tcBorders>
                  <w:noWrap w:val="0"/>
                  <w:vAlign w:val="center"/>
                </w:tcPr>
                <w:p w14:paraId="7E58AB5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6~9</w:t>
                  </w:r>
                </w:p>
              </w:tc>
              <w:tc>
                <w:tcPr>
                  <w:tcW w:w="627" w:type="pct"/>
                  <w:tcBorders>
                    <w:tl2br w:val="nil"/>
                    <w:tr2bl w:val="nil"/>
                  </w:tcBorders>
                  <w:noWrap w:val="0"/>
                  <w:vAlign w:val="center"/>
                </w:tcPr>
                <w:p w14:paraId="356C996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500</w:t>
                  </w:r>
                </w:p>
              </w:tc>
              <w:tc>
                <w:tcPr>
                  <w:tcW w:w="548" w:type="pct"/>
                  <w:tcBorders>
                    <w:tl2br w:val="nil"/>
                    <w:tr2bl w:val="nil"/>
                  </w:tcBorders>
                  <w:noWrap w:val="0"/>
                  <w:vAlign w:val="center"/>
                </w:tcPr>
                <w:p w14:paraId="779A62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300</w:t>
                  </w:r>
                </w:p>
              </w:tc>
              <w:tc>
                <w:tcPr>
                  <w:tcW w:w="532" w:type="pct"/>
                  <w:tcBorders>
                    <w:tl2br w:val="nil"/>
                    <w:tr2bl w:val="nil"/>
                  </w:tcBorders>
                  <w:noWrap w:val="0"/>
                  <w:vAlign w:val="center"/>
                </w:tcPr>
                <w:p w14:paraId="7D55DD4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400</w:t>
                  </w:r>
                </w:p>
              </w:tc>
              <w:tc>
                <w:tcPr>
                  <w:tcW w:w="398" w:type="pct"/>
                  <w:tcBorders>
                    <w:tl2br w:val="nil"/>
                    <w:tr2bl w:val="nil"/>
                  </w:tcBorders>
                  <w:noWrap w:val="0"/>
                  <w:vAlign w:val="center"/>
                </w:tcPr>
                <w:p w14:paraId="33EF64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680" w:type="pct"/>
                  <w:tcBorders>
                    <w:tl2br w:val="nil"/>
                    <w:tr2bl w:val="nil"/>
                  </w:tcBorders>
                  <w:noWrap w:val="0"/>
                  <w:vAlign w:val="center"/>
                </w:tcPr>
                <w:p w14:paraId="6009B89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c>
                <w:tcPr>
                  <w:tcW w:w="529" w:type="pct"/>
                  <w:tcBorders>
                    <w:tl2br w:val="nil"/>
                    <w:tr2bl w:val="nil"/>
                  </w:tcBorders>
                  <w:noWrap w:val="0"/>
                  <w:vAlign w:val="center"/>
                </w:tcPr>
                <w:p w14:paraId="783197B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r>
            <w:tr w14:paraId="3064330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454" w:hRule="atLeast"/>
                <w:jc w:val="center"/>
              </w:trPr>
              <w:tc>
                <w:tcPr>
                  <w:tcW w:w="1144" w:type="pct"/>
                  <w:tcBorders>
                    <w:tl2br w:val="nil"/>
                    <w:tr2bl w:val="nil"/>
                  </w:tcBorders>
                  <w:noWrap w:val="0"/>
                  <w:vAlign w:val="center"/>
                </w:tcPr>
                <w:p w14:paraId="59D86A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祁阳</w:t>
                  </w:r>
                  <w:r>
                    <w:rPr>
                      <w:rFonts w:hint="eastAsia" w:ascii="Times New Roman" w:hAnsi="Times New Roman" w:cs="Times New Roman"/>
                      <w:sz w:val="21"/>
                      <w:szCs w:val="21"/>
                      <w:lang w:val="en-US" w:eastAsia="zh-CN"/>
                    </w:rPr>
                    <w:t>白竹</w:t>
                  </w:r>
                  <w:r>
                    <w:rPr>
                      <w:rFonts w:hint="default" w:ascii="Times New Roman" w:hAnsi="Times New Roman" w:cs="Times New Roman"/>
                      <w:sz w:val="21"/>
                      <w:szCs w:val="21"/>
                    </w:rPr>
                    <w:t>污水处理厂进水水质要求</w:t>
                  </w:r>
                </w:p>
              </w:tc>
              <w:tc>
                <w:tcPr>
                  <w:tcW w:w="539" w:type="pct"/>
                  <w:tcBorders>
                    <w:tl2br w:val="nil"/>
                    <w:tr2bl w:val="nil"/>
                  </w:tcBorders>
                  <w:noWrap w:val="0"/>
                  <w:vAlign w:val="center"/>
                </w:tcPr>
                <w:p w14:paraId="41924F4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eastAsia" w:ascii="Times New Roman" w:hAnsi="Times New Roman" w:cs="Times New Roman"/>
                      <w:sz w:val="21"/>
                      <w:szCs w:val="21"/>
                      <w:lang w:val="en-US" w:eastAsia="zh-CN"/>
                    </w:rPr>
                    <w:t>6~9</w:t>
                  </w:r>
                </w:p>
              </w:tc>
              <w:tc>
                <w:tcPr>
                  <w:tcW w:w="627" w:type="pct"/>
                  <w:tcBorders>
                    <w:tl2br w:val="nil"/>
                    <w:tr2bl w:val="nil"/>
                  </w:tcBorders>
                  <w:noWrap w:val="0"/>
                  <w:vAlign w:val="center"/>
                </w:tcPr>
                <w:p w14:paraId="0780D9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5</w:t>
                  </w:r>
                  <w:r>
                    <w:rPr>
                      <w:rFonts w:hint="default" w:ascii="Times New Roman" w:hAnsi="Times New Roman" w:cs="Times New Roman"/>
                      <w:color w:val="auto"/>
                      <w:sz w:val="21"/>
                      <w:szCs w:val="21"/>
                    </w:rPr>
                    <w:t>0</w:t>
                  </w:r>
                </w:p>
              </w:tc>
              <w:tc>
                <w:tcPr>
                  <w:tcW w:w="548" w:type="pct"/>
                  <w:tcBorders>
                    <w:tl2br w:val="nil"/>
                    <w:tr2bl w:val="nil"/>
                  </w:tcBorders>
                  <w:noWrap w:val="0"/>
                  <w:vAlign w:val="center"/>
                </w:tcPr>
                <w:p w14:paraId="6AE9D2E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14</w:t>
                  </w:r>
                  <w:r>
                    <w:rPr>
                      <w:rFonts w:hint="default" w:ascii="Times New Roman" w:hAnsi="Times New Roman" w:cs="Times New Roman"/>
                      <w:color w:val="auto"/>
                      <w:sz w:val="21"/>
                      <w:szCs w:val="21"/>
                    </w:rPr>
                    <w:t>0</w:t>
                  </w:r>
                </w:p>
              </w:tc>
              <w:tc>
                <w:tcPr>
                  <w:tcW w:w="532" w:type="pct"/>
                  <w:tcBorders>
                    <w:tl2br w:val="nil"/>
                    <w:tr2bl w:val="nil"/>
                  </w:tcBorders>
                  <w:noWrap w:val="0"/>
                  <w:vAlign w:val="center"/>
                </w:tcPr>
                <w:p w14:paraId="6CA875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25</w:t>
                  </w:r>
                  <w:r>
                    <w:rPr>
                      <w:rFonts w:hint="default" w:ascii="Times New Roman" w:hAnsi="Times New Roman" w:cs="Times New Roman"/>
                      <w:color w:val="auto"/>
                      <w:sz w:val="21"/>
                      <w:szCs w:val="21"/>
                    </w:rPr>
                    <w:t>0</w:t>
                  </w:r>
                </w:p>
              </w:tc>
              <w:tc>
                <w:tcPr>
                  <w:tcW w:w="398" w:type="pct"/>
                  <w:tcBorders>
                    <w:tl2br w:val="nil"/>
                    <w:tr2bl w:val="nil"/>
                  </w:tcBorders>
                  <w:noWrap w:val="0"/>
                  <w:vAlign w:val="center"/>
                </w:tcPr>
                <w:p w14:paraId="272CB7D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p>
              </w:tc>
              <w:tc>
                <w:tcPr>
                  <w:tcW w:w="680" w:type="pct"/>
                  <w:tcBorders>
                    <w:tl2br w:val="nil"/>
                    <w:tr2bl w:val="nil"/>
                  </w:tcBorders>
                  <w:noWrap w:val="0"/>
                  <w:vAlign w:val="center"/>
                </w:tcPr>
                <w:p w14:paraId="5C40F5F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529" w:type="pct"/>
                  <w:tcBorders>
                    <w:tl2br w:val="nil"/>
                    <w:tr2bl w:val="nil"/>
                  </w:tcBorders>
                  <w:noWrap w:val="0"/>
                  <w:vAlign w:val="center"/>
                </w:tcPr>
                <w:p w14:paraId="5C17D34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5.0</w:t>
                  </w:r>
                </w:p>
              </w:tc>
            </w:tr>
            <w:tr w14:paraId="404A2B2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454" w:hRule="atLeast"/>
                <w:jc w:val="center"/>
              </w:trPr>
              <w:tc>
                <w:tcPr>
                  <w:tcW w:w="1144" w:type="pct"/>
                  <w:tcBorders>
                    <w:tl2br w:val="nil"/>
                    <w:tr2bl w:val="nil"/>
                  </w:tcBorders>
                  <w:noWrap w:val="0"/>
                  <w:vAlign w:val="center"/>
                </w:tcPr>
                <w:p w14:paraId="2CAA399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本项目执行标准</w:t>
                  </w:r>
                </w:p>
              </w:tc>
              <w:tc>
                <w:tcPr>
                  <w:tcW w:w="539" w:type="pct"/>
                  <w:tcBorders>
                    <w:tl2br w:val="nil"/>
                    <w:tr2bl w:val="nil"/>
                  </w:tcBorders>
                  <w:noWrap w:val="0"/>
                  <w:vAlign w:val="center"/>
                </w:tcPr>
                <w:p w14:paraId="2B702D9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6~9</w:t>
                  </w:r>
                </w:p>
              </w:tc>
              <w:tc>
                <w:tcPr>
                  <w:tcW w:w="627" w:type="pct"/>
                  <w:tcBorders>
                    <w:tl2br w:val="nil"/>
                    <w:tr2bl w:val="nil"/>
                  </w:tcBorders>
                  <w:noWrap w:val="0"/>
                  <w:vAlign w:val="center"/>
                </w:tcPr>
                <w:p w14:paraId="544F300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r>
                    <w:rPr>
                      <w:rFonts w:hint="eastAsia" w:cs="Times New Roman"/>
                      <w:color w:val="auto"/>
                      <w:sz w:val="21"/>
                      <w:szCs w:val="21"/>
                      <w:lang w:val="en-US" w:eastAsia="zh-CN"/>
                    </w:rPr>
                    <w:t>5</w:t>
                  </w:r>
                  <w:r>
                    <w:rPr>
                      <w:rFonts w:hint="default" w:ascii="Times New Roman" w:hAnsi="Times New Roman" w:cs="Times New Roman"/>
                      <w:color w:val="auto"/>
                      <w:sz w:val="21"/>
                      <w:szCs w:val="21"/>
                    </w:rPr>
                    <w:t>0</w:t>
                  </w:r>
                </w:p>
              </w:tc>
              <w:tc>
                <w:tcPr>
                  <w:tcW w:w="548" w:type="pct"/>
                  <w:tcBorders>
                    <w:tl2br w:val="nil"/>
                    <w:tr2bl w:val="nil"/>
                  </w:tcBorders>
                  <w:noWrap w:val="0"/>
                  <w:vAlign w:val="center"/>
                </w:tcPr>
                <w:p w14:paraId="4AF6177A">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14</w:t>
                  </w:r>
                  <w:r>
                    <w:rPr>
                      <w:rFonts w:hint="default" w:ascii="Times New Roman" w:hAnsi="Times New Roman" w:cs="Times New Roman"/>
                      <w:color w:val="auto"/>
                      <w:sz w:val="21"/>
                      <w:szCs w:val="21"/>
                    </w:rPr>
                    <w:t>0</w:t>
                  </w:r>
                </w:p>
              </w:tc>
              <w:tc>
                <w:tcPr>
                  <w:tcW w:w="532" w:type="pct"/>
                  <w:tcBorders>
                    <w:tl2br w:val="nil"/>
                    <w:tr2bl w:val="nil"/>
                  </w:tcBorders>
                  <w:noWrap w:val="0"/>
                  <w:vAlign w:val="center"/>
                </w:tcPr>
                <w:p w14:paraId="3A15235E">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25</w:t>
                  </w:r>
                  <w:r>
                    <w:rPr>
                      <w:rFonts w:hint="default" w:ascii="Times New Roman" w:hAnsi="Times New Roman" w:cs="Times New Roman"/>
                      <w:color w:val="auto"/>
                      <w:sz w:val="21"/>
                      <w:szCs w:val="21"/>
                    </w:rPr>
                    <w:t>0</w:t>
                  </w:r>
                </w:p>
              </w:tc>
              <w:tc>
                <w:tcPr>
                  <w:tcW w:w="398" w:type="pct"/>
                  <w:tcBorders>
                    <w:tl2br w:val="nil"/>
                    <w:tr2bl w:val="nil"/>
                  </w:tcBorders>
                  <w:noWrap w:val="0"/>
                  <w:vAlign w:val="center"/>
                </w:tcPr>
                <w:p w14:paraId="15EC2F2B">
                  <w:pPr>
                    <w:keepNext w:val="0"/>
                    <w:keepLines w:val="0"/>
                    <w:suppressLineNumbers w:val="0"/>
                    <w:adjustRightInd w:val="0"/>
                    <w:snapToGrid w:val="0"/>
                    <w:spacing w:before="0" w:beforeAutospacing="0" w:after="0" w:afterAutospacing="0"/>
                    <w:ind w:left="0" w:leftChars="0"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50</w:t>
                  </w:r>
                </w:p>
              </w:tc>
              <w:tc>
                <w:tcPr>
                  <w:tcW w:w="680" w:type="pct"/>
                  <w:tcBorders>
                    <w:tl2br w:val="nil"/>
                    <w:tr2bl w:val="nil"/>
                  </w:tcBorders>
                  <w:noWrap w:val="0"/>
                  <w:vAlign w:val="center"/>
                </w:tcPr>
                <w:p w14:paraId="4E2B860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100</w:t>
                  </w:r>
                </w:p>
              </w:tc>
              <w:tc>
                <w:tcPr>
                  <w:tcW w:w="529" w:type="pct"/>
                  <w:tcBorders>
                    <w:tl2br w:val="nil"/>
                    <w:tr2bl w:val="nil"/>
                  </w:tcBorders>
                  <w:noWrap w:val="0"/>
                  <w:vAlign w:val="center"/>
                </w:tcPr>
                <w:p w14:paraId="7D85E8E3">
                  <w:pPr>
                    <w:keepNext w:val="0"/>
                    <w:keepLines w:val="0"/>
                    <w:suppressLineNumbers w:val="0"/>
                    <w:adjustRightInd w:val="0"/>
                    <w:snapToGrid w:val="0"/>
                    <w:spacing w:before="0" w:beforeAutospacing="0" w:after="0" w:afterAutospacing="0"/>
                    <w:ind w:left="0" w:right="0"/>
                    <w:jc w:val="center"/>
                    <w:rPr>
                      <w:rFonts w:hint="default" w:cs="Times New Roman"/>
                      <w:sz w:val="21"/>
                      <w:szCs w:val="21"/>
                      <w:lang w:val="en-US" w:eastAsia="zh-CN"/>
                    </w:rPr>
                  </w:pPr>
                  <w:r>
                    <w:rPr>
                      <w:rFonts w:hint="eastAsia" w:cs="Times New Roman"/>
                      <w:sz w:val="21"/>
                      <w:szCs w:val="21"/>
                      <w:lang w:val="en-US" w:eastAsia="zh-CN"/>
                    </w:rPr>
                    <w:t>5.0</w:t>
                  </w:r>
                </w:p>
              </w:tc>
            </w:tr>
          </w:tbl>
          <w:p w14:paraId="6B40E45A">
            <w:pPr>
              <w:keepNext w:val="0"/>
              <w:keepLines w:val="0"/>
              <w:suppressLineNumbers w:val="0"/>
              <w:adjustRightInd w:val="0"/>
              <w:spacing w:before="120" w:beforeLines="50" w:beforeAutospacing="0" w:after="0" w:afterAutospacing="0" w:line="360" w:lineRule="auto"/>
              <w:ind w:left="0" w:right="0"/>
              <w:rPr>
                <w:rFonts w:hint="default" w:ascii="Times New Roman" w:hAnsi="Times New Roman" w:cs="Times New Roman"/>
                <w:color w:val="auto"/>
                <w:kern w:val="0"/>
                <w:sz w:val="24"/>
                <w:szCs w:val="24"/>
                <w:highlight w:val="none"/>
              </w:rPr>
            </w:pPr>
            <w:r>
              <w:rPr>
                <w:rFonts w:hint="default" w:ascii="Times New Roman" w:hAnsi="Times New Roman" w:cs="Times New Roman"/>
                <w:b/>
                <w:bCs/>
                <w:color w:val="auto"/>
                <w:kern w:val="0"/>
                <w:sz w:val="24"/>
                <w:szCs w:val="24"/>
                <w:highlight w:val="none"/>
              </w:rPr>
              <w:t>3、噪声排放标准</w:t>
            </w:r>
          </w:p>
          <w:p w14:paraId="51E9D7D1">
            <w:pPr>
              <w:keepNext w:val="0"/>
              <w:keepLines w:val="0"/>
              <w:numPr>
                <w:ilvl w:val="0"/>
                <w:numId w:val="0"/>
              </w:numPr>
              <w:suppressLineNumbers w:val="0"/>
              <w:spacing w:before="0" w:beforeAutospacing="0" w:after="0" w:afterAutospacing="0" w:line="360" w:lineRule="auto"/>
              <w:ind w:left="0" w:leftChars="0" w:right="0" w:firstLine="468" w:firstLineChars="200"/>
              <w:rPr>
                <w:rFonts w:hint="default" w:ascii="Times New Roman" w:hAnsi="Times New Roman" w:cs="Times New Roman"/>
                <w:color w:val="auto"/>
                <w:spacing w:val="-3"/>
                <w:sz w:val="24"/>
                <w:szCs w:val="24"/>
                <w:u w:val="none"/>
              </w:rPr>
            </w:pPr>
            <w:r>
              <w:rPr>
                <w:rFonts w:hint="default" w:ascii="Times New Roman" w:hAnsi="Times New Roman" w:cs="Times New Roman"/>
                <w:color w:val="auto"/>
                <w:spacing w:val="-3"/>
                <w:sz w:val="24"/>
                <w:szCs w:val="24"/>
                <w:u w:val="none"/>
              </w:rPr>
              <w:t>运营期厂界噪声执行《工业企业厂界环境噪声排放标准》(GB12348-2008</w:t>
            </w:r>
            <w:r>
              <w:rPr>
                <w:rFonts w:hint="eastAsia" w:ascii="Times New Roman" w:hAnsi="Times New Roman" w:cs="Times New Roman"/>
                <w:color w:val="auto"/>
                <w:spacing w:val="-3"/>
                <w:sz w:val="24"/>
                <w:szCs w:val="24"/>
                <w:u w:val="none"/>
                <w:lang w:eastAsia="zh-CN"/>
              </w:rPr>
              <w:t>）</w:t>
            </w:r>
            <w:r>
              <w:rPr>
                <w:rFonts w:hint="eastAsia" w:ascii="Times New Roman" w:hAnsi="Times New Roman" w:cs="Times New Roman"/>
                <w:color w:val="auto"/>
                <w:spacing w:val="-3"/>
                <w:sz w:val="24"/>
                <w:szCs w:val="24"/>
                <w:u w:val="none"/>
                <w:lang w:val="en-US" w:eastAsia="zh-CN"/>
              </w:rPr>
              <w:t>3</w:t>
            </w:r>
            <w:r>
              <w:rPr>
                <w:rFonts w:hint="eastAsia" w:ascii="Times New Roman" w:hAnsi="Times New Roman" w:cs="Times New Roman"/>
                <w:color w:val="auto"/>
                <w:spacing w:val="-3"/>
                <w:sz w:val="24"/>
                <w:szCs w:val="24"/>
                <w:u w:val="none"/>
              </w:rPr>
              <w:t>类标准</w:t>
            </w:r>
            <w:r>
              <w:rPr>
                <w:rFonts w:hint="eastAsia" w:ascii="Times New Roman" w:hAnsi="Times New Roman" w:cs="Times New Roman"/>
                <w:color w:val="auto"/>
                <w:spacing w:val="-3"/>
                <w:sz w:val="24"/>
                <w:szCs w:val="24"/>
                <w:u w:val="none"/>
                <w:lang w:eastAsia="zh-CN"/>
              </w:rPr>
              <w:t>，</w:t>
            </w:r>
            <w:r>
              <w:rPr>
                <w:rFonts w:hint="default" w:ascii="Times New Roman" w:hAnsi="Times New Roman" w:cs="Times New Roman"/>
                <w:color w:val="auto"/>
                <w:spacing w:val="-3"/>
                <w:sz w:val="24"/>
                <w:szCs w:val="24"/>
                <w:u w:val="none"/>
              </w:rPr>
              <w:t>具体标准限值见表3-</w:t>
            </w:r>
            <w:r>
              <w:rPr>
                <w:rFonts w:hint="eastAsia" w:cs="Times New Roman"/>
                <w:color w:val="auto"/>
                <w:spacing w:val="-3"/>
                <w:sz w:val="24"/>
                <w:szCs w:val="24"/>
                <w:u w:val="none"/>
                <w:lang w:val="en-US" w:eastAsia="zh-CN"/>
              </w:rPr>
              <w:t>8</w:t>
            </w:r>
            <w:r>
              <w:rPr>
                <w:rFonts w:hint="default" w:ascii="Times New Roman" w:hAnsi="Times New Roman" w:cs="Times New Roman"/>
                <w:color w:val="auto"/>
                <w:spacing w:val="-3"/>
                <w:sz w:val="24"/>
                <w:szCs w:val="24"/>
                <w:u w:val="none"/>
              </w:rPr>
              <w:t>。</w:t>
            </w:r>
          </w:p>
          <w:p w14:paraId="12CB3C53">
            <w:pPr>
              <w:pStyle w:val="88"/>
              <w:keepNext w:val="0"/>
              <w:keepLines w:val="0"/>
              <w:suppressLineNumbers w:val="0"/>
              <w:bidi w:val="0"/>
              <w:spacing w:before="0" w:beforeAutospacing="0" w:after="0" w:afterAutospacing="0"/>
              <w:ind w:left="0" w:right="0"/>
              <w:rPr>
                <w:rFonts w:hint="default"/>
                <w:color w:val="auto"/>
                <w:u w:val="none"/>
              </w:rPr>
            </w:pPr>
            <w:r>
              <w:rPr>
                <w:rFonts w:hint="default"/>
                <w:color w:val="auto"/>
                <w:u w:val="none"/>
              </w:rPr>
              <w:t>表3-</w:t>
            </w:r>
            <w:r>
              <w:rPr>
                <w:rFonts w:hint="eastAsia"/>
                <w:color w:val="auto"/>
                <w:u w:val="none"/>
                <w:lang w:val="en-US" w:eastAsia="zh-CN"/>
              </w:rPr>
              <w:t xml:space="preserve">8 </w:t>
            </w:r>
            <w:r>
              <w:rPr>
                <w:rFonts w:hint="default"/>
                <w:color w:val="auto"/>
                <w:u w:val="none"/>
              </w:rPr>
              <w:t>项目噪声排放标准</w:t>
            </w:r>
          </w:p>
          <w:tbl>
            <w:tblPr>
              <w:tblStyle w:val="44"/>
              <w:tblW w:w="5000"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805"/>
              <w:gridCol w:w="2306"/>
              <w:gridCol w:w="2310"/>
            </w:tblGrid>
            <w:tr w14:paraId="44959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59" w:type="pct"/>
                  <w:vMerge w:val="restart"/>
                  <w:tcBorders>
                    <w:tl2br w:val="nil"/>
                    <w:tr2bl w:val="nil"/>
                  </w:tcBorders>
                  <w:noWrap w:val="0"/>
                  <w:vAlign w:val="center"/>
                </w:tcPr>
                <w:p w14:paraId="014E495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执行标准</w:t>
                  </w:r>
                </w:p>
              </w:tc>
              <w:tc>
                <w:tcPr>
                  <w:tcW w:w="2740" w:type="pct"/>
                  <w:gridSpan w:val="2"/>
                  <w:tcBorders>
                    <w:tl2br w:val="nil"/>
                    <w:tr2bl w:val="nil"/>
                  </w:tcBorders>
                  <w:noWrap w:val="0"/>
                  <w:vAlign w:val="center"/>
                </w:tcPr>
                <w:p w14:paraId="578C175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标准值(dB(A))</w:t>
                  </w:r>
                </w:p>
              </w:tc>
            </w:tr>
            <w:tr w14:paraId="1070D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59" w:type="pct"/>
                  <w:vMerge w:val="continue"/>
                  <w:tcBorders>
                    <w:tl2br w:val="nil"/>
                    <w:tr2bl w:val="nil"/>
                  </w:tcBorders>
                  <w:noWrap w:val="0"/>
                  <w:vAlign w:val="center"/>
                </w:tcPr>
                <w:p w14:paraId="264A8DD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u w:val="none"/>
                    </w:rPr>
                  </w:pPr>
                </w:p>
              </w:tc>
              <w:tc>
                <w:tcPr>
                  <w:tcW w:w="1369" w:type="pct"/>
                  <w:tcBorders>
                    <w:tl2br w:val="nil"/>
                    <w:tr2bl w:val="nil"/>
                  </w:tcBorders>
                  <w:noWrap w:val="0"/>
                  <w:vAlign w:val="center"/>
                </w:tcPr>
                <w:p w14:paraId="4F4CAE4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昼间</w:t>
                  </w:r>
                </w:p>
              </w:tc>
              <w:tc>
                <w:tcPr>
                  <w:tcW w:w="1371" w:type="pct"/>
                  <w:tcBorders>
                    <w:tl2br w:val="nil"/>
                    <w:tr2bl w:val="nil"/>
                  </w:tcBorders>
                  <w:noWrap w:val="0"/>
                  <w:vAlign w:val="center"/>
                </w:tcPr>
                <w:p w14:paraId="6A26447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夜间</w:t>
                  </w:r>
                </w:p>
              </w:tc>
            </w:tr>
            <w:tr w14:paraId="058C69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59" w:type="pct"/>
                  <w:tcBorders>
                    <w:tl2br w:val="nil"/>
                    <w:tr2bl w:val="nil"/>
                  </w:tcBorders>
                  <w:noWrap w:val="0"/>
                  <w:vAlign w:val="center"/>
                </w:tcPr>
                <w:p w14:paraId="458797F9">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21"/>
                      <w:u w:val="none"/>
                      <w:lang w:eastAsia="zh-CN"/>
                    </w:rPr>
                  </w:pPr>
                  <w:r>
                    <w:rPr>
                      <w:rFonts w:hint="eastAsia" w:ascii="Times New Roman" w:hAnsi="Times New Roman" w:cs="Times New Roman"/>
                      <w:color w:val="auto"/>
                      <w:spacing w:val="-3"/>
                      <w:u w:val="none"/>
                      <w:lang w:val="en-US" w:eastAsia="zh-CN"/>
                    </w:rPr>
                    <w:t>运营期</w:t>
                  </w:r>
                </w:p>
              </w:tc>
              <w:tc>
                <w:tcPr>
                  <w:tcW w:w="1369" w:type="pct"/>
                  <w:tcBorders>
                    <w:tl2br w:val="nil"/>
                    <w:tr2bl w:val="nil"/>
                  </w:tcBorders>
                  <w:noWrap w:val="0"/>
                  <w:vAlign w:val="center"/>
                </w:tcPr>
                <w:p w14:paraId="69F684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u w:val="none"/>
                      <w:lang w:val="en-US" w:eastAsia="zh-CN"/>
                    </w:rPr>
                  </w:pPr>
                  <w:r>
                    <w:rPr>
                      <w:rFonts w:hint="eastAsia" w:ascii="Times New Roman" w:hAnsi="Times New Roman" w:eastAsia="宋体" w:cs="Times New Roman"/>
                      <w:color w:val="auto"/>
                      <w:szCs w:val="21"/>
                      <w:u w:val="none"/>
                      <w:lang w:val="en-US" w:eastAsia="zh-CN"/>
                    </w:rPr>
                    <w:t>65</w:t>
                  </w:r>
                </w:p>
              </w:tc>
              <w:tc>
                <w:tcPr>
                  <w:tcW w:w="1371" w:type="pct"/>
                  <w:tcBorders>
                    <w:tl2br w:val="nil"/>
                    <w:tr2bl w:val="nil"/>
                  </w:tcBorders>
                  <w:noWrap w:val="0"/>
                  <w:vAlign w:val="center"/>
                </w:tcPr>
                <w:p w14:paraId="6E75DFC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u w:val="none"/>
                      <w:lang w:val="en-US" w:eastAsia="zh-CN"/>
                    </w:rPr>
                  </w:pPr>
                  <w:r>
                    <w:rPr>
                      <w:rFonts w:hint="eastAsia" w:ascii="Times New Roman" w:hAnsi="Times New Roman" w:cs="Times New Roman"/>
                      <w:color w:val="auto"/>
                      <w:szCs w:val="21"/>
                      <w:u w:val="none"/>
                      <w:lang w:val="en-US" w:eastAsia="zh-CN"/>
                    </w:rPr>
                    <w:t>55</w:t>
                  </w:r>
                </w:p>
              </w:tc>
            </w:tr>
          </w:tbl>
          <w:p w14:paraId="1F539DDC">
            <w:pPr>
              <w:keepNext w:val="0"/>
              <w:keepLines w:val="0"/>
              <w:suppressLineNumbers w:val="0"/>
              <w:adjustRightInd w:val="0"/>
              <w:spacing w:before="120" w:beforeLines="50" w:beforeAutospacing="0" w:after="0" w:afterAutospacing="0" w:line="360" w:lineRule="auto"/>
              <w:ind w:left="0" w:right="0"/>
              <w:rPr>
                <w:rFonts w:hint="default" w:ascii="Times New Roman" w:hAnsi="Times New Roman" w:cs="Times New Roman"/>
                <w:color w:val="auto"/>
                <w:kern w:val="0"/>
                <w:sz w:val="24"/>
                <w:szCs w:val="24"/>
                <w:highlight w:val="none"/>
              </w:rPr>
            </w:pPr>
            <w:r>
              <w:rPr>
                <w:rFonts w:hint="default" w:ascii="Times New Roman" w:hAnsi="Times New Roman" w:cs="Times New Roman"/>
                <w:b/>
                <w:bCs/>
                <w:color w:val="auto"/>
                <w:kern w:val="0"/>
                <w:sz w:val="24"/>
                <w:szCs w:val="24"/>
                <w:highlight w:val="none"/>
              </w:rPr>
              <w:t>4、固废贮存、处置标准</w:t>
            </w:r>
          </w:p>
          <w:p w14:paraId="06C35E53">
            <w:pPr>
              <w:keepNext w:val="0"/>
              <w:keepLines w:val="0"/>
              <w:suppressLineNumbers w:val="0"/>
              <w:adjustRightInd w:val="0"/>
              <w:snapToGrid w:val="0"/>
              <w:spacing w:before="0" w:beforeAutospacing="0" w:after="0" w:afterAutospacing="0" w:line="480" w:lineRule="exact"/>
              <w:ind w:left="0" w:right="0" w:firstLine="48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000000"/>
                <w:sz w:val="24"/>
              </w:rPr>
              <w:t>一般固体废物执行《一般工业固体废物贮存和填埋污染控制标准》（GB18599-2020）</w:t>
            </w:r>
            <w:r>
              <w:rPr>
                <w:rFonts w:hint="eastAsia" w:ascii="Times New Roman" w:hAnsi="Times New Roman" w:cs="Times New Roman"/>
                <w:color w:val="000000"/>
                <w:sz w:val="24"/>
              </w:rPr>
              <w:t>；</w:t>
            </w:r>
            <w:r>
              <w:rPr>
                <w:rFonts w:hint="default" w:ascii="Times New Roman" w:hAnsi="Times New Roman" w:cs="Times New Roman"/>
                <w:color w:val="000000"/>
                <w:sz w:val="24"/>
              </w:rPr>
              <w:t>危险废物执行《危险废物贮存污染控制标准》（GB18597-20</w:t>
            </w:r>
            <w:r>
              <w:rPr>
                <w:rFonts w:hint="eastAsia" w:ascii="Times New Roman" w:hAnsi="Times New Roman" w:cs="Times New Roman"/>
                <w:color w:val="000000"/>
                <w:sz w:val="24"/>
                <w:lang w:val="en-US" w:eastAsia="zh-CN"/>
              </w:rPr>
              <w:t>23</w:t>
            </w:r>
            <w:r>
              <w:rPr>
                <w:rFonts w:hint="default" w:ascii="Times New Roman" w:hAnsi="Times New Roman" w:cs="Times New Roman"/>
                <w:color w:val="000000"/>
                <w:sz w:val="24"/>
              </w:rPr>
              <w:t>）</w:t>
            </w:r>
            <w:r>
              <w:rPr>
                <w:rFonts w:hint="eastAsia" w:ascii="Times New Roman" w:hAnsi="Times New Roman" w:cs="Times New Roman"/>
                <w:color w:val="auto"/>
                <w:kern w:val="0"/>
                <w:sz w:val="24"/>
                <w:szCs w:val="24"/>
                <w:highlight w:val="none"/>
                <w:lang w:val="en-US" w:eastAsia="zh-CN"/>
              </w:rPr>
              <w:t>。</w:t>
            </w:r>
          </w:p>
        </w:tc>
      </w:tr>
      <w:tr w14:paraId="2652C4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723" w:type="dxa"/>
            <w:noWrap w:val="0"/>
            <w:vAlign w:val="center"/>
          </w:tcPr>
          <w:p w14:paraId="6517357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w:t>
            </w:r>
          </w:p>
          <w:p w14:paraId="22A97C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w:t>
            </w:r>
          </w:p>
          <w:p w14:paraId="61C718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指标</w:t>
            </w:r>
          </w:p>
        </w:tc>
        <w:tc>
          <w:tcPr>
            <w:tcW w:w="8338" w:type="dxa"/>
            <w:noWrap w:val="0"/>
            <w:vAlign w:val="center"/>
          </w:tcPr>
          <w:p w14:paraId="32E873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color w:val="auto"/>
                <w:sz w:val="24"/>
                <w:szCs w:val="24"/>
                <w:u w:val="none" w:color="auto"/>
              </w:rPr>
            </w:pPr>
            <w:r>
              <w:rPr>
                <w:rFonts w:hint="eastAsia" w:ascii="Times New Roman" w:hAnsi="Times New Roman" w:cs="Times New Roman"/>
                <w:color w:val="auto"/>
                <w:sz w:val="24"/>
                <w:szCs w:val="24"/>
                <w:u w:val="none" w:color="auto"/>
              </w:rPr>
              <w:t>根据湖南省生态环境厅关于印发《湖南省主要污染物排污权有偿使用和交易实施细则》【湘环发（2024年）3号】，湖南省对化学需氧量、氨氮、二氧化硫、氮氧化物、挥发性有机物、总磷、铅、镉、砷、汞、铬十一类污染物实施总量控制（实施管理的范围为有效实施的国家固定污染源排污许可分类管理名录的工业类排污单位）。</w:t>
            </w:r>
          </w:p>
          <w:p w14:paraId="60499B0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000000"/>
                <w:sz w:val="24"/>
                <w:lang w:val="en-US" w:eastAsia="zh-CN"/>
              </w:rPr>
              <w:t>本项目无生产废水外排，主要外排废气污染物为</w:t>
            </w:r>
            <w:r>
              <w:rPr>
                <w:rFonts w:hint="eastAsia" w:cs="Times New Roman"/>
                <w:color w:val="auto"/>
                <w:sz w:val="24"/>
                <w:lang w:val="en-US" w:eastAsia="zh-CN"/>
              </w:rPr>
              <w:t>颗粒物、二氧化硫、氮氧化物</w:t>
            </w:r>
            <w:r>
              <w:rPr>
                <w:rFonts w:hint="eastAsia" w:ascii="Times New Roman" w:hAnsi="Times New Roman" w:cs="Times New Roman"/>
                <w:color w:val="auto"/>
                <w:sz w:val="24"/>
                <w:lang w:val="en-US" w:eastAsia="zh-CN"/>
              </w:rPr>
              <w:t>和挥发性有机物，故本项目总量控制指标为</w:t>
            </w:r>
            <w:r>
              <w:rPr>
                <w:rFonts w:hint="eastAsia" w:cs="Times New Roman"/>
                <w:color w:val="auto"/>
                <w:sz w:val="24"/>
                <w:lang w:val="en-US" w:eastAsia="zh-CN"/>
              </w:rPr>
              <w:t>二氧化硫、氮氧化物</w:t>
            </w:r>
            <w:r>
              <w:rPr>
                <w:rFonts w:hint="eastAsia" w:ascii="Times New Roman" w:hAnsi="Times New Roman" w:cs="Times New Roman"/>
                <w:color w:val="auto"/>
                <w:sz w:val="24"/>
                <w:lang w:val="en-US" w:eastAsia="zh-CN"/>
              </w:rPr>
              <w:t>和挥发性有机物。</w:t>
            </w:r>
          </w:p>
          <w:p w14:paraId="29A79E7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项目运营期排放的挥发性有机物为</w:t>
            </w:r>
            <w:r>
              <w:rPr>
                <w:rFonts w:hint="eastAsia" w:cs="Times New Roman"/>
                <w:color w:val="auto"/>
                <w:sz w:val="24"/>
                <w:lang w:val="en-US" w:eastAsia="zh-CN"/>
              </w:rPr>
              <w:t>0.871</w:t>
            </w:r>
            <w:r>
              <w:rPr>
                <w:rFonts w:hint="eastAsia" w:ascii="Times New Roman" w:hAnsi="Times New Roman" w:cs="Times New Roman"/>
                <w:color w:val="auto"/>
                <w:sz w:val="24"/>
                <w:lang w:val="en-US" w:eastAsia="zh-CN"/>
              </w:rPr>
              <w:t>t/a</w:t>
            </w:r>
            <w:r>
              <w:rPr>
                <w:rFonts w:hint="eastAsia" w:cs="Times New Roman"/>
                <w:color w:val="auto"/>
                <w:sz w:val="24"/>
                <w:lang w:val="en-US" w:eastAsia="zh-CN"/>
              </w:rPr>
              <w:t>、二氧化硫0.005</w:t>
            </w:r>
            <w:r>
              <w:rPr>
                <w:rFonts w:hint="eastAsia" w:ascii="Times New Roman" w:hAnsi="Times New Roman" w:cs="Times New Roman"/>
                <w:color w:val="auto"/>
                <w:sz w:val="24"/>
                <w:lang w:val="en-US" w:eastAsia="zh-CN"/>
              </w:rPr>
              <w:t>t/a</w:t>
            </w:r>
            <w:r>
              <w:rPr>
                <w:rFonts w:hint="eastAsia" w:cs="Times New Roman"/>
                <w:color w:val="auto"/>
                <w:sz w:val="24"/>
                <w:lang w:val="en-US" w:eastAsia="zh-CN"/>
              </w:rPr>
              <w:t>、氮氧化物0.077</w:t>
            </w:r>
            <w:r>
              <w:rPr>
                <w:rFonts w:hint="eastAsia" w:ascii="Times New Roman" w:hAnsi="Times New Roman" w:cs="Times New Roman"/>
                <w:color w:val="auto"/>
                <w:sz w:val="24"/>
                <w:lang w:val="en-US" w:eastAsia="zh-CN"/>
              </w:rPr>
              <w:t>t/a，故需申请总量指标为：挥发性有机物</w:t>
            </w:r>
            <w:r>
              <w:rPr>
                <w:rFonts w:hint="eastAsia" w:cs="Times New Roman"/>
                <w:color w:val="auto"/>
                <w:sz w:val="24"/>
                <w:lang w:val="en-US" w:eastAsia="zh-CN"/>
              </w:rPr>
              <w:t>0.871</w:t>
            </w:r>
            <w:r>
              <w:rPr>
                <w:rFonts w:hint="eastAsia" w:ascii="Times New Roman" w:hAnsi="Times New Roman" w:cs="Times New Roman"/>
                <w:color w:val="auto"/>
                <w:sz w:val="24"/>
                <w:lang w:val="en-US" w:eastAsia="zh-CN"/>
              </w:rPr>
              <w:t>t/a</w:t>
            </w:r>
            <w:r>
              <w:rPr>
                <w:rFonts w:hint="eastAsia" w:cs="Times New Roman"/>
                <w:color w:val="auto"/>
                <w:sz w:val="24"/>
                <w:lang w:val="en-US" w:eastAsia="zh-CN"/>
              </w:rPr>
              <w:t>、二氧化硫0.005</w:t>
            </w:r>
            <w:r>
              <w:rPr>
                <w:rFonts w:hint="eastAsia" w:ascii="Times New Roman" w:hAnsi="Times New Roman" w:cs="Times New Roman"/>
                <w:color w:val="auto"/>
                <w:sz w:val="24"/>
                <w:lang w:val="en-US" w:eastAsia="zh-CN"/>
              </w:rPr>
              <w:t>t/a</w:t>
            </w:r>
            <w:r>
              <w:rPr>
                <w:rFonts w:hint="eastAsia" w:cs="Times New Roman"/>
                <w:color w:val="auto"/>
                <w:sz w:val="24"/>
                <w:lang w:val="en-US" w:eastAsia="zh-CN"/>
              </w:rPr>
              <w:t>、氮氧化物0.077</w:t>
            </w:r>
            <w:r>
              <w:rPr>
                <w:rFonts w:hint="eastAsia" w:ascii="Times New Roman" w:hAnsi="Times New Roman" w:cs="Times New Roman"/>
                <w:color w:val="auto"/>
                <w:sz w:val="24"/>
                <w:lang w:val="en-US" w:eastAsia="zh-CN"/>
              </w:rPr>
              <w:t>t/a。</w:t>
            </w:r>
          </w:p>
          <w:p w14:paraId="6FDF1A5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b w:val="0"/>
                <w:bCs/>
                <w:color w:val="auto"/>
                <w:szCs w:val="21"/>
                <w:highlight w:val="none"/>
                <w:lang w:val="en-US" w:eastAsia="zh-CN"/>
              </w:rPr>
            </w:pPr>
          </w:p>
        </w:tc>
      </w:tr>
    </w:tbl>
    <w:p w14:paraId="6F91AA89">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bookmarkStart w:id="4" w:name="_Toc148"/>
      <w:r>
        <w:rPr>
          <w:rFonts w:hint="default" w:ascii="Times New Roman" w:hAnsi="Times New Roman" w:eastAsia="黑体" w:cs="Times New Roman"/>
          <w:snapToGrid w:val="0"/>
          <w:color w:val="auto"/>
          <w:sz w:val="30"/>
          <w:szCs w:val="30"/>
          <w:highlight w:val="none"/>
        </w:rPr>
        <w:t>四、主要环境影响和保护措施</w:t>
      </w:r>
      <w:bookmarkEnd w:id="4"/>
    </w:p>
    <w:tbl>
      <w:tblPr>
        <w:tblStyle w:val="44"/>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83"/>
        <w:gridCol w:w="8698"/>
      </w:tblGrid>
      <w:tr w14:paraId="6C052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47" w:type="dxa"/>
            <w:noWrap w:val="0"/>
            <w:tcMar>
              <w:left w:w="28" w:type="dxa"/>
              <w:right w:w="28" w:type="dxa"/>
            </w:tcMar>
            <w:vAlign w:val="center"/>
          </w:tcPr>
          <w:p w14:paraId="53E0B2EC">
            <w:pPr>
              <w:pStyle w:val="41"/>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kern w:val="2"/>
                <w:sz w:val="24"/>
                <w:szCs w:val="24"/>
                <w:highlight w:val="none"/>
              </w:rPr>
            </w:pPr>
            <w:r>
              <w:rPr>
                <w:rFonts w:hint="default" w:ascii="Times New Roman" w:hAnsi="Times New Roman" w:cs="Times New Roman"/>
                <w:color w:val="auto"/>
                <w:kern w:val="2"/>
                <w:sz w:val="24"/>
                <w:szCs w:val="24"/>
                <w:highlight w:val="none"/>
              </w:rPr>
              <w:t>施工期环境保护措施</w:t>
            </w:r>
          </w:p>
        </w:tc>
        <w:tc>
          <w:tcPr>
            <w:tcW w:w="8361" w:type="dxa"/>
            <w:noWrap w:val="0"/>
            <w:vAlign w:val="center"/>
          </w:tcPr>
          <w:p w14:paraId="27A6DFCB">
            <w:pPr>
              <w:pStyle w:val="8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cs="Times New Roman"/>
                <w:color w:val="auto"/>
                <w:u w:val="none"/>
                <w:lang w:eastAsia="zh-CN"/>
              </w:rPr>
            </w:pPr>
            <w:r>
              <w:rPr>
                <w:rFonts w:hint="eastAsia" w:eastAsia="宋体" w:cs="Times New Roman"/>
                <w:color w:val="auto"/>
                <w:kern w:val="0"/>
                <w:sz w:val="24"/>
                <w:szCs w:val="24"/>
                <w:highlight w:val="none"/>
                <w:lang w:val="en-US" w:eastAsia="zh-CN"/>
              </w:rPr>
              <w:t>本项目租赁标准厂房进行建设，不涉及场地平整和建筑，项目只是进行简单的场地清理和设备安装，仅产生少量粉尘、包装固废、噪声。包装固废收集后出售给废品回收公司，粉尘通过洒水、自由逸散，产生量较小，设备安装时错开公共休息时间，因此场地清理、设备安装过程的粉尘、固废、噪声对周边环境影响较小</w:t>
            </w:r>
            <w:r>
              <w:rPr>
                <w:rFonts w:hint="default" w:cs="Times New Roman"/>
                <w:color w:val="auto"/>
                <w:u w:val="none"/>
                <w:lang w:eastAsia="zh-CN"/>
              </w:rPr>
              <w:t>。</w:t>
            </w:r>
          </w:p>
        </w:tc>
      </w:tr>
      <w:tr w14:paraId="1F101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5" w:hRule="atLeast"/>
          <w:jc w:val="center"/>
        </w:trPr>
        <w:tc>
          <w:tcPr>
            <w:tcW w:w="547" w:type="dxa"/>
            <w:noWrap w:val="0"/>
            <w:tcMar>
              <w:left w:w="28" w:type="dxa"/>
              <w:right w:w="28" w:type="dxa"/>
            </w:tcMar>
            <w:vAlign w:val="center"/>
          </w:tcPr>
          <w:p w14:paraId="1626DF3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运营</w:t>
            </w:r>
          </w:p>
          <w:p w14:paraId="72E4F3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期环</w:t>
            </w:r>
          </w:p>
          <w:p w14:paraId="5D2CC7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境影</w:t>
            </w:r>
          </w:p>
          <w:p w14:paraId="61912C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响和</w:t>
            </w:r>
          </w:p>
          <w:p w14:paraId="3FF8C4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保护</w:t>
            </w:r>
          </w:p>
          <w:p w14:paraId="54260F4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措施</w:t>
            </w:r>
          </w:p>
        </w:tc>
        <w:tc>
          <w:tcPr>
            <w:tcW w:w="8361" w:type="dxa"/>
            <w:noWrap w:val="0"/>
            <w:vAlign w:val="center"/>
          </w:tcPr>
          <w:p w14:paraId="5404D4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color w:val="auto"/>
                <w:sz w:val="24"/>
                <w:szCs w:val="24"/>
                <w:highlight w:val="none"/>
                <w:u w:val="none"/>
              </w:rPr>
            </w:pPr>
            <w:r>
              <w:rPr>
                <w:rFonts w:hint="default" w:ascii="Times New Roman" w:hAnsi="Times New Roman" w:cs="Times New Roman"/>
                <w:b/>
                <w:color w:val="auto"/>
                <w:sz w:val="24"/>
                <w:szCs w:val="24"/>
                <w:highlight w:val="none"/>
                <w:u w:val="none"/>
              </w:rPr>
              <w:t>1、废气</w:t>
            </w:r>
          </w:p>
          <w:p w14:paraId="1176B5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color w:val="auto"/>
                <w:sz w:val="24"/>
                <w:szCs w:val="24"/>
                <w:highlight w:val="none"/>
                <w:u w:val="none"/>
                <w:lang w:eastAsia="zh-CN"/>
              </w:rPr>
            </w:pPr>
            <w:r>
              <w:rPr>
                <w:rFonts w:hint="default" w:ascii="Times New Roman" w:hAnsi="Times New Roman" w:cs="Times New Roman"/>
                <w:b/>
                <w:color w:val="auto"/>
                <w:sz w:val="24"/>
                <w:szCs w:val="24"/>
                <w:highlight w:val="none"/>
                <w:u w:val="none"/>
              </w:rPr>
              <w:t>1.1、</w:t>
            </w:r>
            <w:r>
              <w:rPr>
                <w:rFonts w:hint="default" w:ascii="Times New Roman" w:hAnsi="Times New Roman" w:cs="Times New Roman"/>
                <w:b/>
                <w:color w:val="auto"/>
                <w:sz w:val="24"/>
                <w:szCs w:val="24"/>
                <w:highlight w:val="none"/>
                <w:u w:val="none"/>
                <w:lang w:eastAsia="zh-CN"/>
              </w:rPr>
              <w:t>废气污染源源强</w:t>
            </w:r>
          </w:p>
          <w:p w14:paraId="7BC74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contextualSpacing/>
              <w:textAlignment w:val="auto"/>
              <w:rPr>
                <w:rFonts w:hint="eastAsia" w:ascii="Times New Roman" w:hAnsi="Times New Roman" w:eastAsia="宋体" w:cs="Times New Roman"/>
                <w:color w:val="auto"/>
                <w:sz w:val="24"/>
                <w:u w:val="none"/>
              </w:rPr>
            </w:pPr>
            <w:r>
              <w:rPr>
                <w:rFonts w:hint="eastAsia" w:ascii="Times New Roman" w:hAnsi="Times New Roman" w:eastAsia="宋体" w:cs="Times New Roman"/>
                <w:color w:val="auto"/>
                <w:sz w:val="24"/>
                <w:u w:val="none"/>
              </w:rPr>
              <w:t>项目废气</w:t>
            </w:r>
            <w:r>
              <w:rPr>
                <w:rFonts w:hint="eastAsia" w:cs="Times New Roman"/>
                <w:color w:val="auto"/>
                <w:sz w:val="24"/>
                <w:u w:val="none"/>
                <w:lang w:val="en-US" w:eastAsia="zh-CN"/>
              </w:rPr>
              <w:t>主要</w:t>
            </w:r>
            <w:r>
              <w:rPr>
                <w:rFonts w:hint="eastAsia" w:ascii="Times New Roman" w:hAnsi="Times New Roman" w:eastAsia="宋体" w:cs="Times New Roman"/>
                <w:color w:val="auto"/>
                <w:sz w:val="24"/>
                <w:u w:val="none"/>
              </w:rPr>
              <w:t>来自调墨、调胶、印刷、复合、</w:t>
            </w:r>
            <w:r>
              <w:rPr>
                <w:rFonts w:hint="eastAsia" w:cs="Times New Roman"/>
                <w:color w:val="auto"/>
                <w:sz w:val="24"/>
                <w:u w:val="none"/>
                <w:lang w:eastAsia="zh-CN"/>
              </w:rPr>
              <w:t>固化</w:t>
            </w:r>
            <w:r>
              <w:rPr>
                <w:rFonts w:hint="eastAsia" w:ascii="Times New Roman" w:hAnsi="Times New Roman" w:eastAsia="宋体" w:cs="Times New Roman"/>
                <w:color w:val="auto"/>
                <w:sz w:val="24"/>
                <w:u w:val="none"/>
              </w:rPr>
              <w:t>、涂布、吹膜等工序</w:t>
            </w:r>
            <w:r>
              <w:rPr>
                <w:rFonts w:hint="eastAsia" w:cs="Times New Roman"/>
                <w:color w:val="auto"/>
                <w:sz w:val="24"/>
                <w:u w:val="none"/>
                <w:lang w:val="en-US" w:eastAsia="zh-CN"/>
              </w:rPr>
              <w:t>产生的有机废气和RTO设施燃烧废气</w:t>
            </w:r>
            <w:r>
              <w:rPr>
                <w:rFonts w:hint="eastAsia" w:ascii="Times New Roman" w:hAnsi="Times New Roman" w:eastAsia="宋体" w:cs="Times New Roman"/>
                <w:color w:val="auto"/>
                <w:sz w:val="24"/>
                <w:u w:val="none"/>
              </w:rPr>
              <w:t>。</w:t>
            </w:r>
          </w:p>
          <w:p w14:paraId="238A7939">
            <w:pPr>
              <w:pStyle w:val="26"/>
              <w:keepNext w:val="0"/>
              <w:keepLines w:val="0"/>
              <w:numPr>
                <w:ilvl w:val="0"/>
                <w:numId w:val="5"/>
              </w:numPr>
              <w:suppressLineNumbers w:val="0"/>
              <w:spacing w:before="0" w:beforeAutospacing="0" w:after="0" w:afterAutospacing="0" w:line="360" w:lineRule="auto"/>
              <w:ind w:left="0" w:leftChars="0" w:right="0" w:firstLine="480" w:firstLineChars="200"/>
              <w:contextualSpacing/>
              <w:rPr>
                <w:rFonts w:hint="eastAsia" w:cs="Times New Roman"/>
                <w:color w:val="auto"/>
                <w:sz w:val="24"/>
                <w:u w:val="none"/>
                <w:lang w:val="en-US" w:eastAsia="zh-CN"/>
              </w:rPr>
            </w:pPr>
            <w:r>
              <w:rPr>
                <w:rFonts w:hint="eastAsia" w:cs="Times New Roman"/>
                <w:color w:val="auto"/>
                <w:sz w:val="24"/>
                <w:u w:val="none"/>
                <w:lang w:val="en-US" w:eastAsia="zh-CN"/>
              </w:rPr>
              <w:t>有机废气产生量</w:t>
            </w:r>
          </w:p>
          <w:p w14:paraId="25E6B5CE">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ascii="Times New Roman" w:hAnsi="Times New Roman" w:cs="Times New Roman"/>
                <w:color w:val="auto"/>
                <w:szCs w:val="24"/>
                <w:u w:val="none"/>
              </w:rPr>
            </w:pPr>
            <w:r>
              <w:rPr>
                <w:rFonts w:hint="default" w:ascii="Times New Roman" w:hAnsi="Times New Roman" w:cs="Times New Roman"/>
                <w:color w:val="auto"/>
                <w:szCs w:val="24"/>
                <w:u w:val="none"/>
              </w:rPr>
              <w:t>项目有机废气来源于调墨</w:t>
            </w:r>
            <w:r>
              <w:rPr>
                <w:rFonts w:hint="eastAsia" w:cs="Times New Roman"/>
                <w:color w:val="auto"/>
                <w:szCs w:val="24"/>
                <w:u w:val="none"/>
                <w:lang w:eastAsia="zh-CN"/>
              </w:rPr>
              <w:t>、</w:t>
            </w:r>
            <w:r>
              <w:rPr>
                <w:rFonts w:hint="default" w:ascii="Times New Roman" w:hAnsi="Times New Roman" w:cs="Times New Roman"/>
                <w:color w:val="auto"/>
                <w:szCs w:val="24"/>
                <w:u w:val="none"/>
              </w:rPr>
              <w:t>调胶、印刷及烘干、复合及烘干、</w:t>
            </w:r>
            <w:r>
              <w:rPr>
                <w:rFonts w:hint="eastAsia" w:cs="Times New Roman"/>
                <w:color w:val="auto"/>
                <w:szCs w:val="24"/>
                <w:u w:val="none"/>
                <w:lang w:eastAsia="zh-CN"/>
              </w:rPr>
              <w:t>固化</w:t>
            </w:r>
            <w:r>
              <w:rPr>
                <w:rFonts w:hint="default" w:ascii="Times New Roman" w:hAnsi="Times New Roman" w:cs="Times New Roman"/>
                <w:color w:val="auto"/>
                <w:szCs w:val="24"/>
                <w:u w:val="none"/>
              </w:rPr>
              <w:t>和危险废物暂存间等工序，运行过程中油墨、稀释剂、胶粘剂产生有机废气，污染因子为</w:t>
            </w:r>
            <w:r>
              <w:rPr>
                <w:rFonts w:hint="eastAsia" w:cs="Times New Roman"/>
                <w:color w:val="auto"/>
                <w:szCs w:val="24"/>
                <w:u w:val="none"/>
                <w:lang w:val="en-US" w:eastAsia="zh-CN"/>
              </w:rPr>
              <w:t>挥发性有机物（以</w:t>
            </w:r>
            <w:r>
              <w:rPr>
                <w:rFonts w:hint="default" w:ascii="Times New Roman" w:hAnsi="Times New Roman" w:cs="Times New Roman"/>
                <w:color w:val="auto"/>
                <w:szCs w:val="24"/>
                <w:u w:val="none"/>
              </w:rPr>
              <w:t>NMHC</w:t>
            </w:r>
            <w:r>
              <w:rPr>
                <w:rFonts w:hint="eastAsia" w:cs="Times New Roman"/>
                <w:color w:val="auto"/>
                <w:szCs w:val="24"/>
                <w:u w:val="none"/>
                <w:lang w:val="en-US" w:eastAsia="zh-CN"/>
              </w:rPr>
              <w:t>表征）</w:t>
            </w:r>
            <w:r>
              <w:rPr>
                <w:rFonts w:hint="eastAsia" w:cs="Times New Roman"/>
                <w:color w:val="auto"/>
                <w:szCs w:val="24"/>
                <w:u w:val="none"/>
                <w:lang w:eastAsia="zh-CN"/>
              </w:rPr>
              <w:t>，</w:t>
            </w:r>
            <w:r>
              <w:rPr>
                <w:rFonts w:hint="default" w:ascii="Times New Roman" w:hAnsi="Times New Roman" w:cs="Times New Roman"/>
                <w:color w:val="auto"/>
                <w:szCs w:val="24"/>
                <w:u w:val="none"/>
              </w:rPr>
              <w:t>不含苯系物、镉、铅、汞、六价铬、多溴联苯、多溴二苯醚等污染因子。</w:t>
            </w:r>
          </w:p>
          <w:p w14:paraId="4719D566">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ascii="Times New Roman" w:hAnsi="Times New Roman" w:cs="Times New Roman"/>
                <w:color w:val="auto"/>
                <w:szCs w:val="24"/>
                <w:u w:val="none"/>
              </w:rPr>
            </w:pPr>
            <w:r>
              <w:rPr>
                <w:rFonts w:hint="default" w:ascii="Times New Roman" w:hAnsi="Times New Roman" w:cs="Times New Roman"/>
                <w:color w:val="auto"/>
                <w:szCs w:val="24"/>
                <w:u w:val="none"/>
              </w:rPr>
              <w:t>项目无溶剂复合工艺采用无溶剂型胶粘剂，即使用不含溶剂成分的双组分聚氨酯粘合剂，复合过程中不烘干，则无溶剂复合过程中无有机废气产生。</w:t>
            </w:r>
          </w:p>
          <w:p w14:paraId="0507284E">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ascii="Times New Roman" w:hAnsi="Times New Roman" w:cs="Times New Roman"/>
                <w:color w:val="auto"/>
                <w:szCs w:val="24"/>
                <w:u w:val="none"/>
              </w:rPr>
            </w:pPr>
            <w:r>
              <w:rPr>
                <w:rFonts w:hint="default" w:ascii="Times New Roman" w:hAnsi="Times New Roman" w:cs="Times New Roman"/>
                <w:color w:val="auto"/>
                <w:szCs w:val="24"/>
                <w:u w:val="none"/>
              </w:rPr>
              <w:t>项目PE 膜生产过程中使用PE 粒子，在吹塑工艺中因粒子熔融而产生有机废气（以非甲烷总烃计），根据《排放源统计调查产排污核算方法和系数手册（生态环境部公告2021 年第24 号）》中2921 塑料薄膜制造行业系数表可知，有机废气（非甲烷总烃计）的产污系数为2.5kg/t 产品。本项目产品规模为</w:t>
            </w:r>
            <w:r>
              <w:rPr>
                <w:rFonts w:hint="eastAsia" w:cs="Times New Roman"/>
                <w:color w:val="auto"/>
                <w:szCs w:val="24"/>
                <w:u w:val="none"/>
                <w:lang w:val="en-US" w:eastAsia="zh-CN"/>
              </w:rPr>
              <w:t>70</w:t>
            </w:r>
            <w:r>
              <w:rPr>
                <w:rFonts w:hint="default" w:ascii="Times New Roman" w:hAnsi="Times New Roman" w:cs="Times New Roman"/>
                <w:color w:val="auto"/>
                <w:szCs w:val="24"/>
                <w:u w:val="none"/>
              </w:rPr>
              <w:t>0t/a，因此产生的有机废气（非甲烷总烃计）为</w:t>
            </w:r>
            <w:r>
              <w:rPr>
                <w:rFonts w:hint="eastAsia" w:cs="Times New Roman"/>
                <w:color w:val="auto"/>
                <w:szCs w:val="24"/>
                <w:u w:val="none"/>
                <w:lang w:val="en-US" w:eastAsia="zh-CN"/>
              </w:rPr>
              <w:t>1.75</w:t>
            </w:r>
            <w:r>
              <w:rPr>
                <w:rFonts w:hint="default" w:ascii="Times New Roman" w:hAnsi="Times New Roman" w:cs="Times New Roman"/>
                <w:color w:val="auto"/>
                <w:szCs w:val="24"/>
                <w:u w:val="none"/>
              </w:rPr>
              <w:t>t/a。</w:t>
            </w:r>
          </w:p>
          <w:p w14:paraId="650D1780">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ascii="Times New Roman" w:hAnsi="Times New Roman" w:cs="Times New Roman"/>
                <w:color w:val="auto"/>
                <w:szCs w:val="24"/>
                <w:u w:val="none"/>
              </w:rPr>
            </w:pPr>
            <w:r>
              <w:rPr>
                <w:rFonts w:hint="eastAsia" w:ascii="Times New Roman" w:hAnsi="Times New Roman" w:cs="Times New Roman"/>
                <w:color w:val="auto"/>
                <w:szCs w:val="24"/>
                <w:u w:val="none"/>
                <w:lang w:val="en-US" w:eastAsia="zh-CN"/>
              </w:rPr>
              <w:t>本评价考虑最不利情况</w:t>
            </w:r>
            <w:r>
              <w:rPr>
                <w:rFonts w:hint="eastAsia" w:cs="Times New Roman"/>
                <w:color w:val="auto"/>
                <w:szCs w:val="24"/>
                <w:u w:val="none"/>
                <w:lang w:val="en-US" w:eastAsia="zh-CN"/>
              </w:rPr>
              <w:t>原辅料中</w:t>
            </w:r>
            <w:r>
              <w:rPr>
                <w:rFonts w:hint="eastAsia" w:ascii="Times New Roman" w:hAnsi="Times New Roman" w:cs="Times New Roman"/>
                <w:color w:val="auto"/>
                <w:szCs w:val="24"/>
                <w:u w:val="none"/>
                <w:lang w:val="en-US" w:eastAsia="zh-CN"/>
              </w:rPr>
              <w:t>所有</w:t>
            </w:r>
            <w:r>
              <w:rPr>
                <w:rFonts w:hint="default" w:ascii="Times New Roman" w:hAnsi="Times New Roman" w:cs="Times New Roman"/>
                <w:color w:val="auto"/>
                <w:szCs w:val="24"/>
                <w:u w:val="none"/>
                <w:lang w:val="en-US" w:eastAsia="zh-CN"/>
              </w:rPr>
              <w:t>VOCs</w:t>
            </w:r>
            <w:r>
              <w:rPr>
                <w:rFonts w:hint="eastAsia" w:ascii="Times New Roman" w:hAnsi="Times New Roman" w:cs="Times New Roman"/>
                <w:color w:val="auto"/>
                <w:szCs w:val="24"/>
                <w:u w:val="none"/>
                <w:lang w:val="en-US" w:eastAsia="zh-CN"/>
              </w:rPr>
              <w:t>成分全部挥发，项目有机废气产生情况见下表。</w:t>
            </w:r>
            <w:r>
              <w:rPr>
                <w:rFonts w:hint="default" w:ascii="Times New Roman" w:hAnsi="Times New Roman" w:cs="Times New Roman"/>
                <w:color w:val="auto"/>
                <w:szCs w:val="24"/>
                <w:u w:val="none"/>
                <w:lang w:val="en-US" w:eastAsia="zh-CN"/>
              </w:rPr>
              <w:t xml:space="preserve"> </w:t>
            </w:r>
          </w:p>
          <w:p w14:paraId="105AAF7C">
            <w:pPr>
              <w:pStyle w:val="26"/>
              <w:keepNext w:val="0"/>
              <w:keepLines w:val="0"/>
              <w:numPr>
                <w:ilvl w:val="0"/>
                <w:numId w:val="0"/>
              </w:numPr>
              <w:suppressLineNumbers w:val="0"/>
              <w:spacing w:before="0" w:beforeAutospacing="0" w:after="0" w:afterAutospacing="0" w:line="360" w:lineRule="auto"/>
              <w:ind w:right="0" w:rightChars="0"/>
              <w:contextualSpacing/>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rPr>
              <w:t>表4-1本项目有机废气产生情况汇总</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687"/>
              <w:gridCol w:w="1693"/>
              <w:gridCol w:w="1686"/>
              <w:gridCol w:w="7"/>
              <w:gridCol w:w="1708"/>
              <w:gridCol w:w="1698"/>
            </w:tblGrid>
            <w:tr w14:paraId="6A4AB5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995" w:type="pct"/>
                  <w:tcBorders>
                    <w:tl2br w:val="nil"/>
                    <w:tr2bl w:val="nil"/>
                  </w:tcBorders>
                  <w:shd w:val="clear" w:color="auto" w:fill="auto"/>
                  <w:vAlign w:val="center"/>
                </w:tcPr>
                <w:p w14:paraId="48614C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主要工序</w:t>
                  </w:r>
                </w:p>
              </w:tc>
              <w:tc>
                <w:tcPr>
                  <w:tcW w:w="998" w:type="pct"/>
                  <w:tcBorders>
                    <w:tl2br w:val="nil"/>
                    <w:tr2bl w:val="nil"/>
                  </w:tcBorders>
                  <w:shd w:val="clear" w:color="auto" w:fill="auto"/>
                  <w:vAlign w:val="center"/>
                </w:tcPr>
                <w:p w14:paraId="3B5BA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物料名称</w:t>
                  </w:r>
                </w:p>
              </w:tc>
              <w:tc>
                <w:tcPr>
                  <w:tcW w:w="994" w:type="pct"/>
                  <w:tcBorders>
                    <w:tl2br w:val="nil"/>
                    <w:tr2bl w:val="nil"/>
                  </w:tcBorders>
                  <w:shd w:val="clear" w:color="auto" w:fill="auto"/>
                  <w:vAlign w:val="center"/>
                </w:tcPr>
                <w:p w14:paraId="639FEC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用量(t/a)</w:t>
                  </w:r>
                </w:p>
              </w:tc>
              <w:tc>
                <w:tcPr>
                  <w:tcW w:w="1010" w:type="pct"/>
                  <w:gridSpan w:val="2"/>
                  <w:tcBorders>
                    <w:tl2br w:val="nil"/>
                    <w:tr2bl w:val="nil"/>
                  </w:tcBorders>
                  <w:shd w:val="clear" w:color="auto" w:fill="auto"/>
                  <w:vAlign w:val="center"/>
                </w:tcPr>
                <w:p w14:paraId="6EE72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VOCs含量(%)</w:t>
                  </w:r>
                </w:p>
              </w:tc>
              <w:tc>
                <w:tcPr>
                  <w:tcW w:w="1001" w:type="pct"/>
                  <w:tcBorders>
                    <w:tl2br w:val="nil"/>
                    <w:tr2bl w:val="nil"/>
                  </w:tcBorders>
                  <w:shd w:val="clear" w:color="auto" w:fill="auto"/>
                  <w:vAlign w:val="center"/>
                </w:tcPr>
                <w:p w14:paraId="124AB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产生量(t/a)</w:t>
                  </w:r>
                </w:p>
              </w:tc>
            </w:tr>
            <w:tr w14:paraId="089AD3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restart"/>
                  <w:tcBorders>
                    <w:tl2br w:val="nil"/>
                    <w:tr2bl w:val="nil"/>
                  </w:tcBorders>
                  <w:shd w:val="clear" w:color="auto" w:fill="auto"/>
                  <w:vAlign w:val="center"/>
                </w:tcPr>
                <w:p w14:paraId="73632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复合膜</w:t>
                  </w:r>
                  <w:r>
                    <w:rPr>
                      <w:rFonts w:hint="default" w:ascii="Times New Roman" w:hAnsi="Times New Roman" w:eastAsia="宋体" w:cs="Times New Roman"/>
                      <w:i w:val="0"/>
                      <w:iCs w:val="0"/>
                      <w:color w:val="000000"/>
                      <w:kern w:val="0"/>
                      <w:sz w:val="21"/>
                      <w:szCs w:val="21"/>
                      <w:u w:val="none"/>
                      <w:lang w:val="en-US" w:eastAsia="zh-CN" w:bidi="ar"/>
                    </w:rPr>
                    <w:t>凹版印刷</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复合</w:t>
                  </w:r>
                  <w:r>
                    <w:rPr>
                      <w:rFonts w:hint="eastAsia" w:cs="Times New Roman"/>
                      <w:i w:val="0"/>
                      <w:iCs w:val="0"/>
                      <w:color w:val="000000"/>
                      <w:kern w:val="0"/>
                      <w:sz w:val="21"/>
                      <w:szCs w:val="21"/>
                      <w:u w:val="none"/>
                      <w:lang w:val="en-US" w:eastAsia="zh-CN" w:bidi="ar"/>
                    </w:rPr>
                    <w:t>工序</w:t>
                  </w:r>
                </w:p>
              </w:tc>
              <w:tc>
                <w:tcPr>
                  <w:tcW w:w="998" w:type="pct"/>
                  <w:tcBorders>
                    <w:tl2br w:val="nil"/>
                    <w:tr2bl w:val="nil"/>
                  </w:tcBorders>
                  <w:shd w:val="clear" w:color="auto" w:fill="auto"/>
                  <w:vAlign w:val="center"/>
                </w:tcPr>
                <w:p w14:paraId="67C5E2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凹版油墨</w:t>
                  </w:r>
                </w:p>
              </w:tc>
              <w:tc>
                <w:tcPr>
                  <w:tcW w:w="994" w:type="pct"/>
                  <w:tcBorders>
                    <w:tl2br w:val="nil"/>
                    <w:tr2bl w:val="nil"/>
                  </w:tcBorders>
                  <w:shd w:val="clear" w:color="auto" w:fill="auto"/>
                  <w:vAlign w:val="center"/>
                </w:tcPr>
                <w:p w14:paraId="382FC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1010" w:type="pct"/>
                  <w:gridSpan w:val="2"/>
                  <w:tcBorders>
                    <w:tl2br w:val="nil"/>
                    <w:tr2bl w:val="nil"/>
                  </w:tcBorders>
                  <w:shd w:val="clear" w:color="auto" w:fill="auto"/>
                  <w:vAlign w:val="center"/>
                </w:tcPr>
                <w:p w14:paraId="6FF08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81.3</w:t>
                  </w:r>
                </w:p>
              </w:tc>
              <w:tc>
                <w:tcPr>
                  <w:tcW w:w="1001" w:type="pct"/>
                  <w:tcBorders>
                    <w:tl2br w:val="nil"/>
                    <w:tr2bl w:val="nil"/>
                  </w:tcBorders>
                  <w:shd w:val="clear" w:color="auto" w:fill="auto"/>
                  <w:vAlign w:val="center"/>
                </w:tcPr>
                <w:p w14:paraId="2481A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0.4065</w:t>
                  </w:r>
                </w:p>
              </w:tc>
            </w:tr>
            <w:tr w14:paraId="7F17F2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1B12A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1F1AC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乙酸乙酯</w:t>
                  </w:r>
                </w:p>
              </w:tc>
              <w:tc>
                <w:tcPr>
                  <w:tcW w:w="994" w:type="pct"/>
                  <w:tcBorders>
                    <w:tl2br w:val="nil"/>
                    <w:tr2bl w:val="nil"/>
                  </w:tcBorders>
                  <w:shd w:val="clear" w:color="auto" w:fill="auto"/>
                  <w:vAlign w:val="center"/>
                </w:tcPr>
                <w:p w14:paraId="4E173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2</w:t>
                  </w:r>
                </w:p>
              </w:tc>
              <w:tc>
                <w:tcPr>
                  <w:tcW w:w="1010" w:type="pct"/>
                  <w:gridSpan w:val="2"/>
                  <w:tcBorders>
                    <w:tl2br w:val="nil"/>
                    <w:tr2bl w:val="nil"/>
                  </w:tcBorders>
                  <w:shd w:val="clear" w:color="auto" w:fill="auto"/>
                  <w:vAlign w:val="center"/>
                </w:tcPr>
                <w:p w14:paraId="514DE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001" w:type="pct"/>
                  <w:tcBorders>
                    <w:tl2br w:val="nil"/>
                    <w:tr2bl w:val="nil"/>
                  </w:tcBorders>
                  <w:shd w:val="clear" w:color="auto" w:fill="auto"/>
                  <w:vAlign w:val="center"/>
                </w:tcPr>
                <w:p w14:paraId="2C3C2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r>
            <w:tr w14:paraId="0C9212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63028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05500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聚氨酯胶粘剂</w:t>
                  </w:r>
                </w:p>
              </w:tc>
              <w:tc>
                <w:tcPr>
                  <w:tcW w:w="994" w:type="pct"/>
                  <w:tcBorders>
                    <w:tl2br w:val="nil"/>
                    <w:tr2bl w:val="nil"/>
                  </w:tcBorders>
                  <w:shd w:val="clear" w:color="auto" w:fill="auto"/>
                  <w:vAlign w:val="center"/>
                </w:tcPr>
                <w:p w14:paraId="082A5D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2</w:t>
                  </w:r>
                </w:p>
              </w:tc>
              <w:tc>
                <w:tcPr>
                  <w:tcW w:w="1010" w:type="pct"/>
                  <w:gridSpan w:val="2"/>
                  <w:tcBorders>
                    <w:tl2br w:val="nil"/>
                    <w:tr2bl w:val="nil"/>
                  </w:tcBorders>
                  <w:shd w:val="clear" w:color="auto" w:fill="auto"/>
                  <w:vAlign w:val="center"/>
                </w:tcPr>
                <w:p w14:paraId="3CA37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55</w:t>
                  </w:r>
                </w:p>
              </w:tc>
              <w:tc>
                <w:tcPr>
                  <w:tcW w:w="1001" w:type="pct"/>
                  <w:tcBorders>
                    <w:tl2br w:val="nil"/>
                    <w:tr2bl w:val="nil"/>
                  </w:tcBorders>
                  <w:shd w:val="clear" w:color="auto" w:fill="auto"/>
                  <w:vAlign w:val="center"/>
                </w:tcPr>
                <w:p w14:paraId="43749B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r>
            <w:tr w14:paraId="2E3D1C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5947AC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005A3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聚氨酯固化剂</w:t>
                  </w:r>
                </w:p>
              </w:tc>
              <w:tc>
                <w:tcPr>
                  <w:tcW w:w="994" w:type="pct"/>
                  <w:tcBorders>
                    <w:tl2br w:val="nil"/>
                    <w:tr2bl w:val="nil"/>
                  </w:tcBorders>
                  <w:shd w:val="clear" w:color="auto" w:fill="auto"/>
                  <w:vAlign w:val="center"/>
                </w:tcPr>
                <w:p w14:paraId="60276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0.4</w:t>
                  </w:r>
                </w:p>
              </w:tc>
              <w:tc>
                <w:tcPr>
                  <w:tcW w:w="1010" w:type="pct"/>
                  <w:gridSpan w:val="2"/>
                  <w:tcBorders>
                    <w:tl2br w:val="nil"/>
                    <w:tr2bl w:val="nil"/>
                  </w:tcBorders>
                  <w:shd w:val="clear" w:color="auto" w:fill="auto"/>
                  <w:vAlign w:val="center"/>
                </w:tcPr>
                <w:p w14:paraId="331D6B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30</w:t>
                  </w:r>
                </w:p>
              </w:tc>
              <w:tc>
                <w:tcPr>
                  <w:tcW w:w="1001" w:type="pct"/>
                  <w:tcBorders>
                    <w:tl2br w:val="nil"/>
                    <w:tr2bl w:val="nil"/>
                  </w:tcBorders>
                  <w:shd w:val="clear" w:color="auto" w:fill="auto"/>
                  <w:vAlign w:val="center"/>
                </w:tcPr>
                <w:p w14:paraId="7C7F6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0.12</w:t>
                  </w:r>
                </w:p>
              </w:tc>
            </w:tr>
            <w:tr w14:paraId="525FC4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332DA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3002" w:type="pct"/>
                  <w:gridSpan w:val="4"/>
                  <w:tcBorders>
                    <w:tl2br w:val="nil"/>
                    <w:tr2bl w:val="nil"/>
                  </w:tcBorders>
                  <w:shd w:val="clear" w:color="auto" w:fill="auto"/>
                  <w:vAlign w:val="center"/>
                </w:tcPr>
                <w:p w14:paraId="4CB90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小计</w:t>
                  </w:r>
                </w:p>
              </w:tc>
              <w:tc>
                <w:tcPr>
                  <w:tcW w:w="1001" w:type="pct"/>
                  <w:tcBorders>
                    <w:tl2br w:val="nil"/>
                    <w:tr2bl w:val="nil"/>
                  </w:tcBorders>
                  <w:shd w:val="clear" w:color="auto" w:fill="auto"/>
                  <w:vAlign w:val="center"/>
                </w:tcPr>
                <w:p w14:paraId="070896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3.6265</w:t>
                  </w:r>
                </w:p>
              </w:tc>
            </w:tr>
            <w:tr w14:paraId="01A9D9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restart"/>
                  <w:tcBorders>
                    <w:tl2br w:val="nil"/>
                    <w:tr2bl w:val="nil"/>
                  </w:tcBorders>
                  <w:shd w:val="clear" w:color="auto" w:fill="auto"/>
                  <w:vAlign w:val="center"/>
                </w:tcPr>
                <w:p w14:paraId="5FF44E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铝箔印刷</w:t>
                  </w:r>
                  <w:r>
                    <w:rPr>
                      <w:rFonts w:hint="eastAsia" w:cs="Times New Roman"/>
                      <w:i w:val="0"/>
                      <w:iCs w:val="0"/>
                      <w:color w:val="000000"/>
                      <w:kern w:val="0"/>
                      <w:sz w:val="21"/>
                      <w:szCs w:val="21"/>
                      <w:u w:val="none"/>
                      <w:lang w:val="en-US" w:eastAsia="zh-CN" w:bidi="ar"/>
                    </w:rPr>
                    <w:t>、</w:t>
                  </w:r>
                </w:p>
                <w:p w14:paraId="166298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涂布</w:t>
                  </w:r>
                </w:p>
              </w:tc>
              <w:tc>
                <w:tcPr>
                  <w:tcW w:w="998" w:type="pct"/>
                  <w:tcBorders>
                    <w:tl2br w:val="nil"/>
                    <w:tr2bl w:val="nil"/>
                  </w:tcBorders>
                  <w:shd w:val="clear" w:color="auto" w:fill="auto"/>
                  <w:vAlign w:val="center"/>
                </w:tcPr>
                <w:p w14:paraId="2EAB2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铝箔油墨</w:t>
                  </w:r>
                </w:p>
              </w:tc>
              <w:tc>
                <w:tcPr>
                  <w:tcW w:w="994" w:type="pct"/>
                  <w:tcBorders>
                    <w:tl2br w:val="nil"/>
                    <w:tr2bl w:val="nil"/>
                  </w:tcBorders>
                  <w:shd w:val="clear" w:color="auto" w:fill="auto"/>
                  <w:vAlign w:val="center"/>
                </w:tcPr>
                <w:p w14:paraId="42709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0.2</w:t>
                  </w:r>
                </w:p>
              </w:tc>
              <w:tc>
                <w:tcPr>
                  <w:tcW w:w="1010" w:type="pct"/>
                  <w:gridSpan w:val="2"/>
                  <w:tcBorders>
                    <w:tl2br w:val="nil"/>
                    <w:tr2bl w:val="nil"/>
                  </w:tcBorders>
                  <w:shd w:val="clear" w:color="auto" w:fill="auto"/>
                  <w:vAlign w:val="center"/>
                </w:tcPr>
                <w:p w14:paraId="0A08B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85</w:t>
                  </w:r>
                </w:p>
              </w:tc>
              <w:tc>
                <w:tcPr>
                  <w:tcW w:w="1001" w:type="pct"/>
                  <w:tcBorders>
                    <w:tl2br w:val="nil"/>
                    <w:tr2bl w:val="nil"/>
                  </w:tcBorders>
                  <w:shd w:val="clear" w:color="auto" w:fill="auto"/>
                  <w:vAlign w:val="center"/>
                </w:tcPr>
                <w:p w14:paraId="1EE1FB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0.17</w:t>
                  </w:r>
                </w:p>
              </w:tc>
            </w:tr>
            <w:tr w14:paraId="33C6DE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4FFA1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743491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乙酸乙酯</w:t>
                  </w:r>
                </w:p>
              </w:tc>
              <w:tc>
                <w:tcPr>
                  <w:tcW w:w="994" w:type="pct"/>
                  <w:tcBorders>
                    <w:tl2br w:val="nil"/>
                    <w:tr2bl w:val="nil"/>
                  </w:tcBorders>
                  <w:shd w:val="clear" w:color="auto" w:fill="auto"/>
                  <w:vAlign w:val="center"/>
                </w:tcPr>
                <w:p w14:paraId="13A16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1010" w:type="pct"/>
                  <w:gridSpan w:val="2"/>
                  <w:tcBorders>
                    <w:tl2br w:val="nil"/>
                    <w:tr2bl w:val="nil"/>
                  </w:tcBorders>
                  <w:shd w:val="clear" w:color="auto" w:fill="auto"/>
                  <w:vAlign w:val="center"/>
                </w:tcPr>
                <w:p w14:paraId="31CC0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001" w:type="pct"/>
                  <w:tcBorders>
                    <w:tl2br w:val="nil"/>
                    <w:tr2bl w:val="nil"/>
                  </w:tcBorders>
                  <w:shd w:val="clear" w:color="auto" w:fill="auto"/>
                  <w:vAlign w:val="center"/>
                </w:tcPr>
                <w:p w14:paraId="33950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0.5</w:t>
                  </w:r>
                </w:p>
              </w:tc>
            </w:tr>
            <w:tr w14:paraId="2A5836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77096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3FCAE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OP保护剂</w:t>
                  </w:r>
                </w:p>
              </w:tc>
              <w:tc>
                <w:tcPr>
                  <w:tcW w:w="994" w:type="pct"/>
                  <w:tcBorders>
                    <w:tl2br w:val="nil"/>
                    <w:tr2bl w:val="nil"/>
                  </w:tcBorders>
                  <w:shd w:val="clear" w:color="auto" w:fill="auto"/>
                  <w:vAlign w:val="center"/>
                </w:tcPr>
                <w:p w14:paraId="7854D0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0.5</w:t>
                  </w:r>
                </w:p>
              </w:tc>
              <w:tc>
                <w:tcPr>
                  <w:tcW w:w="1010" w:type="pct"/>
                  <w:gridSpan w:val="2"/>
                  <w:tcBorders>
                    <w:tl2br w:val="nil"/>
                    <w:tr2bl w:val="nil"/>
                  </w:tcBorders>
                  <w:shd w:val="clear" w:color="auto" w:fill="auto"/>
                  <w:vAlign w:val="center"/>
                </w:tcPr>
                <w:p w14:paraId="26A1F2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85</w:t>
                  </w:r>
                </w:p>
              </w:tc>
              <w:tc>
                <w:tcPr>
                  <w:tcW w:w="1001" w:type="pct"/>
                  <w:tcBorders>
                    <w:tl2br w:val="nil"/>
                    <w:tr2bl w:val="nil"/>
                  </w:tcBorders>
                  <w:shd w:val="clear" w:color="auto" w:fill="auto"/>
                  <w:vAlign w:val="center"/>
                </w:tcPr>
                <w:p w14:paraId="2656D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0.425</w:t>
                  </w:r>
                </w:p>
              </w:tc>
            </w:tr>
            <w:tr w14:paraId="3E8C28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3DDF96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998" w:type="pct"/>
                  <w:tcBorders>
                    <w:tl2br w:val="nil"/>
                    <w:tr2bl w:val="nil"/>
                  </w:tcBorders>
                  <w:shd w:val="clear" w:color="auto" w:fill="auto"/>
                  <w:vAlign w:val="center"/>
                </w:tcPr>
                <w:p w14:paraId="127B98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VC胶粘剂</w:t>
                  </w:r>
                </w:p>
              </w:tc>
              <w:tc>
                <w:tcPr>
                  <w:tcW w:w="994" w:type="pct"/>
                  <w:tcBorders>
                    <w:tl2br w:val="nil"/>
                    <w:tr2bl w:val="nil"/>
                  </w:tcBorders>
                  <w:shd w:val="clear" w:color="auto" w:fill="auto"/>
                  <w:vAlign w:val="center"/>
                </w:tcPr>
                <w:p w14:paraId="1D130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2.0</w:t>
                  </w:r>
                </w:p>
              </w:tc>
              <w:tc>
                <w:tcPr>
                  <w:tcW w:w="1010" w:type="pct"/>
                  <w:gridSpan w:val="2"/>
                  <w:tcBorders>
                    <w:tl2br w:val="nil"/>
                    <w:tr2bl w:val="nil"/>
                  </w:tcBorders>
                  <w:shd w:val="clear" w:color="auto" w:fill="auto"/>
                  <w:vAlign w:val="center"/>
                </w:tcPr>
                <w:p w14:paraId="0693D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75</w:t>
                  </w:r>
                </w:p>
              </w:tc>
              <w:tc>
                <w:tcPr>
                  <w:tcW w:w="1001" w:type="pct"/>
                  <w:tcBorders>
                    <w:tl2br w:val="nil"/>
                    <w:tr2bl w:val="nil"/>
                  </w:tcBorders>
                  <w:shd w:val="clear" w:color="auto" w:fill="auto"/>
                  <w:vAlign w:val="center"/>
                </w:tcPr>
                <w:p w14:paraId="755481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r>
            <w:tr w14:paraId="696B48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29DECF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3002" w:type="pct"/>
                  <w:gridSpan w:val="4"/>
                  <w:tcBorders>
                    <w:tl2br w:val="nil"/>
                    <w:tr2bl w:val="nil"/>
                  </w:tcBorders>
                  <w:shd w:val="clear" w:color="auto" w:fill="auto"/>
                  <w:vAlign w:val="center"/>
                </w:tcPr>
                <w:p w14:paraId="48FBF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小计</w:t>
                  </w:r>
                </w:p>
              </w:tc>
              <w:tc>
                <w:tcPr>
                  <w:tcW w:w="1001" w:type="pct"/>
                  <w:tcBorders>
                    <w:tl2br w:val="nil"/>
                    <w:tr2bl w:val="nil"/>
                  </w:tcBorders>
                  <w:shd w:val="clear" w:color="auto" w:fill="auto"/>
                  <w:vAlign w:val="center"/>
                </w:tcPr>
                <w:p w14:paraId="74638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2.595</w:t>
                  </w:r>
                </w:p>
              </w:tc>
            </w:tr>
            <w:tr w14:paraId="6354A1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restart"/>
                  <w:tcBorders>
                    <w:tl2br w:val="nil"/>
                    <w:tr2bl w:val="nil"/>
                  </w:tcBorders>
                  <w:shd w:val="clear" w:color="auto" w:fill="auto"/>
                  <w:vAlign w:val="center"/>
                </w:tcPr>
                <w:p w14:paraId="6C5F77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 E 膜</w:t>
                  </w:r>
                </w:p>
              </w:tc>
              <w:tc>
                <w:tcPr>
                  <w:tcW w:w="998" w:type="pct"/>
                  <w:tcBorders>
                    <w:tl2br w:val="nil"/>
                    <w:tr2bl w:val="nil"/>
                  </w:tcBorders>
                  <w:shd w:val="clear" w:color="auto" w:fill="auto"/>
                  <w:vAlign w:val="center"/>
                </w:tcPr>
                <w:p w14:paraId="298BD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PE粒子</w:t>
                  </w:r>
                </w:p>
              </w:tc>
              <w:tc>
                <w:tcPr>
                  <w:tcW w:w="994" w:type="pct"/>
                  <w:tcBorders>
                    <w:tl2br w:val="nil"/>
                    <w:tr2bl w:val="nil"/>
                  </w:tcBorders>
                  <w:shd w:val="clear" w:color="auto" w:fill="auto"/>
                  <w:vAlign w:val="center"/>
                </w:tcPr>
                <w:p w14:paraId="56A630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700</w:t>
                  </w:r>
                </w:p>
              </w:tc>
              <w:tc>
                <w:tcPr>
                  <w:tcW w:w="1010" w:type="pct"/>
                  <w:gridSpan w:val="2"/>
                  <w:tcBorders>
                    <w:tl2br w:val="nil"/>
                    <w:tr2bl w:val="nil"/>
                  </w:tcBorders>
                  <w:shd w:val="clear" w:color="auto" w:fill="auto"/>
                  <w:vAlign w:val="center"/>
                </w:tcPr>
                <w:p w14:paraId="03209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w:t>
                  </w:r>
                </w:p>
              </w:tc>
              <w:tc>
                <w:tcPr>
                  <w:tcW w:w="1001" w:type="pct"/>
                  <w:tcBorders>
                    <w:tl2br w:val="nil"/>
                    <w:tr2bl w:val="nil"/>
                  </w:tcBorders>
                  <w:shd w:val="clear" w:color="auto" w:fill="auto"/>
                  <w:vAlign w:val="center"/>
                </w:tcPr>
                <w:p w14:paraId="29B0C3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1.75</w:t>
                  </w:r>
                </w:p>
              </w:tc>
            </w:tr>
            <w:tr w14:paraId="1EC1F9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vMerge w:val="continue"/>
                  <w:tcBorders>
                    <w:tl2br w:val="nil"/>
                    <w:tr2bl w:val="nil"/>
                  </w:tcBorders>
                  <w:shd w:val="clear" w:color="auto" w:fill="auto"/>
                  <w:vAlign w:val="center"/>
                </w:tcPr>
                <w:p w14:paraId="31C4B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rPr>
                  </w:pPr>
                </w:p>
              </w:tc>
              <w:tc>
                <w:tcPr>
                  <w:tcW w:w="3002" w:type="pct"/>
                  <w:gridSpan w:val="4"/>
                  <w:tcBorders>
                    <w:tl2br w:val="nil"/>
                    <w:tr2bl w:val="nil"/>
                  </w:tcBorders>
                  <w:shd w:val="clear" w:color="auto" w:fill="auto"/>
                  <w:vAlign w:val="center"/>
                </w:tcPr>
                <w:p w14:paraId="14856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小计</w:t>
                  </w:r>
                </w:p>
              </w:tc>
              <w:tc>
                <w:tcPr>
                  <w:tcW w:w="1001" w:type="pct"/>
                  <w:tcBorders>
                    <w:tl2br w:val="nil"/>
                    <w:tr2bl w:val="nil"/>
                  </w:tcBorders>
                  <w:shd w:val="clear" w:color="auto" w:fill="auto"/>
                  <w:vAlign w:val="center"/>
                </w:tcPr>
                <w:p w14:paraId="54D02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1.75</w:t>
                  </w:r>
                </w:p>
              </w:tc>
            </w:tr>
            <w:tr w14:paraId="07E308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95" w:type="pct"/>
                  <w:tcBorders>
                    <w:tl2br w:val="nil"/>
                    <w:tr2bl w:val="nil"/>
                  </w:tcBorders>
                  <w:shd w:val="clear" w:color="auto" w:fill="auto"/>
                  <w:vAlign w:val="center"/>
                </w:tcPr>
                <w:p w14:paraId="442DB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消毒</w:t>
                  </w:r>
                </w:p>
              </w:tc>
              <w:tc>
                <w:tcPr>
                  <w:tcW w:w="998" w:type="pct"/>
                  <w:tcBorders>
                    <w:tl2br w:val="nil"/>
                    <w:tr2bl w:val="nil"/>
                  </w:tcBorders>
                  <w:shd w:val="clear" w:color="auto" w:fill="auto"/>
                  <w:vAlign w:val="center"/>
                </w:tcPr>
                <w:p w14:paraId="4344A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医用酒精</w:t>
                  </w:r>
                </w:p>
              </w:tc>
              <w:tc>
                <w:tcPr>
                  <w:tcW w:w="998" w:type="pct"/>
                  <w:gridSpan w:val="2"/>
                  <w:tcBorders>
                    <w:tl2br w:val="nil"/>
                    <w:tr2bl w:val="nil"/>
                  </w:tcBorders>
                  <w:shd w:val="clear" w:color="auto" w:fill="auto"/>
                  <w:vAlign w:val="center"/>
                </w:tcPr>
                <w:p w14:paraId="391106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0.01</w:t>
                  </w:r>
                </w:p>
              </w:tc>
              <w:tc>
                <w:tcPr>
                  <w:tcW w:w="1006" w:type="pct"/>
                  <w:tcBorders>
                    <w:tl2br w:val="nil"/>
                    <w:tr2bl w:val="nil"/>
                  </w:tcBorders>
                  <w:shd w:val="clear" w:color="auto" w:fill="auto"/>
                  <w:vAlign w:val="center"/>
                </w:tcPr>
                <w:p w14:paraId="4A173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75</w:t>
                  </w:r>
                </w:p>
              </w:tc>
              <w:tc>
                <w:tcPr>
                  <w:tcW w:w="1001" w:type="pct"/>
                  <w:tcBorders>
                    <w:tl2br w:val="nil"/>
                    <w:tr2bl w:val="nil"/>
                  </w:tcBorders>
                  <w:shd w:val="clear" w:color="auto" w:fill="auto"/>
                  <w:vAlign w:val="center"/>
                </w:tcPr>
                <w:p w14:paraId="0A6D4C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0.0075</w:t>
                  </w:r>
                </w:p>
              </w:tc>
            </w:tr>
            <w:tr w14:paraId="2C5384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998" w:type="pct"/>
                  <w:gridSpan w:val="5"/>
                  <w:tcBorders>
                    <w:tl2br w:val="nil"/>
                    <w:tr2bl w:val="nil"/>
                  </w:tcBorders>
                  <w:shd w:val="clear" w:color="auto" w:fill="auto"/>
                  <w:vAlign w:val="center"/>
                </w:tcPr>
                <w:p w14:paraId="2536D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合计</w:t>
                  </w:r>
                </w:p>
              </w:tc>
              <w:tc>
                <w:tcPr>
                  <w:tcW w:w="1001" w:type="pct"/>
                  <w:tcBorders>
                    <w:tl2br w:val="nil"/>
                    <w:tr2bl w:val="nil"/>
                  </w:tcBorders>
                  <w:shd w:val="clear" w:color="auto" w:fill="auto"/>
                  <w:vAlign w:val="center"/>
                </w:tcPr>
                <w:p w14:paraId="1E787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top"/>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7.979</w:t>
                  </w:r>
                </w:p>
              </w:tc>
            </w:tr>
          </w:tbl>
          <w:p w14:paraId="5BF31CE4">
            <w:pPr>
              <w:pStyle w:val="26"/>
              <w:keepNext w:val="0"/>
              <w:keepLines w:val="0"/>
              <w:numPr>
                <w:ilvl w:val="0"/>
                <w:numId w:val="5"/>
              </w:numPr>
              <w:suppressLineNumbers w:val="0"/>
              <w:spacing w:before="0" w:beforeAutospacing="0" w:after="0" w:afterAutospacing="0" w:line="360" w:lineRule="auto"/>
              <w:ind w:left="0" w:leftChars="0" w:right="0" w:firstLine="480" w:firstLineChars="200"/>
              <w:contextualSpacing/>
              <w:rPr>
                <w:rFonts w:hint="default" w:ascii="Times New Roman" w:hAnsi="Times New Roman" w:cs="Times New Roman"/>
                <w:color w:val="auto"/>
                <w:szCs w:val="24"/>
                <w:u w:val="none"/>
              </w:rPr>
            </w:pPr>
            <w:r>
              <w:rPr>
                <w:rFonts w:hint="eastAsia" w:cs="Times New Roman"/>
                <w:color w:val="auto"/>
                <w:szCs w:val="24"/>
                <w:u w:val="none"/>
                <w:lang w:val="en-US" w:eastAsia="zh-CN"/>
              </w:rPr>
              <w:t>RTO燃烧废气</w:t>
            </w:r>
          </w:p>
          <w:p w14:paraId="771967FA">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rPr>
            </w:pPr>
            <w:r>
              <w:rPr>
                <w:rFonts w:hint="default" w:ascii="Times New Roman" w:hAnsi="Times New Roman" w:cs="Times New Roman"/>
                <w:color w:val="auto"/>
                <w:szCs w:val="24"/>
                <w:u w:val="none"/>
                <w:lang w:val="en-US" w:eastAsia="zh-CN"/>
              </w:rPr>
              <w:t>项目有机废气治理设施蓄热式催化燃烧RTO 炉以天然气作为</w:t>
            </w:r>
            <w:r>
              <w:rPr>
                <w:rFonts w:hint="eastAsia" w:cs="Times New Roman"/>
                <w:color w:val="auto"/>
                <w:szCs w:val="24"/>
                <w:u w:val="none"/>
                <w:lang w:val="en-US" w:eastAsia="zh-CN"/>
              </w:rPr>
              <w:t>预热</w:t>
            </w:r>
            <w:r>
              <w:rPr>
                <w:rFonts w:hint="default" w:ascii="Times New Roman" w:hAnsi="Times New Roman" w:cs="Times New Roman"/>
                <w:color w:val="auto"/>
                <w:szCs w:val="24"/>
                <w:u w:val="none"/>
                <w:lang w:val="en-US" w:eastAsia="zh-CN"/>
              </w:rPr>
              <w:t>燃料，日工作</w:t>
            </w:r>
            <w:r>
              <w:rPr>
                <w:rFonts w:hint="eastAsia" w:cs="Times New Roman"/>
                <w:color w:val="auto"/>
                <w:szCs w:val="24"/>
                <w:u w:val="none"/>
                <w:lang w:val="en-US" w:eastAsia="zh-CN"/>
              </w:rPr>
              <w:t>1</w:t>
            </w:r>
            <w:r>
              <w:rPr>
                <w:rFonts w:hint="default" w:ascii="Times New Roman" w:hAnsi="Times New Roman" w:cs="Times New Roman"/>
                <w:color w:val="auto"/>
                <w:szCs w:val="24"/>
                <w:u w:val="none"/>
                <w:lang w:val="en-US" w:eastAsia="zh-CN"/>
              </w:rPr>
              <w:t>小时，项目年生产3</w:t>
            </w:r>
            <w:r>
              <w:rPr>
                <w:rFonts w:hint="eastAsia" w:cs="Times New Roman"/>
                <w:color w:val="auto"/>
                <w:szCs w:val="24"/>
                <w:u w:val="none"/>
                <w:lang w:val="en-US" w:eastAsia="zh-CN"/>
              </w:rPr>
              <w:t>12</w:t>
            </w:r>
            <w:r>
              <w:rPr>
                <w:rFonts w:hint="default" w:ascii="Times New Roman" w:hAnsi="Times New Roman" w:cs="Times New Roman"/>
                <w:color w:val="auto"/>
                <w:szCs w:val="24"/>
                <w:u w:val="none"/>
                <w:lang w:val="en-US" w:eastAsia="zh-CN"/>
              </w:rPr>
              <w:t xml:space="preserve"> 天，则天然气</w:t>
            </w:r>
            <w:r>
              <w:rPr>
                <w:rFonts w:hint="eastAsia" w:cs="Times New Roman"/>
                <w:color w:val="auto"/>
                <w:szCs w:val="24"/>
                <w:u w:val="none"/>
                <w:lang w:val="en-US" w:eastAsia="zh-CN"/>
              </w:rPr>
              <w:t>预热</w:t>
            </w:r>
            <w:r>
              <w:rPr>
                <w:rFonts w:hint="default" w:ascii="Times New Roman" w:hAnsi="Times New Roman" w:cs="Times New Roman"/>
                <w:color w:val="auto"/>
                <w:szCs w:val="24"/>
                <w:u w:val="none"/>
                <w:lang w:val="en-US" w:eastAsia="zh-CN"/>
              </w:rPr>
              <w:t>燃烧使用周期为3</w:t>
            </w:r>
            <w:r>
              <w:rPr>
                <w:rFonts w:hint="eastAsia" w:cs="Times New Roman"/>
                <w:color w:val="auto"/>
                <w:szCs w:val="24"/>
                <w:u w:val="none"/>
                <w:lang w:val="en-US" w:eastAsia="zh-CN"/>
              </w:rPr>
              <w:t>12</w:t>
            </w:r>
            <w:r>
              <w:rPr>
                <w:rFonts w:hint="default" w:ascii="Times New Roman" w:hAnsi="Times New Roman" w:cs="Times New Roman"/>
                <w:color w:val="auto"/>
                <w:szCs w:val="24"/>
                <w:u w:val="none"/>
                <w:lang w:val="en-US" w:eastAsia="zh-CN"/>
              </w:rPr>
              <w:t>h，项目产生的有机废气中主要成分为乙酸乙酯、乙酸丙酯、丙醇、乙酸丁酯等碳氢化合物，同时有机废气热值不够时须补充天然气燃烧，燃烧过程可能产生二氧化硫、氮氧化物。</w:t>
            </w:r>
            <w:r>
              <w:rPr>
                <w:rFonts w:hint="eastAsia" w:cs="Times New Roman"/>
                <w:color w:val="auto"/>
                <w:szCs w:val="24"/>
                <w:u w:val="none"/>
                <w:lang w:val="en-US" w:eastAsia="zh-CN"/>
              </w:rPr>
              <w:t>根据建设单位资料，</w:t>
            </w:r>
            <w:r>
              <w:rPr>
                <w:rFonts w:hint="default" w:ascii="Times New Roman" w:hAnsi="Times New Roman" w:cs="Times New Roman"/>
                <w:color w:val="auto"/>
                <w:szCs w:val="24"/>
                <w:u w:val="none"/>
                <w:lang w:val="en-US" w:eastAsia="zh-CN"/>
              </w:rPr>
              <w:t>天然气用气量约为3万m</w:t>
            </w:r>
            <w:r>
              <w:rPr>
                <w:rFonts w:hint="default" w:ascii="Times New Roman" w:hAnsi="Times New Roman" w:cs="Times New Roman"/>
                <w:color w:val="auto"/>
                <w:szCs w:val="24"/>
                <w:u w:val="none"/>
                <w:vertAlign w:val="superscript"/>
                <w:lang w:val="en-US" w:eastAsia="zh-CN"/>
              </w:rPr>
              <w:t>3</w:t>
            </w:r>
            <w:r>
              <w:rPr>
                <w:rFonts w:hint="default" w:ascii="Times New Roman" w:hAnsi="Times New Roman" w:cs="Times New Roman"/>
                <w:color w:val="auto"/>
                <w:szCs w:val="24"/>
                <w:u w:val="none"/>
                <w:lang w:val="en-US" w:eastAsia="zh-CN"/>
              </w:rPr>
              <w:t>/a。参考《排污许可证申请与核发技术规范工业炉窑》（HJ1121 -2020）中表6加热炉、热处理炉、干燥炉排放口参考绩效表值，取项目所用天然气低位热量值为36.01MJ/m</w:t>
            </w:r>
            <w:r>
              <w:rPr>
                <w:rFonts w:hint="default" w:ascii="Times New Roman" w:hAnsi="Times New Roman" w:cs="Times New Roman"/>
                <w:color w:val="auto"/>
                <w:szCs w:val="24"/>
                <w:u w:val="none"/>
                <w:vertAlign w:val="superscript"/>
                <w:lang w:val="en-US" w:eastAsia="zh-CN"/>
              </w:rPr>
              <w:t>3</w:t>
            </w:r>
            <w:r>
              <w:rPr>
                <w:rFonts w:hint="default" w:ascii="Times New Roman" w:hAnsi="Times New Roman" w:cs="Times New Roman"/>
                <w:color w:val="auto"/>
                <w:szCs w:val="24"/>
                <w:u w:val="none"/>
                <w:lang w:val="en-US" w:eastAsia="zh-CN"/>
              </w:rPr>
              <w:t>，相应的二氧化硫绩效值为0.172g/m</w:t>
            </w:r>
            <w:r>
              <w:rPr>
                <w:rFonts w:hint="default" w:ascii="Times New Roman" w:hAnsi="Times New Roman" w:cs="Times New Roman"/>
                <w:color w:val="auto"/>
                <w:szCs w:val="24"/>
                <w:u w:val="none"/>
                <w:vertAlign w:val="superscript"/>
                <w:lang w:val="en-US" w:eastAsia="zh-CN"/>
              </w:rPr>
              <w:t>3</w:t>
            </w:r>
            <w:r>
              <w:rPr>
                <w:rFonts w:hint="default" w:ascii="Times New Roman" w:hAnsi="Times New Roman" w:cs="Times New Roman"/>
                <w:color w:val="auto"/>
                <w:szCs w:val="24"/>
                <w:u w:val="none"/>
                <w:lang w:val="en-US" w:eastAsia="zh-CN"/>
              </w:rPr>
              <w:t>、</w:t>
            </w:r>
            <w:r>
              <w:rPr>
                <w:rFonts w:hint="eastAsia" w:ascii="Times New Roman" w:hAnsi="Times New Roman" w:cs="Times New Roman"/>
                <w:color w:val="auto"/>
                <w:szCs w:val="24"/>
                <w:u w:val="none"/>
                <w:lang w:val="en-US" w:eastAsia="zh-CN"/>
              </w:rPr>
              <w:t>氮氧化物绩效值为</w:t>
            </w:r>
            <w:r>
              <w:rPr>
                <w:rFonts w:hint="default" w:ascii="Times New Roman" w:hAnsi="Times New Roman" w:cs="Times New Roman"/>
                <w:color w:val="auto"/>
                <w:szCs w:val="24"/>
                <w:u w:val="none"/>
                <w:lang w:val="en-US" w:eastAsia="zh-CN"/>
              </w:rPr>
              <w:t>2.577g/m</w:t>
            </w:r>
            <w:r>
              <w:rPr>
                <w:rFonts w:hint="default" w:ascii="Times New Roman" w:hAnsi="Times New Roman" w:cs="Times New Roman"/>
                <w:color w:val="auto"/>
                <w:szCs w:val="24"/>
                <w:u w:val="none"/>
                <w:vertAlign w:val="superscript"/>
                <w:lang w:val="en-US" w:eastAsia="zh-CN"/>
              </w:rPr>
              <w:t>3</w:t>
            </w:r>
            <w:r>
              <w:rPr>
                <w:rFonts w:hint="eastAsia" w:ascii="Times New Roman" w:hAnsi="Times New Roman" w:cs="Times New Roman"/>
                <w:color w:val="auto"/>
                <w:szCs w:val="24"/>
                <w:u w:val="none"/>
                <w:lang w:val="en-US" w:eastAsia="zh-CN"/>
              </w:rPr>
              <w:t>、颗粒物绩效值为</w:t>
            </w:r>
            <w:r>
              <w:rPr>
                <w:rFonts w:hint="default" w:ascii="Times New Roman" w:hAnsi="Times New Roman" w:cs="Times New Roman"/>
                <w:color w:val="auto"/>
                <w:szCs w:val="24"/>
                <w:u w:val="none"/>
                <w:lang w:val="en-US" w:eastAsia="zh-CN"/>
              </w:rPr>
              <w:t>0.172g/m</w:t>
            </w:r>
            <w:r>
              <w:rPr>
                <w:rFonts w:hint="default" w:ascii="Times New Roman" w:hAnsi="Times New Roman" w:cs="Times New Roman"/>
                <w:color w:val="auto"/>
                <w:szCs w:val="24"/>
                <w:u w:val="none"/>
                <w:vertAlign w:val="superscript"/>
                <w:lang w:val="en-US" w:eastAsia="zh-CN"/>
              </w:rPr>
              <w:t>3</w:t>
            </w:r>
            <w:r>
              <w:rPr>
                <w:rFonts w:hint="eastAsia" w:ascii="Times New Roman" w:hAnsi="Times New Roman" w:cs="Times New Roman"/>
                <w:color w:val="auto"/>
                <w:szCs w:val="24"/>
                <w:u w:val="none"/>
                <w:lang w:val="en-US" w:eastAsia="zh-CN"/>
              </w:rPr>
              <w:t>，据此核算出项目天然气燃烧过程中排放的二氧化硫总量为</w:t>
            </w:r>
            <w:r>
              <w:rPr>
                <w:rFonts w:hint="default" w:ascii="Times New Roman" w:hAnsi="Times New Roman" w:cs="Times New Roman"/>
                <w:color w:val="auto"/>
                <w:szCs w:val="24"/>
                <w:u w:val="none"/>
                <w:lang w:val="en-US" w:eastAsia="zh-CN"/>
              </w:rPr>
              <w:t>0.005t/a</w:t>
            </w:r>
            <w:r>
              <w:rPr>
                <w:rFonts w:hint="eastAsia" w:ascii="Times New Roman" w:hAnsi="Times New Roman" w:cs="Times New Roman"/>
                <w:color w:val="auto"/>
                <w:szCs w:val="24"/>
                <w:u w:val="none"/>
                <w:lang w:val="en-US" w:eastAsia="zh-CN"/>
              </w:rPr>
              <w:t>、氮氧化物为</w:t>
            </w:r>
            <w:r>
              <w:rPr>
                <w:rFonts w:hint="default" w:ascii="Times New Roman" w:hAnsi="Times New Roman" w:cs="Times New Roman"/>
                <w:color w:val="auto"/>
                <w:szCs w:val="24"/>
                <w:u w:val="none"/>
                <w:lang w:val="en-US" w:eastAsia="zh-CN"/>
              </w:rPr>
              <w:t>0.077t/a</w:t>
            </w:r>
            <w:r>
              <w:rPr>
                <w:rFonts w:hint="eastAsia" w:ascii="Times New Roman" w:hAnsi="Times New Roman" w:cs="Times New Roman"/>
                <w:color w:val="auto"/>
                <w:szCs w:val="24"/>
                <w:u w:val="none"/>
                <w:lang w:val="en-US" w:eastAsia="zh-CN"/>
              </w:rPr>
              <w:t>，颗粒物总量为</w:t>
            </w:r>
            <w:r>
              <w:rPr>
                <w:rFonts w:hint="default" w:ascii="Times New Roman" w:hAnsi="Times New Roman" w:cs="Times New Roman"/>
                <w:color w:val="auto"/>
                <w:szCs w:val="24"/>
                <w:u w:val="none"/>
                <w:lang w:val="en-US" w:eastAsia="zh-CN"/>
              </w:rPr>
              <w:t>0.005t/a</w:t>
            </w:r>
            <w:r>
              <w:rPr>
                <w:rFonts w:hint="eastAsia" w:ascii="Times New Roman" w:hAnsi="Times New Roman" w:cs="Times New Roman"/>
                <w:color w:val="auto"/>
                <w:szCs w:val="24"/>
                <w:u w:val="none"/>
                <w:lang w:val="en-US" w:eastAsia="zh-CN"/>
              </w:rPr>
              <w:t>，天然气预热燃烧废气随有机废气焚烧尾气经</w:t>
            </w:r>
            <w:r>
              <w:rPr>
                <w:rFonts w:hint="default" w:ascii="Times New Roman" w:hAnsi="Times New Roman" w:cs="Times New Roman"/>
                <w:color w:val="auto"/>
                <w:szCs w:val="24"/>
                <w:u w:val="none"/>
                <w:lang w:val="en-US" w:eastAsia="zh-CN"/>
              </w:rPr>
              <w:t xml:space="preserve">15m </w:t>
            </w:r>
            <w:r>
              <w:rPr>
                <w:rFonts w:hint="eastAsia" w:ascii="Times New Roman" w:hAnsi="Times New Roman" w:cs="Times New Roman"/>
                <w:color w:val="auto"/>
                <w:szCs w:val="24"/>
                <w:u w:val="none"/>
                <w:lang w:val="en-US" w:eastAsia="zh-CN"/>
              </w:rPr>
              <w:t>排气筒（</w:t>
            </w:r>
            <w:r>
              <w:rPr>
                <w:rFonts w:hint="default" w:ascii="Times New Roman" w:hAnsi="Times New Roman" w:cs="Times New Roman"/>
                <w:color w:val="auto"/>
                <w:szCs w:val="24"/>
                <w:u w:val="none"/>
                <w:lang w:val="en-US" w:eastAsia="zh-CN"/>
              </w:rPr>
              <w:t>DA001</w:t>
            </w:r>
            <w:r>
              <w:rPr>
                <w:rFonts w:hint="eastAsia" w:ascii="Times New Roman" w:hAnsi="Times New Roman" w:cs="Times New Roman"/>
                <w:color w:val="auto"/>
                <w:szCs w:val="24"/>
                <w:u w:val="none"/>
                <w:lang w:val="en-US" w:eastAsia="zh-CN"/>
              </w:rPr>
              <w:t xml:space="preserve">）排放。 </w:t>
            </w:r>
          </w:p>
          <w:p w14:paraId="54494911">
            <w:pPr>
              <w:pStyle w:val="26"/>
              <w:keepNext w:val="0"/>
              <w:keepLines w:val="0"/>
              <w:numPr>
                <w:ilvl w:val="0"/>
                <w:numId w:val="5"/>
              </w:numPr>
              <w:suppressLineNumbers w:val="0"/>
              <w:spacing w:before="0" w:beforeAutospacing="0" w:after="0" w:afterAutospacing="0" w:line="360" w:lineRule="auto"/>
              <w:ind w:left="0" w:leftChars="0" w:right="0" w:firstLine="480" w:firstLineChars="200"/>
              <w:contextualSpacing/>
              <w:rPr>
                <w:rFonts w:hint="default" w:ascii="Times New Roman" w:hAnsi="Times New Roman" w:cs="Times New Roman"/>
                <w:color w:val="auto"/>
                <w:szCs w:val="24"/>
                <w:u w:val="none"/>
              </w:rPr>
            </w:pPr>
            <w:r>
              <w:rPr>
                <w:rFonts w:hint="eastAsia" w:cs="Times New Roman"/>
                <w:color w:val="auto"/>
                <w:szCs w:val="24"/>
                <w:u w:val="none"/>
                <w:lang w:val="en-US" w:eastAsia="zh-CN"/>
              </w:rPr>
              <w:t>收集处理措施</w:t>
            </w:r>
          </w:p>
          <w:p w14:paraId="6FAA9011">
            <w:pPr>
              <w:pStyle w:val="26"/>
              <w:keepNext w:val="0"/>
              <w:keepLines w:val="0"/>
              <w:numPr>
                <w:ilvl w:val="0"/>
                <w:numId w:val="0"/>
              </w:numPr>
              <w:suppressLineNumbers w:val="0"/>
              <w:spacing w:before="0" w:beforeAutospacing="0" w:after="0" w:afterAutospacing="0" w:line="360" w:lineRule="auto"/>
              <w:ind w:left="0" w:leftChars="0" w:right="0" w:rightChars="0" w:firstLine="420" w:firstLineChars="175"/>
              <w:contextualSpacing/>
              <w:rPr>
                <w:rFonts w:hint="default" w:cs="Times New Roman"/>
                <w:color w:val="auto"/>
                <w:szCs w:val="24"/>
                <w:u w:val="none"/>
                <w:lang w:val="en-US" w:eastAsia="zh-CN"/>
              </w:rPr>
            </w:pPr>
            <w:r>
              <w:rPr>
                <w:rFonts w:hint="eastAsia" w:ascii="Times New Roman" w:hAnsi="Times New Roman" w:cs="Times New Roman"/>
                <w:color w:val="auto"/>
                <w:szCs w:val="24"/>
                <w:u w:val="none"/>
                <w:lang w:val="en-US" w:eastAsia="zh-CN"/>
              </w:rPr>
              <w:t>项目生产车间按照“十万级洁净生产区域”标准建设，密闭负压。印刷工序、有溶剂复合工序以及涂布工序</w:t>
            </w:r>
            <w:r>
              <w:rPr>
                <w:rFonts w:hint="eastAsia" w:cs="Times New Roman"/>
                <w:color w:val="auto"/>
                <w:szCs w:val="24"/>
                <w:u w:val="none"/>
                <w:lang w:val="en-US" w:eastAsia="zh-CN"/>
              </w:rPr>
              <w:t>等各生产工序</w:t>
            </w:r>
            <w:r>
              <w:rPr>
                <w:rFonts w:hint="eastAsia" w:ascii="Times New Roman" w:hAnsi="Times New Roman" w:cs="Times New Roman"/>
                <w:color w:val="auto"/>
                <w:szCs w:val="24"/>
                <w:u w:val="none"/>
                <w:lang w:val="en-US" w:eastAsia="zh-CN"/>
              </w:rPr>
              <w:t>产生的VOCs均经各设备顶吸集气罩+密闭车间换风系统收集后进入“沸石转轮浓缩+旋转式RTO”处理后经15m 排气筒（DA001）排放。</w:t>
            </w:r>
          </w:p>
          <w:p w14:paraId="24578030">
            <w:pPr>
              <w:pStyle w:val="26"/>
              <w:keepNext w:val="0"/>
              <w:keepLines w:val="0"/>
              <w:widowControl w:val="0"/>
              <w:numPr>
                <w:ilvl w:val="0"/>
                <w:numId w:val="0"/>
              </w:numPr>
              <w:suppressLineNumbers w:val="0"/>
              <w:spacing w:before="0" w:beforeAutospacing="0" w:after="0" w:afterAutospacing="0" w:line="360" w:lineRule="auto"/>
              <w:ind w:right="0" w:rightChars="0" w:firstLine="480" w:firstLineChars="200"/>
              <w:contextualSpacing/>
              <w:jc w:val="both"/>
              <w:rPr>
                <w:rFonts w:hint="eastAsia" w:cs="Times New Roman"/>
                <w:color w:val="auto"/>
                <w:szCs w:val="24"/>
                <w:u w:val="none"/>
                <w:lang w:val="en-US" w:eastAsia="zh-CN"/>
              </w:rPr>
            </w:pPr>
            <w:r>
              <w:rPr>
                <w:rFonts w:hint="eastAsia" w:cs="Times New Roman"/>
                <w:color w:val="auto"/>
                <w:szCs w:val="24"/>
                <w:u w:val="none"/>
                <w:lang w:val="en-US" w:eastAsia="zh-CN"/>
              </w:rPr>
              <w:t>各废气的收集效率参考《主要污染物总量减排核算技术指南（2022 年修订）》</w:t>
            </w:r>
          </w:p>
          <w:p w14:paraId="0A4025B1">
            <w:pPr>
              <w:pStyle w:val="26"/>
              <w:keepNext w:val="0"/>
              <w:keepLines w:val="0"/>
              <w:widowControl w:val="0"/>
              <w:numPr>
                <w:ilvl w:val="0"/>
                <w:numId w:val="0"/>
              </w:numPr>
              <w:suppressLineNumbers w:val="0"/>
              <w:spacing w:before="0" w:beforeAutospacing="0" w:after="0" w:afterAutospacing="0" w:line="360" w:lineRule="auto"/>
              <w:ind w:right="0" w:rightChars="0"/>
              <w:contextualSpacing/>
              <w:jc w:val="both"/>
              <w:rPr>
                <w:rFonts w:hint="default" w:cs="Times New Roman"/>
                <w:color w:val="auto"/>
                <w:szCs w:val="24"/>
                <w:u w:val="none"/>
                <w:lang w:val="en-US" w:eastAsia="zh-CN"/>
              </w:rPr>
            </w:pPr>
            <w:r>
              <w:rPr>
                <w:rFonts w:hint="eastAsia" w:cs="Times New Roman"/>
                <w:color w:val="auto"/>
                <w:szCs w:val="24"/>
                <w:u w:val="none"/>
                <w:lang w:val="en-US" w:eastAsia="zh-CN"/>
              </w:rPr>
              <w:t>表2-3，车间有机废气设置顶吸集气罩，同时车间密闭负压，收集效率取90%；RTO 处理效率为：97.92%～99 .79%，平均处理效率为99.33%，本评价取99%。</w:t>
            </w:r>
          </w:p>
          <w:p w14:paraId="501974AB">
            <w:pPr>
              <w:keepNext w:val="0"/>
              <w:keepLines w:val="0"/>
              <w:suppressLineNumbers w:val="0"/>
              <w:spacing w:before="0" w:beforeAutospacing="0" w:after="0" w:afterAutospacing="0" w:line="360" w:lineRule="auto"/>
              <w:ind w:left="0" w:right="0" w:firstLine="480" w:firstLineChars="200"/>
              <w:contextualSpacing/>
              <w:rPr>
                <w:rFonts w:hint="default" w:ascii="Times New Roman" w:hAnsi="Times New Roman" w:eastAsia="宋体" w:cs="Times New Roman"/>
                <w:color w:val="000000"/>
                <w:sz w:val="24"/>
                <w:u w:val="none"/>
                <w:lang w:val="en-US" w:eastAsia="zh-CN"/>
              </w:rPr>
            </w:pPr>
            <w:r>
              <w:rPr>
                <w:rFonts w:hint="eastAsia" w:ascii="Times New Roman" w:hAnsi="Times New Roman" w:eastAsia="宋体" w:cs="Times New Roman"/>
                <w:color w:val="auto"/>
                <w:sz w:val="24"/>
                <w:u w:val="none"/>
              </w:rPr>
              <w:t>废气产生源强及环保措施</w:t>
            </w:r>
            <w:r>
              <w:rPr>
                <w:rFonts w:hint="eastAsia" w:ascii="Times New Roman" w:hAnsi="Times New Roman" w:eastAsia="宋体" w:cs="Times New Roman"/>
                <w:color w:val="auto"/>
                <w:sz w:val="24"/>
                <w:u w:val="none"/>
                <w:lang w:val="en-US" w:eastAsia="zh-CN"/>
              </w:rPr>
              <w:t>情况汇</w:t>
            </w:r>
            <w:r>
              <w:rPr>
                <w:rFonts w:hint="eastAsia" w:ascii="Times New Roman" w:hAnsi="Times New Roman" w:cs="Times New Roman"/>
                <w:color w:val="000000"/>
                <w:sz w:val="24"/>
                <w:u w:val="none"/>
                <w:lang w:val="en-US" w:eastAsia="zh-CN"/>
              </w:rPr>
              <w:t>总如下：</w:t>
            </w:r>
          </w:p>
          <w:p w14:paraId="6E6A9B53">
            <w:pPr>
              <w:keepNext w:val="0"/>
              <w:keepLines w:val="0"/>
              <w:suppressLineNumbers w:val="0"/>
              <w:adjustRightInd w:val="0"/>
              <w:snapToGrid w:val="0"/>
              <w:spacing w:before="0" w:beforeAutospacing="0" w:after="0" w:afterAutospacing="0" w:line="300" w:lineRule="exact"/>
              <w:ind w:left="0" w:right="0"/>
              <w:jc w:val="center"/>
              <w:rPr>
                <w:rFonts w:hint="default" w:ascii="Times New Roman" w:hAnsi="Times New Roman" w:cs="Times New Roman"/>
                <w:b/>
                <w:color w:val="000000"/>
                <w:szCs w:val="21"/>
                <w:u w:val="none"/>
              </w:rPr>
            </w:pPr>
            <w:r>
              <w:rPr>
                <w:rFonts w:hint="default" w:ascii="Times New Roman" w:hAnsi="Times New Roman" w:cs="Times New Roman"/>
                <w:b/>
                <w:bCs/>
                <w:color w:val="000000"/>
                <w:szCs w:val="21"/>
                <w:u w:val="none"/>
              </w:rPr>
              <w:t>表4-</w:t>
            </w:r>
            <w:r>
              <w:rPr>
                <w:rFonts w:hint="eastAsia" w:cs="Times New Roman"/>
                <w:b/>
                <w:bCs/>
                <w:color w:val="000000"/>
                <w:szCs w:val="21"/>
                <w:u w:val="none"/>
                <w:lang w:val="en-US" w:eastAsia="zh-CN"/>
              </w:rPr>
              <w:t>2</w:t>
            </w:r>
            <w:r>
              <w:rPr>
                <w:rFonts w:hint="default" w:ascii="Times New Roman" w:hAnsi="Times New Roman" w:cs="Times New Roman"/>
                <w:b/>
                <w:bCs/>
                <w:color w:val="000000"/>
                <w:szCs w:val="21"/>
                <w:u w:val="none"/>
              </w:rPr>
              <w:t xml:space="preserve">  废气污染源情况表</w:t>
            </w:r>
          </w:p>
          <w:tbl>
            <w:tblPr>
              <w:tblStyle w:val="44"/>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342"/>
              <w:gridCol w:w="819"/>
              <w:gridCol w:w="709"/>
              <w:gridCol w:w="1486"/>
              <w:gridCol w:w="663"/>
              <w:gridCol w:w="758"/>
              <w:gridCol w:w="903"/>
              <w:gridCol w:w="897"/>
              <w:gridCol w:w="897"/>
            </w:tblGrid>
            <w:tr w14:paraId="64ADD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4438108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产污环节</w:t>
                  </w:r>
                </w:p>
              </w:tc>
              <w:tc>
                <w:tcPr>
                  <w:tcW w:w="483" w:type="pct"/>
                  <w:vMerge w:val="restart"/>
                  <w:noWrap w:val="0"/>
                  <w:vAlign w:val="center"/>
                </w:tcPr>
                <w:p w14:paraId="5777C64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污染物种类</w:t>
                  </w:r>
                </w:p>
              </w:tc>
              <w:tc>
                <w:tcPr>
                  <w:tcW w:w="418" w:type="pct"/>
                  <w:vMerge w:val="restart"/>
                  <w:noWrap w:val="0"/>
                  <w:vAlign w:val="center"/>
                </w:tcPr>
                <w:p w14:paraId="44DBE89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产生量</w:t>
                  </w:r>
                </w:p>
                <w:p w14:paraId="377F59B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(t/a)</w:t>
                  </w:r>
                </w:p>
              </w:tc>
              <w:tc>
                <w:tcPr>
                  <w:tcW w:w="1714" w:type="pct"/>
                  <w:gridSpan w:val="3"/>
                  <w:noWrap w:val="0"/>
                  <w:vAlign w:val="center"/>
                </w:tcPr>
                <w:p w14:paraId="1C9BA7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治理措施</w:t>
                  </w:r>
                </w:p>
              </w:tc>
              <w:tc>
                <w:tcPr>
                  <w:tcW w:w="532" w:type="pct"/>
                  <w:vMerge w:val="restart"/>
                  <w:noWrap w:val="0"/>
                  <w:vAlign w:val="center"/>
                </w:tcPr>
                <w:p w14:paraId="6F9660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排放量（t/a）</w:t>
                  </w:r>
                </w:p>
              </w:tc>
              <w:tc>
                <w:tcPr>
                  <w:tcW w:w="529" w:type="pct"/>
                  <w:vMerge w:val="restart"/>
                  <w:noWrap w:val="0"/>
                  <w:vAlign w:val="center"/>
                </w:tcPr>
                <w:p w14:paraId="3E7A50F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排放方式</w:t>
                  </w:r>
                </w:p>
              </w:tc>
              <w:tc>
                <w:tcPr>
                  <w:tcW w:w="529" w:type="pct"/>
                  <w:vMerge w:val="restart"/>
                  <w:noWrap w:val="0"/>
                  <w:vAlign w:val="center"/>
                </w:tcPr>
                <w:p w14:paraId="27E034F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ascii="Times New Roman" w:hAnsi="Times New Roman" w:cs="Times New Roman"/>
                      <w:bCs/>
                      <w:sz w:val="21"/>
                      <w:szCs w:val="21"/>
                      <w:u w:val="none"/>
                      <w:lang w:val="en-US" w:eastAsia="zh-CN"/>
                    </w:rPr>
                    <w:t>排放去向</w:t>
                  </w:r>
                </w:p>
              </w:tc>
            </w:tr>
            <w:tr w14:paraId="1AD5D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3BFE427D">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c>
                <w:tcPr>
                  <w:tcW w:w="483" w:type="pct"/>
                  <w:vMerge w:val="continue"/>
                  <w:noWrap w:val="0"/>
                  <w:vAlign w:val="center"/>
                </w:tcPr>
                <w:p w14:paraId="60561475">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c>
                <w:tcPr>
                  <w:tcW w:w="418" w:type="pct"/>
                  <w:vMerge w:val="continue"/>
                  <w:noWrap w:val="0"/>
                  <w:vAlign w:val="center"/>
                </w:tcPr>
                <w:p w14:paraId="2D2CA705">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c>
                <w:tcPr>
                  <w:tcW w:w="876" w:type="pct"/>
                  <w:noWrap w:val="0"/>
                  <w:vAlign w:val="center"/>
                </w:tcPr>
                <w:p w14:paraId="5F3069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工艺</w:t>
                  </w:r>
                </w:p>
              </w:tc>
              <w:tc>
                <w:tcPr>
                  <w:tcW w:w="391" w:type="pct"/>
                  <w:noWrap w:val="0"/>
                  <w:vAlign w:val="center"/>
                </w:tcPr>
                <w:p w14:paraId="0CE8FD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效率%</w:t>
                  </w:r>
                </w:p>
              </w:tc>
              <w:tc>
                <w:tcPr>
                  <w:tcW w:w="447" w:type="pct"/>
                  <w:noWrap w:val="0"/>
                  <w:vAlign w:val="center"/>
                </w:tcPr>
                <w:p w14:paraId="4DD2E2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是否为可行技术</w:t>
                  </w:r>
                </w:p>
              </w:tc>
              <w:tc>
                <w:tcPr>
                  <w:tcW w:w="532" w:type="pct"/>
                  <w:vMerge w:val="continue"/>
                  <w:noWrap w:val="0"/>
                  <w:vAlign w:val="center"/>
                </w:tcPr>
                <w:p w14:paraId="6F003757">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c>
                <w:tcPr>
                  <w:tcW w:w="529" w:type="pct"/>
                  <w:vMerge w:val="continue"/>
                  <w:noWrap w:val="0"/>
                  <w:vAlign w:val="center"/>
                </w:tcPr>
                <w:p w14:paraId="036F6E86">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c>
                <w:tcPr>
                  <w:tcW w:w="529" w:type="pct"/>
                  <w:vMerge w:val="continue"/>
                  <w:noWrap w:val="0"/>
                  <w:vAlign w:val="center"/>
                </w:tcPr>
                <w:p w14:paraId="1AD0373C">
                  <w:pPr>
                    <w:keepNext w:val="0"/>
                    <w:keepLines w:val="0"/>
                    <w:suppressLineNumbers w:val="0"/>
                    <w:spacing w:before="0" w:beforeAutospacing="0" w:after="0" w:afterAutospacing="0"/>
                    <w:ind w:left="0" w:right="0"/>
                    <w:jc w:val="center"/>
                    <w:rPr>
                      <w:rFonts w:hint="default" w:ascii="Times New Roman" w:hAnsi="Times New Roman" w:cs="Times New Roman"/>
                      <w:sz w:val="21"/>
                      <w:szCs w:val="21"/>
                      <w:u w:val="none"/>
                    </w:rPr>
                  </w:pPr>
                </w:p>
              </w:tc>
            </w:tr>
            <w:tr w14:paraId="44B91D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5426EA30">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lang w:val="en-US"/>
                    </w:rPr>
                  </w:pPr>
                  <w:r>
                    <w:rPr>
                      <w:rFonts w:hint="eastAsia" w:cs="Times New Roman"/>
                      <w:bCs/>
                      <w:sz w:val="21"/>
                      <w:szCs w:val="21"/>
                      <w:u w:val="none"/>
                      <w:lang w:val="en-US" w:eastAsia="zh-CN"/>
                    </w:rPr>
                    <w:t>复合膜生产</w:t>
                  </w:r>
                </w:p>
              </w:tc>
              <w:tc>
                <w:tcPr>
                  <w:tcW w:w="483" w:type="pct"/>
                  <w:vMerge w:val="restart"/>
                  <w:noWrap w:val="0"/>
                  <w:vAlign w:val="center"/>
                </w:tcPr>
                <w:p w14:paraId="6957C4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NMHC</w:t>
                  </w:r>
                </w:p>
              </w:tc>
              <w:tc>
                <w:tcPr>
                  <w:tcW w:w="418" w:type="pct"/>
                  <w:noWrap w:val="0"/>
                  <w:vAlign w:val="center"/>
                </w:tcPr>
                <w:p w14:paraId="5CC5E3A0">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3.264</w:t>
                  </w:r>
                </w:p>
              </w:tc>
              <w:tc>
                <w:tcPr>
                  <w:tcW w:w="876" w:type="pct"/>
                  <w:noWrap w:val="0"/>
                  <w:vAlign w:val="center"/>
                </w:tcPr>
                <w:p w14:paraId="77628B12">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default" w:ascii="Times New Roman" w:hAnsi="Times New Roman" w:eastAsia="宋体" w:cs="Times New Roman"/>
                      <w:bCs/>
                      <w:sz w:val="21"/>
                      <w:szCs w:val="21"/>
                      <w:u w:val="none"/>
                      <w:lang w:val="en-US" w:eastAsia="zh-CN"/>
                    </w:rPr>
                    <w:t>顶吸集气罩+密闭车间换风系统收集后进入“沸石转轮浓缩+旋转式RTO”</w:t>
                  </w:r>
                </w:p>
              </w:tc>
              <w:tc>
                <w:tcPr>
                  <w:tcW w:w="391" w:type="pct"/>
                  <w:noWrap w:val="0"/>
                  <w:vAlign w:val="center"/>
                </w:tcPr>
                <w:p w14:paraId="5B80F3D6">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99</w:t>
                  </w:r>
                </w:p>
              </w:tc>
              <w:tc>
                <w:tcPr>
                  <w:tcW w:w="447" w:type="pct"/>
                  <w:noWrap w:val="0"/>
                  <w:vAlign w:val="center"/>
                </w:tcPr>
                <w:p w14:paraId="28433EE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default" w:ascii="Times New Roman" w:hAnsi="Times New Roman" w:cs="Times New Roman"/>
                      <w:bCs/>
                      <w:sz w:val="21"/>
                      <w:szCs w:val="21"/>
                      <w:u w:val="none"/>
                    </w:rPr>
                    <w:t>是</w:t>
                  </w:r>
                </w:p>
              </w:tc>
              <w:tc>
                <w:tcPr>
                  <w:tcW w:w="532" w:type="pct"/>
                  <w:noWrap w:val="0"/>
                  <w:vAlign w:val="center"/>
                </w:tcPr>
                <w:p w14:paraId="199CE788">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0.033</w:t>
                  </w:r>
                </w:p>
              </w:tc>
              <w:tc>
                <w:tcPr>
                  <w:tcW w:w="529" w:type="pct"/>
                  <w:noWrap w:val="0"/>
                  <w:vAlign w:val="center"/>
                </w:tcPr>
                <w:p w14:paraId="2E4D358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0C894C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DA001</w:t>
                  </w:r>
                </w:p>
              </w:tc>
            </w:tr>
            <w:tr w14:paraId="681D9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63839414">
                  <w:pPr>
                    <w:keepNext w:val="0"/>
                    <w:keepLines w:val="0"/>
                    <w:suppressLineNumbers w:val="0"/>
                    <w:spacing w:before="0" w:beforeAutospacing="0" w:after="0" w:afterAutospacing="0"/>
                    <w:ind w:left="0" w:right="0"/>
                    <w:jc w:val="center"/>
                    <w:rPr>
                      <w:rFonts w:hint="eastAsia" w:cs="Times New Roman"/>
                      <w:bCs/>
                      <w:sz w:val="21"/>
                      <w:szCs w:val="21"/>
                      <w:u w:val="none"/>
                      <w:lang w:val="en-US" w:eastAsia="zh-CN"/>
                    </w:rPr>
                  </w:pPr>
                </w:p>
              </w:tc>
              <w:tc>
                <w:tcPr>
                  <w:tcW w:w="483" w:type="pct"/>
                  <w:vMerge w:val="continue"/>
                  <w:noWrap w:val="0"/>
                  <w:vAlign w:val="center"/>
                </w:tcPr>
                <w:p w14:paraId="112377AA">
                  <w:pPr>
                    <w:keepNext w:val="0"/>
                    <w:keepLines w:val="0"/>
                    <w:suppressLineNumbers w:val="0"/>
                    <w:adjustRightInd w:val="0"/>
                    <w:snapToGrid w:val="0"/>
                    <w:spacing w:before="0" w:beforeAutospacing="0" w:after="0" w:afterAutospacing="0"/>
                    <w:ind w:left="0" w:right="0"/>
                    <w:jc w:val="center"/>
                    <w:rPr>
                      <w:rFonts w:hint="eastAsia" w:cs="Times New Roman"/>
                      <w:bCs/>
                      <w:sz w:val="21"/>
                      <w:szCs w:val="21"/>
                      <w:u w:val="none"/>
                      <w:lang w:val="en-US" w:eastAsia="zh-CN"/>
                    </w:rPr>
                  </w:pPr>
                </w:p>
              </w:tc>
              <w:tc>
                <w:tcPr>
                  <w:tcW w:w="418" w:type="pct"/>
                  <w:noWrap w:val="0"/>
                  <w:vAlign w:val="center"/>
                </w:tcPr>
                <w:p w14:paraId="54DF9971">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0.363</w:t>
                  </w:r>
                </w:p>
              </w:tc>
              <w:tc>
                <w:tcPr>
                  <w:tcW w:w="876" w:type="pct"/>
                  <w:noWrap w:val="0"/>
                  <w:vAlign w:val="center"/>
                </w:tcPr>
                <w:p w14:paraId="03771707">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c>
                <w:tcPr>
                  <w:tcW w:w="391" w:type="pct"/>
                  <w:noWrap w:val="0"/>
                  <w:vAlign w:val="center"/>
                </w:tcPr>
                <w:p w14:paraId="4D4579D3">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c>
                <w:tcPr>
                  <w:tcW w:w="447" w:type="pct"/>
                  <w:noWrap w:val="0"/>
                  <w:vAlign w:val="center"/>
                </w:tcPr>
                <w:p w14:paraId="74F5F16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w:t>
                  </w:r>
                </w:p>
              </w:tc>
              <w:tc>
                <w:tcPr>
                  <w:tcW w:w="532" w:type="pct"/>
                  <w:noWrap w:val="0"/>
                  <w:vAlign w:val="center"/>
                </w:tcPr>
                <w:p w14:paraId="7403B2D0">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0.363</w:t>
                  </w:r>
                </w:p>
              </w:tc>
              <w:tc>
                <w:tcPr>
                  <w:tcW w:w="529" w:type="pct"/>
                  <w:noWrap w:val="0"/>
                  <w:vAlign w:val="center"/>
                </w:tcPr>
                <w:p w14:paraId="6A4863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无组织</w:t>
                  </w:r>
                </w:p>
              </w:tc>
              <w:tc>
                <w:tcPr>
                  <w:tcW w:w="529" w:type="pct"/>
                  <w:noWrap w:val="0"/>
                  <w:vAlign w:val="center"/>
                </w:tcPr>
                <w:p w14:paraId="27C3932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r>
            <w:tr w14:paraId="2629D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4A95E75C">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铝箔膜生产</w:t>
                  </w:r>
                </w:p>
              </w:tc>
              <w:tc>
                <w:tcPr>
                  <w:tcW w:w="483" w:type="pct"/>
                  <w:noWrap w:val="0"/>
                  <w:vAlign w:val="center"/>
                </w:tcPr>
                <w:p w14:paraId="40D63F7B">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NMHC</w:t>
                  </w:r>
                </w:p>
              </w:tc>
              <w:tc>
                <w:tcPr>
                  <w:tcW w:w="418" w:type="pct"/>
                  <w:noWrap w:val="0"/>
                  <w:vAlign w:val="center"/>
                </w:tcPr>
                <w:p w14:paraId="3C2DB72C">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2.335</w:t>
                  </w:r>
                </w:p>
              </w:tc>
              <w:tc>
                <w:tcPr>
                  <w:tcW w:w="876" w:type="pct"/>
                  <w:noWrap w:val="0"/>
                  <w:vAlign w:val="center"/>
                </w:tcPr>
                <w:p w14:paraId="5A4EF3DF">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bCs/>
                      <w:sz w:val="21"/>
                      <w:szCs w:val="21"/>
                      <w:u w:val="none"/>
                      <w:lang w:val="en-US" w:eastAsia="zh-CN"/>
                    </w:rPr>
                    <w:t>顶吸集气罩+密闭车间换风系统收集后进入“沸石转轮浓缩+旋转式RTO”</w:t>
                  </w:r>
                </w:p>
              </w:tc>
              <w:tc>
                <w:tcPr>
                  <w:tcW w:w="391" w:type="pct"/>
                  <w:noWrap w:val="0"/>
                  <w:vAlign w:val="center"/>
                </w:tcPr>
                <w:p w14:paraId="750B989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lang w:val="en-US" w:eastAsia="zh-CN"/>
                    </w:rPr>
                  </w:pPr>
                  <w:r>
                    <w:rPr>
                      <w:rFonts w:hint="eastAsia" w:cs="Times New Roman"/>
                      <w:bCs/>
                      <w:sz w:val="21"/>
                      <w:szCs w:val="21"/>
                      <w:u w:val="none"/>
                      <w:lang w:val="en-US" w:eastAsia="zh-CN"/>
                    </w:rPr>
                    <w:t>99</w:t>
                  </w:r>
                </w:p>
              </w:tc>
              <w:tc>
                <w:tcPr>
                  <w:tcW w:w="447" w:type="pct"/>
                  <w:noWrap w:val="0"/>
                  <w:vAlign w:val="center"/>
                </w:tcPr>
                <w:p w14:paraId="4A9FB5CB">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sz w:val="21"/>
                      <w:szCs w:val="21"/>
                      <w:u w:val="none"/>
                      <w:lang w:val="en-US" w:eastAsia="zh-CN"/>
                    </w:rPr>
                  </w:pPr>
                  <w:r>
                    <w:rPr>
                      <w:rFonts w:hint="default" w:ascii="Times New Roman" w:hAnsi="Times New Roman" w:cs="Times New Roman"/>
                      <w:bCs/>
                      <w:sz w:val="21"/>
                      <w:szCs w:val="21"/>
                      <w:u w:val="none"/>
                    </w:rPr>
                    <w:t>是</w:t>
                  </w:r>
                </w:p>
              </w:tc>
              <w:tc>
                <w:tcPr>
                  <w:tcW w:w="532" w:type="pct"/>
                  <w:noWrap w:val="0"/>
                  <w:vAlign w:val="center"/>
                </w:tcPr>
                <w:p w14:paraId="1DC63D1E">
                  <w:pPr>
                    <w:keepNext w:val="0"/>
                    <w:keepLines w:val="0"/>
                    <w:suppressLineNumbers w:val="0"/>
                    <w:adjustRightInd w:val="0"/>
                    <w:snapToGrid w:val="0"/>
                    <w:spacing w:before="0" w:beforeAutospacing="0" w:after="0" w:afterAutospacing="0"/>
                    <w:ind w:left="0" w:right="0"/>
                    <w:jc w:val="center"/>
                    <w:rPr>
                      <w:rFonts w:hint="default" w:cs="Times New Roman"/>
                      <w:bCs/>
                      <w:kern w:val="2"/>
                      <w:sz w:val="21"/>
                      <w:szCs w:val="21"/>
                      <w:u w:val="none"/>
                      <w:lang w:val="en-US" w:eastAsia="zh-CN" w:bidi="ar-SA"/>
                    </w:rPr>
                  </w:pPr>
                  <w:r>
                    <w:rPr>
                      <w:rFonts w:hint="eastAsia" w:cs="Times New Roman"/>
                      <w:bCs/>
                      <w:kern w:val="2"/>
                      <w:sz w:val="21"/>
                      <w:szCs w:val="21"/>
                      <w:u w:val="none"/>
                      <w:lang w:val="en-US" w:eastAsia="zh-CN" w:bidi="ar-SA"/>
                    </w:rPr>
                    <w:t>0.023</w:t>
                  </w:r>
                </w:p>
              </w:tc>
              <w:tc>
                <w:tcPr>
                  <w:tcW w:w="529" w:type="pct"/>
                  <w:noWrap w:val="0"/>
                  <w:vAlign w:val="center"/>
                </w:tcPr>
                <w:p w14:paraId="24E19B18">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32E7570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sz w:val="21"/>
                      <w:szCs w:val="21"/>
                      <w:u w:val="none"/>
                      <w:lang w:val="en-US" w:eastAsia="zh-CN"/>
                    </w:rPr>
                  </w:pPr>
                  <w:r>
                    <w:rPr>
                      <w:rFonts w:hint="eastAsia" w:cs="Times New Roman"/>
                      <w:bCs/>
                      <w:sz w:val="21"/>
                      <w:szCs w:val="21"/>
                      <w:u w:val="none"/>
                      <w:lang w:val="en-US" w:eastAsia="zh-CN"/>
                    </w:rPr>
                    <w:t>DA001</w:t>
                  </w:r>
                </w:p>
              </w:tc>
            </w:tr>
            <w:tr w14:paraId="469B95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1F74A9C6">
                  <w:pPr>
                    <w:keepNext w:val="0"/>
                    <w:keepLines w:val="0"/>
                    <w:suppressLineNumbers w:val="0"/>
                    <w:spacing w:before="0" w:beforeAutospacing="0" w:after="0" w:afterAutospacing="0"/>
                    <w:ind w:left="0" w:right="0"/>
                    <w:jc w:val="center"/>
                    <w:rPr>
                      <w:rFonts w:hint="eastAsia" w:cs="Times New Roman"/>
                      <w:bCs/>
                      <w:sz w:val="21"/>
                      <w:szCs w:val="21"/>
                      <w:u w:val="none"/>
                      <w:lang w:val="en-US" w:eastAsia="zh-CN"/>
                    </w:rPr>
                  </w:pPr>
                </w:p>
              </w:tc>
              <w:tc>
                <w:tcPr>
                  <w:tcW w:w="483" w:type="pct"/>
                  <w:noWrap w:val="0"/>
                  <w:vAlign w:val="center"/>
                </w:tcPr>
                <w:p w14:paraId="1FA60C19">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NMHC</w:t>
                  </w:r>
                </w:p>
              </w:tc>
              <w:tc>
                <w:tcPr>
                  <w:tcW w:w="418" w:type="pct"/>
                  <w:noWrap w:val="0"/>
                  <w:vAlign w:val="center"/>
                </w:tcPr>
                <w:p w14:paraId="637A9F68">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0.260</w:t>
                  </w:r>
                </w:p>
              </w:tc>
              <w:tc>
                <w:tcPr>
                  <w:tcW w:w="876" w:type="pct"/>
                  <w:shd w:val="clear" w:color="auto" w:fill="auto"/>
                  <w:noWrap w:val="0"/>
                  <w:vAlign w:val="center"/>
                </w:tcPr>
                <w:p w14:paraId="30D3675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391" w:type="pct"/>
                  <w:shd w:val="clear" w:color="auto" w:fill="auto"/>
                  <w:noWrap w:val="0"/>
                  <w:vAlign w:val="center"/>
                </w:tcPr>
                <w:p w14:paraId="70366F6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447" w:type="pct"/>
                  <w:shd w:val="clear" w:color="auto" w:fill="auto"/>
                  <w:noWrap w:val="0"/>
                  <w:vAlign w:val="center"/>
                </w:tcPr>
                <w:p w14:paraId="0A94C080">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532" w:type="pct"/>
                  <w:noWrap w:val="0"/>
                  <w:vAlign w:val="center"/>
                </w:tcPr>
                <w:p w14:paraId="74DE7D2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lang w:val="en-US" w:eastAsia="zh-CN" w:bidi="ar-SA"/>
                    </w:rPr>
                    <w:t>0.260</w:t>
                  </w:r>
                </w:p>
              </w:tc>
              <w:tc>
                <w:tcPr>
                  <w:tcW w:w="529" w:type="pct"/>
                  <w:noWrap w:val="0"/>
                  <w:vAlign w:val="center"/>
                </w:tcPr>
                <w:p w14:paraId="7AF570F5">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无组织</w:t>
                  </w:r>
                </w:p>
              </w:tc>
              <w:tc>
                <w:tcPr>
                  <w:tcW w:w="529" w:type="pct"/>
                  <w:noWrap w:val="0"/>
                  <w:vAlign w:val="center"/>
                </w:tcPr>
                <w:p w14:paraId="7AB13B43">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r>
            <w:tr w14:paraId="7092B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6EFECD2B">
                  <w:pPr>
                    <w:keepNext w:val="0"/>
                    <w:keepLines w:val="0"/>
                    <w:suppressLineNumbers w:val="0"/>
                    <w:spacing w:before="0" w:beforeAutospacing="0" w:after="0" w:afterAutospacing="0"/>
                    <w:ind w:left="0" w:right="0"/>
                    <w:jc w:val="center"/>
                    <w:rPr>
                      <w:rFonts w:hint="default" w:cs="Times New Roman"/>
                      <w:bCs/>
                      <w:sz w:val="21"/>
                      <w:szCs w:val="21"/>
                      <w:u w:val="none"/>
                      <w:lang w:val="en-US" w:eastAsia="zh-CN"/>
                    </w:rPr>
                  </w:pPr>
                  <w:r>
                    <w:rPr>
                      <w:rFonts w:hint="eastAsia" w:cs="Times New Roman"/>
                      <w:bCs/>
                      <w:sz w:val="21"/>
                      <w:szCs w:val="21"/>
                      <w:u w:val="none"/>
                      <w:lang w:val="en-US" w:eastAsia="zh-CN"/>
                    </w:rPr>
                    <w:t>PE膜生产</w:t>
                  </w:r>
                </w:p>
              </w:tc>
              <w:tc>
                <w:tcPr>
                  <w:tcW w:w="483" w:type="pct"/>
                  <w:vMerge w:val="restart"/>
                  <w:noWrap w:val="0"/>
                  <w:vAlign w:val="center"/>
                </w:tcPr>
                <w:p w14:paraId="42C33981">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NMHC</w:t>
                  </w:r>
                </w:p>
              </w:tc>
              <w:tc>
                <w:tcPr>
                  <w:tcW w:w="418" w:type="pct"/>
                  <w:noWrap w:val="0"/>
                  <w:vAlign w:val="center"/>
                </w:tcPr>
                <w:p w14:paraId="1A5844E1">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1.575</w:t>
                  </w:r>
                </w:p>
              </w:tc>
              <w:tc>
                <w:tcPr>
                  <w:tcW w:w="876" w:type="pct"/>
                  <w:noWrap w:val="0"/>
                  <w:vAlign w:val="center"/>
                </w:tcPr>
                <w:p w14:paraId="0A9E3872">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bCs/>
                      <w:sz w:val="21"/>
                      <w:szCs w:val="21"/>
                      <w:u w:val="none"/>
                      <w:lang w:val="en-US" w:eastAsia="zh-CN"/>
                    </w:rPr>
                    <w:t>顶吸集气罩+密闭车间换风系统收集后进入“沸石转轮浓缩+旋转式RTO”</w:t>
                  </w:r>
                </w:p>
              </w:tc>
              <w:tc>
                <w:tcPr>
                  <w:tcW w:w="391" w:type="pct"/>
                  <w:noWrap w:val="0"/>
                  <w:vAlign w:val="center"/>
                </w:tcPr>
                <w:p w14:paraId="57FCB85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 w:val="21"/>
                      <w:szCs w:val="21"/>
                      <w:u w:val="none"/>
                      <w:lang w:val="en-US" w:eastAsia="zh-CN"/>
                    </w:rPr>
                  </w:pPr>
                  <w:r>
                    <w:rPr>
                      <w:rFonts w:hint="eastAsia" w:cs="Times New Roman"/>
                      <w:bCs/>
                      <w:sz w:val="21"/>
                      <w:szCs w:val="21"/>
                      <w:u w:val="none"/>
                      <w:lang w:val="en-US" w:eastAsia="zh-CN"/>
                    </w:rPr>
                    <w:t>99</w:t>
                  </w:r>
                </w:p>
              </w:tc>
              <w:tc>
                <w:tcPr>
                  <w:tcW w:w="447" w:type="pct"/>
                  <w:noWrap w:val="0"/>
                  <w:vAlign w:val="center"/>
                </w:tcPr>
                <w:p w14:paraId="79BCD1F0">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default" w:ascii="Times New Roman" w:hAnsi="Times New Roman" w:cs="Times New Roman"/>
                      <w:bCs/>
                      <w:sz w:val="21"/>
                      <w:szCs w:val="21"/>
                      <w:u w:val="none"/>
                    </w:rPr>
                    <w:t>是</w:t>
                  </w:r>
                </w:p>
              </w:tc>
              <w:tc>
                <w:tcPr>
                  <w:tcW w:w="532" w:type="pct"/>
                  <w:noWrap w:val="0"/>
                  <w:vAlign w:val="center"/>
                </w:tcPr>
                <w:p w14:paraId="3E4B2D9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lang w:val="en-US" w:eastAsia="zh-CN" w:bidi="ar-SA"/>
                    </w:rPr>
                    <w:t>0.016</w:t>
                  </w:r>
                </w:p>
              </w:tc>
              <w:tc>
                <w:tcPr>
                  <w:tcW w:w="529" w:type="pct"/>
                  <w:noWrap w:val="0"/>
                  <w:vAlign w:val="center"/>
                </w:tcPr>
                <w:p w14:paraId="062BC451">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44C8C7FF">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DA001</w:t>
                  </w:r>
                </w:p>
              </w:tc>
            </w:tr>
            <w:tr w14:paraId="2ABBA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1739F61B">
                  <w:pPr>
                    <w:keepNext w:val="0"/>
                    <w:keepLines w:val="0"/>
                    <w:suppressLineNumbers w:val="0"/>
                    <w:spacing w:before="0" w:beforeAutospacing="0" w:after="0" w:afterAutospacing="0"/>
                    <w:ind w:left="0" w:right="0"/>
                    <w:jc w:val="center"/>
                    <w:rPr>
                      <w:rFonts w:hint="eastAsia" w:cs="Times New Roman"/>
                      <w:bCs/>
                      <w:sz w:val="21"/>
                      <w:szCs w:val="21"/>
                      <w:u w:val="none"/>
                      <w:lang w:val="en-US" w:eastAsia="zh-CN"/>
                    </w:rPr>
                  </w:pPr>
                </w:p>
              </w:tc>
              <w:tc>
                <w:tcPr>
                  <w:tcW w:w="483" w:type="pct"/>
                  <w:vMerge w:val="continue"/>
                  <w:noWrap w:val="0"/>
                  <w:vAlign w:val="center"/>
                </w:tcPr>
                <w:p w14:paraId="479E0A5A">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p>
              </w:tc>
              <w:tc>
                <w:tcPr>
                  <w:tcW w:w="418" w:type="pct"/>
                  <w:noWrap w:val="0"/>
                  <w:vAlign w:val="center"/>
                </w:tcPr>
                <w:p w14:paraId="799D44C7">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0.175</w:t>
                  </w:r>
                </w:p>
              </w:tc>
              <w:tc>
                <w:tcPr>
                  <w:tcW w:w="876" w:type="pct"/>
                  <w:shd w:val="clear" w:color="auto" w:fill="auto"/>
                  <w:noWrap w:val="0"/>
                  <w:vAlign w:val="center"/>
                </w:tcPr>
                <w:p w14:paraId="7779374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391" w:type="pct"/>
                  <w:shd w:val="clear" w:color="auto" w:fill="auto"/>
                  <w:noWrap w:val="0"/>
                  <w:vAlign w:val="center"/>
                </w:tcPr>
                <w:p w14:paraId="2C6CCE5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447" w:type="pct"/>
                  <w:shd w:val="clear" w:color="auto" w:fill="auto"/>
                  <w:noWrap w:val="0"/>
                  <w:vAlign w:val="center"/>
                </w:tcPr>
                <w:p w14:paraId="44FE1AF8">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532" w:type="pct"/>
                  <w:noWrap w:val="0"/>
                  <w:vAlign w:val="center"/>
                </w:tcPr>
                <w:p w14:paraId="6A0F35D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0.175</w:t>
                  </w:r>
                </w:p>
              </w:tc>
              <w:tc>
                <w:tcPr>
                  <w:tcW w:w="529" w:type="pct"/>
                  <w:noWrap w:val="0"/>
                  <w:vAlign w:val="center"/>
                </w:tcPr>
                <w:p w14:paraId="4C1F507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无组织</w:t>
                  </w:r>
                </w:p>
              </w:tc>
              <w:tc>
                <w:tcPr>
                  <w:tcW w:w="529" w:type="pct"/>
                  <w:noWrap w:val="0"/>
                  <w:vAlign w:val="center"/>
                </w:tcPr>
                <w:p w14:paraId="73F02A49">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r>
            <w:tr w14:paraId="0BDDC7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29CB6FE3">
                  <w:pPr>
                    <w:keepNext w:val="0"/>
                    <w:keepLines w:val="0"/>
                    <w:suppressLineNumbers w:val="0"/>
                    <w:spacing w:before="0" w:beforeAutospacing="0" w:after="0" w:afterAutospacing="0"/>
                    <w:ind w:left="0" w:right="0"/>
                    <w:jc w:val="center"/>
                    <w:rPr>
                      <w:rFonts w:hint="default" w:cs="Times New Roman"/>
                      <w:bCs/>
                      <w:sz w:val="21"/>
                      <w:szCs w:val="21"/>
                      <w:u w:val="none"/>
                      <w:lang w:val="en-US" w:eastAsia="zh-CN"/>
                    </w:rPr>
                  </w:pPr>
                  <w:r>
                    <w:rPr>
                      <w:rFonts w:hint="eastAsia" w:cs="Times New Roman"/>
                      <w:bCs/>
                      <w:sz w:val="21"/>
                      <w:szCs w:val="21"/>
                      <w:u w:val="none"/>
                      <w:lang w:val="en-US" w:eastAsia="zh-CN"/>
                    </w:rPr>
                    <w:t>消毒</w:t>
                  </w:r>
                </w:p>
              </w:tc>
              <w:tc>
                <w:tcPr>
                  <w:tcW w:w="483" w:type="pct"/>
                  <w:vMerge w:val="restart"/>
                  <w:noWrap w:val="0"/>
                  <w:vAlign w:val="center"/>
                </w:tcPr>
                <w:p w14:paraId="66088E55">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NMHC</w:t>
                  </w:r>
                </w:p>
              </w:tc>
              <w:tc>
                <w:tcPr>
                  <w:tcW w:w="418" w:type="pct"/>
                  <w:noWrap w:val="0"/>
                  <w:vAlign w:val="center"/>
                </w:tcPr>
                <w:p w14:paraId="731F50B0">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0.00675</w:t>
                  </w:r>
                </w:p>
              </w:tc>
              <w:tc>
                <w:tcPr>
                  <w:tcW w:w="876" w:type="pct"/>
                  <w:noWrap w:val="0"/>
                  <w:vAlign w:val="center"/>
                </w:tcPr>
                <w:p w14:paraId="1F437772">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bCs/>
                      <w:sz w:val="21"/>
                      <w:szCs w:val="21"/>
                      <w:u w:val="none"/>
                      <w:lang w:val="en-US" w:eastAsia="zh-CN"/>
                    </w:rPr>
                    <w:t>顶吸集气罩+密闭车间换风系统收集后进入“沸石转轮浓缩+旋转式RTO”</w:t>
                  </w:r>
                </w:p>
              </w:tc>
              <w:tc>
                <w:tcPr>
                  <w:tcW w:w="391" w:type="pct"/>
                  <w:noWrap w:val="0"/>
                  <w:vAlign w:val="center"/>
                </w:tcPr>
                <w:p w14:paraId="039F3FB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sz w:val="21"/>
                      <w:szCs w:val="21"/>
                      <w:u w:val="none"/>
                      <w:lang w:val="en-US" w:eastAsia="zh-CN"/>
                    </w:rPr>
                  </w:pPr>
                  <w:r>
                    <w:rPr>
                      <w:rFonts w:hint="eastAsia" w:cs="Times New Roman"/>
                      <w:bCs/>
                      <w:sz w:val="21"/>
                      <w:szCs w:val="21"/>
                      <w:u w:val="none"/>
                      <w:lang w:val="en-US" w:eastAsia="zh-CN"/>
                    </w:rPr>
                    <w:t>99</w:t>
                  </w:r>
                </w:p>
              </w:tc>
              <w:tc>
                <w:tcPr>
                  <w:tcW w:w="447" w:type="pct"/>
                  <w:noWrap w:val="0"/>
                  <w:vAlign w:val="center"/>
                </w:tcPr>
                <w:p w14:paraId="2E40E8A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default" w:ascii="Times New Roman" w:hAnsi="Times New Roman" w:cs="Times New Roman"/>
                      <w:bCs/>
                      <w:sz w:val="21"/>
                      <w:szCs w:val="21"/>
                      <w:u w:val="none"/>
                    </w:rPr>
                    <w:t>是</w:t>
                  </w:r>
                </w:p>
              </w:tc>
              <w:tc>
                <w:tcPr>
                  <w:tcW w:w="532" w:type="pct"/>
                  <w:noWrap w:val="0"/>
                  <w:vAlign w:val="center"/>
                </w:tcPr>
                <w:p w14:paraId="0826B86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lang w:val="en-US" w:eastAsia="zh-CN" w:bidi="ar-SA"/>
                    </w:rPr>
                    <w:t>0.0000675</w:t>
                  </w:r>
                </w:p>
              </w:tc>
              <w:tc>
                <w:tcPr>
                  <w:tcW w:w="529" w:type="pct"/>
                  <w:noWrap w:val="0"/>
                  <w:vAlign w:val="center"/>
                </w:tcPr>
                <w:p w14:paraId="6306EBC0">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4047DF39">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DA001</w:t>
                  </w:r>
                </w:p>
              </w:tc>
            </w:tr>
            <w:tr w14:paraId="6215DD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28962F43">
                  <w:pPr>
                    <w:keepNext w:val="0"/>
                    <w:keepLines w:val="0"/>
                    <w:suppressLineNumbers w:val="0"/>
                    <w:spacing w:before="0" w:beforeAutospacing="0" w:after="0" w:afterAutospacing="0"/>
                    <w:ind w:left="0" w:right="0"/>
                    <w:jc w:val="center"/>
                    <w:rPr>
                      <w:rFonts w:hint="eastAsia" w:cs="Times New Roman"/>
                      <w:bCs/>
                      <w:sz w:val="21"/>
                      <w:szCs w:val="21"/>
                      <w:u w:val="none"/>
                      <w:lang w:val="en-US" w:eastAsia="zh-CN"/>
                    </w:rPr>
                  </w:pPr>
                </w:p>
              </w:tc>
              <w:tc>
                <w:tcPr>
                  <w:tcW w:w="483" w:type="pct"/>
                  <w:vMerge w:val="continue"/>
                  <w:noWrap w:val="0"/>
                  <w:vAlign w:val="center"/>
                </w:tcPr>
                <w:p w14:paraId="592A216E">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p>
              </w:tc>
              <w:tc>
                <w:tcPr>
                  <w:tcW w:w="418" w:type="pct"/>
                  <w:noWrap w:val="0"/>
                  <w:vAlign w:val="center"/>
                </w:tcPr>
                <w:p w14:paraId="5C200A6F">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0.00075</w:t>
                  </w:r>
                </w:p>
              </w:tc>
              <w:tc>
                <w:tcPr>
                  <w:tcW w:w="876" w:type="pct"/>
                  <w:shd w:val="clear" w:color="auto" w:fill="auto"/>
                  <w:noWrap w:val="0"/>
                  <w:vAlign w:val="center"/>
                </w:tcPr>
                <w:p w14:paraId="7B54D3C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391" w:type="pct"/>
                  <w:shd w:val="clear" w:color="auto" w:fill="auto"/>
                  <w:noWrap w:val="0"/>
                  <w:vAlign w:val="center"/>
                </w:tcPr>
                <w:p w14:paraId="72BF119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447" w:type="pct"/>
                  <w:shd w:val="clear" w:color="auto" w:fill="auto"/>
                  <w:noWrap w:val="0"/>
                  <w:vAlign w:val="center"/>
                </w:tcPr>
                <w:p w14:paraId="46BD426D">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w:t>
                  </w:r>
                </w:p>
              </w:tc>
              <w:tc>
                <w:tcPr>
                  <w:tcW w:w="532" w:type="pct"/>
                  <w:noWrap w:val="0"/>
                  <w:vAlign w:val="center"/>
                </w:tcPr>
                <w:p w14:paraId="57EFDD7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lang w:val="en-US" w:eastAsia="zh-CN" w:bidi="ar-SA"/>
                    </w:rPr>
                    <w:t>0.00075</w:t>
                  </w:r>
                </w:p>
              </w:tc>
              <w:tc>
                <w:tcPr>
                  <w:tcW w:w="529" w:type="pct"/>
                  <w:noWrap w:val="0"/>
                  <w:vAlign w:val="center"/>
                </w:tcPr>
                <w:p w14:paraId="682EC45F">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无组织</w:t>
                  </w:r>
                </w:p>
              </w:tc>
              <w:tc>
                <w:tcPr>
                  <w:tcW w:w="529" w:type="pct"/>
                  <w:noWrap w:val="0"/>
                  <w:vAlign w:val="center"/>
                </w:tcPr>
                <w:p w14:paraId="1B3D0F03">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cs="Times New Roman"/>
                      <w:bCs/>
                      <w:sz w:val="21"/>
                      <w:szCs w:val="21"/>
                      <w:u w:val="none"/>
                      <w:lang w:val="en-US" w:eastAsia="zh-CN"/>
                    </w:rPr>
                  </w:pPr>
                  <w:r>
                    <w:rPr>
                      <w:rFonts w:hint="eastAsia" w:cs="Times New Roman"/>
                      <w:bCs/>
                      <w:sz w:val="21"/>
                      <w:szCs w:val="21"/>
                      <w:u w:val="none"/>
                      <w:lang w:val="en-US" w:eastAsia="zh-CN"/>
                    </w:rPr>
                    <w:t>/</w:t>
                  </w:r>
                </w:p>
              </w:tc>
            </w:tr>
            <w:tr w14:paraId="1B0E9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28B4B89B">
                  <w:pPr>
                    <w:keepNext w:val="0"/>
                    <w:keepLines w:val="0"/>
                    <w:suppressLineNumbers w:val="0"/>
                    <w:spacing w:before="0" w:beforeAutospacing="0" w:after="0" w:afterAutospacing="0"/>
                    <w:ind w:left="0" w:right="0"/>
                    <w:jc w:val="center"/>
                    <w:rPr>
                      <w:rFonts w:hint="default" w:cs="Times New Roman"/>
                      <w:bCs/>
                      <w:sz w:val="21"/>
                      <w:szCs w:val="21"/>
                      <w:u w:val="none"/>
                      <w:lang w:val="en-US" w:eastAsia="zh-CN"/>
                    </w:rPr>
                  </w:pPr>
                  <w:r>
                    <w:rPr>
                      <w:rFonts w:hint="eastAsia" w:cs="Times New Roman"/>
                      <w:bCs/>
                      <w:sz w:val="21"/>
                      <w:szCs w:val="21"/>
                      <w:u w:val="none"/>
                      <w:lang w:val="en-US" w:eastAsia="zh-CN"/>
                    </w:rPr>
                    <w:t>RTO燃烧</w:t>
                  </w:r>
                </w:p>
              </w:tc>
              <w:tc>
                <w:tcPr>
                  <w:tcW w:w="483" w:type="pct"/>
                  <w:noWrap w:val="0"/>
                  <w:vAlign w:val="center"/>
                </w:tcPr>
                <w:p w14:paraId="740406B3">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颗粒物</w:t>
                  </w:r>
                </w:p>
              </w:tc>
              <w:tc>
                <w:tcPr>
                  <w:tcW w:w="418" w:type="pct"/>
                  <w:noWrap w:val="0"/>
                  <w:vAlign w:val="center"/>
                </w:tcPr>
                <w:p w14:paraId="53DA1060">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0.005</w:t>
                  </w:r>
                </w:p>
              </w:tc>
              <w:tc>
                <w:tcPr>
                  <w:tcW w:w="876" w:type="pct"/>
                  <w:vMerge w:val="restart"/>
                  <w:shd w:val="clear" w:color="auto" w:fill="auto"/>
                  <w:noWrap w:val="0"/>
                  <w:vAlign w:val="center"/>
                </w:tcPr>
                <w:p w14:paraId="1344DFF9">
                  <w:pPr>
                    <w:keepNext w:val="0"/>
                    <w:keepLines w:val="0"/>
                    <w:suppressLineNumbers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391" w:type="pct"/>
                  <w:shd w:val="clear" w:color="auto" w:fill="auto"/>
                  <w:noWrap w:val="0"/>
                  <w:vAlign w:val="center"/>
                </w:tcPr>
                <w:p w14:paraId="3FD1F142">
                  <w:pPr>
                    <w:keepNext w:val="0"/>
                    <w:keepLines w:val="0"/>
                    <w:suppressLineNumbers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447" w:type="pct"/>
                  <w:shd w:val="clear" w:color="auto" w:fill="auto"/>
                  <w:noWrap w:val="0"/>
                  <w:vAlign w:val="center"/>
                </w:tcPr>
                <w:p w14:paraId="5EB3634F">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532" w:type="pct"/>
                  <w:noWrap w:val="0"/>
                  <w:vAlign w:val="center"/>
                </w:tcPr>
                <w:p w14:paraId="1E1CC04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c>
                <w:tcPr>
                  <w:tcW w:w="529" w:type="pct"/>
                  <w:noWrap w:val="0"/>
                  <w:vAlign w:val="center"/>
                </w:tcPr>
                <w:p w14:paraId="4C8CAAA2">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085FDD64">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DA001</w:t>
                  </w:r>
                </w:p>
              </w:tc>
            </w:tr>
            <w:tr w14:paraId="2F0E6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2459BE0E">
                  <w:pPr>
                    <w:keepNext w:val="0"/>
                    <w:keepLines w:val="0"/>
                    <w:suppressLineNumbers w:val="0"/>
                    <w:spacing w:before="0" w:beforeAutospacing="0" w:after="0" w:afterAutospacing="0"/>
                    <w:ind w:left="0" w:right="0"/>
                    <w:jc w:val="center"/>
                    <w:rPr>
                      <w:rFonts w:hint="eastAsia" w:cs="Times New Roman"/>
                      <w:bCs/>
                      <w:sz w:val="21"/>
                      <w:szCs w:val="21"/>
                      <w:u w:val="none"/>
                      <w:lang w:val="en-US" w:eastAsia="zh-CN"/>
                    </w:rPr>
                  </w:pPr>
                </w:p>
              </w:tc>
              <w:tc>
                <w:tcPr>
                  <w:tcW w:w="483" w:type="pct"/>
                  <w:noWrap w:val="0"/>
                  <w:vAlign w:val="center"/>
                </w:tcPr>
                <w:p w14:paraId="629E50A2">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418" w:type="pct"/>
                  <w:noWrap w:val="0"/>
                  <w:vAlign w:val="center"/>
                </w:tcPr>
                <w:p w14:paraId="69EE3F51">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0.005</w:t>
                  </w:r>
                </w:p>
              </w:tc>
              <w:tc>
                <w:tcPr>
                  <w:tcW w:w="876" w:type="pct"/>
                  <w:vMerge w:val="continue"/>
                  <w:shd w:val="clear" w:color="auto" w:fill="auto"/>
                  <w:noWrap w:val="0"/>
                  <w:vAlign w:val="center"/>
                </w:tcPr>
                <w:p w14:paraId="52B53F6B">
                  <w:pPr>
                    <w:keepNext w:val="0"/>
                    <w:keepLines w:val="0"/>
                    <w:suppressLineNumbers w:val="0"/>
                    <w:spacing w:before="0" w:beforeAutospacing="0" w:after="0" w:afterAutospacing="0"/>
                    <w:ind w:left="0" w:leftChars="0" w:right="0" w:rightChars="0"/>
                    <w:jc w:val="center"/>
                    <w:rPr>
                      <w:rFonts w:hint="eastAsia" w:cs="Times New Roman"/>
                      <w:bCs/>
                      <w:sz w:val="21"/>
                      <w:szCs w:val="21"/>
                      <w:u w:val="none"/>
                      <w:lang w:val="en-US" w:eastAsia="zh-CN"/>
                    </w:rPr>
                  </w:pPr>
                </w:p>
              </w:tc>
              <w:tc>
                <w:tcPr>
                  <w:tcW w:w="391" w:type="pct"/>
                  <w:shd w:val="clear" w:color="auto" w:fill="auto"/>
                  <w:noWrap w:val="0"/>
                  <w:vAlign w:val="center"/>
                </w:tcPr>
                <w:p w14:paraId="0DA4855C">
                  <w:pPr>
                    <w:keepNext w:val="0"/>
                    <w:keepLines w:val="0"/>
                    <w:suppressLineNumbers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447" w:type="pct"/>
                  <w:shd w:val="clear" w:color="auto" w:fill="auto"/>
                  <w:noWrap w:val="0"/>
                  <w:vAlign w:val="center"/>
                </w:tcPr>
                <w:p w14:paraId="3BC559CA">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532" w:type="pct"/>
                  <w:noWrap w:val="0"/>
                  <w:vAlign w:val="center"/>
                </w:tcPr>
                <w:p w14:paraId="4D523EC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c>
                <w:tcPr>
                  <w:tcW w:w="529" w:type="pct"/>
                  <w:noWrap w:val="0"/>
                  <w:vAlign w:val="center"/>
                </w:tcPr>
                <w:p w14:paraId="22A475A2">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4FAB78B3">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DA001</w:t>
                  </w:r>
                </w:p>
              </w:tc>
            </w:tr>
            <w:tr w14:paraId="44C26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68C07DF7">
                  <w:pPr>
                    <w:keepNext w:val="0"/>
                    <w:keepLines w:val="0"/>
                    <w:suppressLineNumbers w:val="0"/>
                    <w:spacing w:before="0" w:beforeAutospacing="0" w:after="0" w:afterAutospacing="0"/>
                    <w:ind w:left="0" w:right="0"/>
                    <w:jc w:val="both"/>
                    <w:rPr>
                      <w:rFonts w:hint="eastAsia" w:cs="Times New Roman"/>
                      <w:bCs/>
                      <w:sz w:val="21"/>
                      <w:szCs w:val="21"/>
                      <w:u w:val="none"/>
                      <w:lang w:val="en-US" w:eastAsia="zh-CN"/>
                    </w:rPr>
                  </w:pPr>
                </w:p>
              </w:tc>
              <w:tc>
                <w:tcPr>
                  <w:tcW w:w="483" w:type="pct"/>
                  <w:noWrap w:val="0"/>
                  <w:vAlign w:val="center"/>
                </w:tcPr>
                <w:p w14:paraId="7367BD0E">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418" w:type="pct"/>
                  <w:noWrap w:val="0"/>
                  <w:vAlign w:val="center"/>
                </w:tcPr>
                <w:p w14:paraId="4558AB78">
                  <w:pPr>
                    <w:keepNext w:val="0"/>
                    <w:keepLines w:val="0"/>
                    <w:suppressLineNumbers w:val="0"/>
                    <w:spacing w:before="0" w:beforeAutospacing="0" w:after="0" w:afterAutospacing="0"/>
                    <w:ind w:left="0" w:right="0"/>
                    <w:jc w:val="center"/>
                    <w:rPr>
                      <w:rFonts w:hint="default"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0.077</w:t>
                  </w:r>
                </w:p>
              </w:tc>
              <w:tc>
                <w:tcPr>
                  <w:tcW w:w="876" w:type="pct"/>
                  <w:vMerge w:val="continue"/>
                  <w:shd w:val="clear" w:color="auto" w:fill="auto"/>
                  <w:noWrap w:val="0"/>
                  <w:vAlign w:val="center"/>
                </w:tcPr>
                <w:p w14:paraId="5DF1786C">
                  <w:pPr>
                    <w:keepNext w:val="0"/>
                    <w:keepLines w:val="0"/>
                    <w:suppressLineNumbers w:val="0"/>
                    <w:spacing w:before="0" w:beforeAutospacing="0" w:after="0" w:afterAutospacing="0"/>
                    <w:ind w:left="0" w:leftChars="0" w:right="0" w:rightChars="0"/>
                    <w:jc w:val="center"/>
                    <w:rPr>
                      <w:rFonts w:hint="eastAsia" w:cs="Times New Roman"/>
                      <w:bCs/>
                      <w:sz w:val="21"/>
                      <w:szCs w:val="21"/>
                      <w:u w:val="none"/>
                      <w:lang w:val="en-US" w:eastAsia="zh-CN"/>
                    </w:rPr>
                  </w:pPr>
                </w:p>
              </w:tc>
              <w:tc>
                <w:tcPr>
                  <w:tcW w:w="391" w:type="pct"/>
                  <w:shd w:val="clear" w:color="auto" w:fill="auto"/>
                  <w:noWrap w:val="0"/>
                  <w:vAlign w:val="center"/>
                </w:tcPr>
                <w:p w14:paraId="17273154">
                  <w:pPr>
                    <w:keepNext w:val="0"/>
                    <w:keepLines w:val="0"/>
                    <w:suppressLineNumbers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447" w:type="pct"/>
                  <w:shd w:val="clear" w:color="auto" w:fill="auto"/>
                  <w:noWrap w:val="0"/>
                  <w:vAlign w:val="center"/>
                </w:tcPr>
                <w:p w14:paraId="187D191C">
                  <w:pPr>
                    <w:keepNext w:val="0"/>
                    <w:keepLines w:val="0"/>
                    <w:suppressLineNumbers w:val="0"/>
                    <w:adjustRightInd w:val="0"/>
                    <w:snapToGrid w:val="0"/>
                    <w:spacing w:before="0" w:beforeAutospacing="0" w:after="0" w:afterAutospacing="0"/>
                    <w:ind w:left="0" w:leftChars="0" w:right="0" w:rightChars="0"/>
                    <w:jc w:val="center"/>
                    <w:rPr>
                      <w:rFonts w:hint="default" w:cs="Times New Roman"/>
                      <w:bCs/>
                      <w:sz w:val="21"/>
                      <w:szCs w:val="21"/>
                      <w:u w:val="none"/>
                      <w:lang w:val="en-US" w:eastAsia="zh-CN"/>
                    </w:rPr>
                  </w:pPr>
                  <w:r>
                    <w:rPr>
                      <w:rFonts w:hint="eastAsia" w:cs="Times New Roman"/>
                      <w:bCs/>
                      <w:sz w:val="21"/>
                      <w:szCs w:val="21"/>
                      <w:u w:val="none"/>
                      <w:lang w:val="en-US" w:eastAsia="zh-CN"/>
                    </w:rPr>
                    <w:t>/</w:t>
                  </w:r>
                </w:p>
              </w:tc>
              <w:tc>
                <w:tcPr>
                  <w:tcW w:w="532" w:type="pct"/>
                  <w:noWrap w:val="0"/>
                  <w:vAlign w:val="center"/>
                </w:tcPr>
                <w:p w14:paraId="6C29F8B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0.077</w:t>
                  </w:r>
                </w:p>
              </w:tc>
              <w:tc>
                <w:tcPr>
                  <w:tcW w:w="529" w:type="pct"/>
                  <w:noWrap w:val="0"/>
                  <w:vAlign w:val="center"/>
                </w:tcPr>
                <w:p w14:paraId="774AEFEE">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有</w:t>
                  </w:r>
                  <w:r>
                    <w:rPr>
                      <w:rFonts w:hint="eastAsia" w:ascii="Times New Roman" w:hAnsi="Times New Roman" w:cs="Times New Roman"/>
                      <w:bCs/>
                      <w:sz w:val="21"/>
                      <w:szCs w:val="21"/>
                      <w:u w:val="none"/>
                    </w:rPr>
                    <w:t>组织</w:t>
                  </w:r>
                </w:p>
              </w:tc>
              <w:tc>
                <w:tcPr>
                  <w:tcW w:w="529" w:type="pct"/>
                  <w:noWrap w:val="0"/>
                  <w:vAlign w:val="center"/>
                </w:tcPr>
                <w:p w14:paraId="48A6EAF7">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DA001</w:t>
                  </w:r>
                </w:p>
              </w:tc>
            </w:tr>
            <w:tr w14:paraId="68D6C3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restart"/>
                  <w:noWrap w:val="0"/>
                  <w:vAlign w:val="center"/>
                </w:tcPr>
                <w:p w14:paraId="630EA6BC">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rPr>
                  </w:pPr>
                  <w:r>
                    <w:rPr>
                      <w:rFonts w:hint="eastAsia" w:ascii="Times New Roman" w:hAnsi="Times New Roman" w:cs="Times New Roman"/>
                      <w:bCs/>
                      <w:sz w:val="21"/>
                      <w:szCs w:val="21"/>
                      <w:u w:val="none"/>
                    </w:rPr>
                    <w:t>合计</w:t>
                  </w:r>
                </w:p>
              </w:tc>
              <w:tc>
                <w:tcPr>
                  <w:tcW w:w="483" w:type="pct"/>
                  <w:noWrap w:val="0"/>
                  <w:vAlign w:val="center"/>
                </w:tcPr>
                <w:p w14:paraId="7CBBF62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eastAsia" w:cs="Times New Roman"/>
                      <w:bCs/>
                      <w:sz w:val="21"/>
                      <w:szCs w:val="21"/>
                      <w:u w:val="none"/>
                      <w:lang w:val="en-US" w:eastAsia="zh-CN"/>
                    </w:rPr>
                    <w:t>NMHC</w:t>
                  </w:r>
                </w:p>
              </w:tc>
              <w:tc>
                <w:tcPr>
                  <w:tcW w:w="418" w:type="pct"/>
                  <w:noWrap w:val="0"/>
                  <w:vAlign w:val="center"/>
                </w:tcPr>
                <w:p w14:paraId="586AF3F3">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cs="Times New Roman"/>
                      <w:bCs/>
                      <w:sz w:val="21"/>
                      <w:szCs w:val="21"/>
                      <w:u w:val="none"/>
                      <w:lang w:val="en-US" w:eastAsia="zh-CN"/>
                    </w:rPr>
                    <w:t>7.980</w:t>
                  </w:r>
                </w:p>
              </w:tc>
              <w:tc>
                <w:tcPr>
                  <w:tcW w:w="876" w:type="pct"/>
                  <w:noWrap w:val="0"/>
                  <w:vAlign w:val="center"/>
                </w:tcPr>
                <w:p w14:paraId="6A04B505">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rPr>
                  </w:pPr>
                  <w:r>
                    <w:rPr>
                      <w:rFonts w:hint="eastAsia" w:ascii="Times New Roman" w:hAnsi="Times New Roman" w:cs="Times New Roman"/>
                      <w:bCs/>
                      <w:sz w:val="21"/>
                      <w:szCs w:val="21"/>
                      <w:u w:val="none"/>
                    </w:rPr>
                    <w:t>/</w:t>
                  </w:r>
                </w:p>
              </w:tc>
              <w:tc>
                <w:tcPr>
                  <w:tcW w:w="391" w:type="pct"/>
                  <w:noWrap w:val="0"/>
                  <w:vAlign w:val="center"/>
                </w:tcPr>
                <w:p w14:paraId="7545833A">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rPr>
                  </w:pPr>
                  <w:r>
                    <w:rPr>
                      <w:rFonts w:hint="eastAsia" w:ascii="Times New Roman" w:hAnsi="Times New Roman" w:cs="Times New Roman"/>
                      <w:bCs/>
                      <w:sz w:val="21"/>
                      <w:szCs w:val="21"/>
                      <w:u w:val="none"/>
                    </w:rPr>
                    <w:t>/</w:t>
                  </w:r>
                </w:p>
              </w:tc>
              <w:tc>
                <w:tcPr>
                  <w:tcW w:w="447" w:type="pct"/>
                  <w:noWrap w:val="0"/>
                  <w:vAlign w:val="center"/>
                </w:tcPr>
                <w:p w14:paraId="327CE80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 w:val="21"/>
                      <w:szCs w:val="21"/>
                      <w:u w:val="none"/>
                    </w:rPr>
                  </w:pPr>
                  <w:r>
                    <w:rPr>
                      <w:rFonts w:hint="eastAsia" w:ascii="Times New Roman" w:hAnsi="Times New Roman" w:cs="Times New Roman"/>
                      <w:bCs/>
                      <w:sz w:val="21"/>
                      <w:szCs w:val="21"/>
                      <w:u w:val="none"/>
                    </w:rPr>
                    <w:t>/</w:t>
                  </w:r>
                </w:p>
              </w:tc>
              <w:tc>
                <w:tcPr>
                  <w:tcW w:w="532" w:type="pct"/>
                  <w:noWrap w:val="0"/>
                  <w:vAlign w:val="center"/>
                </w:tcPr>
                <w:p w14:paraId="75CD7A11">
                  <w:pPr>
                    <w:keepNext w:val="0"/>
                    <w:keepLines w:val="0"/>
                    <w:suppressLineNumbers w:val="0"/>
                    <w:spacing w:before="0" w:beforeAutospacing="0" w:after="0" w:afterAutospacing="0"/>
                    <w:ind w:left="0" w:right="0"/>
                    <w:jc w:val="center"/>
                    <w:rPr>
                      <w:rFonts w:hint="default" w:ascii="Times New Roman" w:hAnsi="Times New Roman" w:eastAsia="宋体" w:cs="Times New Roman"/>
                      <w:bCs/>
                      <w:sz w:val="21"/>
                      <w:szCs w:val="21"/>
                      <w:u w:val="none"/>
                      <w:lang w:val="en-US" w:eastAsia="zh-CN"/>
                    </w:rPr>
                  </w:pPr>
                  <w:r>
                    <w:rPr>
                      <w:rFonts w:hint="eastAsia" w:ascii="Times New Roman" w:hAnsi="Times New Roman" w:eastAsia="宋体" w:cs="Times New Roman"/>
                      <w:bCs/>
                      <w:sz w:val="21"/>
                      <w:szCs w:val="21"/>
                      <w:u w:val="none"/>
                      <w:lang w:val="en-US" w:eastAsia="zh-CN"/>
                    </w:rPr>
                    <w:t>0.</w:t>
                  </w:r>
                  <w:r>
                    <w:rPr>
                      <w:rFonts w:hint="eastAsia" w:cs="Times New Roman"/>
                      <w:bCs/>
                      <w:sz w:val="21"/>
                      <w:szCs w:val="21"/>
                      <w:u w:val="none"/>
                      <w:lang w:val="en-US" w:eastAsia="zh-CN"/>
                    </w:rPr>
                    <w:t>871</w:t>
                  </w:r>
                </w:p>
              </w:tc>
              <w:tc>
                <w:tcPr>
                  <w:tcW w:w="529" w:type="pct"/>
                  <w:noWrap w:val="0"/>
                  <w:vAlign w:val="center"/>
                </w:tcPr>
                <w:p w14:paraId="0F084101">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529" w:type="pct"/>
                  <w:noWrap w:val="0"/>
                  <w:vAlign w:val="center"/>
                </w:tcPr>
                <w:p w14:paraId="58253DCD">
                  <w:pPr>
                    <w:keepNext w:val="0"/>
                    <w:keepLines w:val="0"/>
                    <w:suppressLineNumbers w:val="0"/>
                    <w:spacing w:before="0" w:beforeAutospacing="0" w:after="0" w:afterAutospacing="0"/>
                    <w:ind w:left="0" w:right="0"/>
                    <w:jc w:val="center"/>
                    <w:rPr>
                      <w:rFonts w:hint="default" w:ascii="Times New Roman" w:hAnsi="Times New Roman" w:cs="Times New Roman"/>
                      <w:bCs/>
                      <w:sz w:val="21"/>
                      <w:szCs w:val="21"/>
                      <w:u w:val="none"/>
                      <w:lang w:val="en-US" w:eastAsia="zh-CN"/>
                    </w:rPr>
                  </w:pPr>
                  <w:r>
                    <w:rPr>
                      <w:rFonts w:hint="eastAsia" w:ascii="Times New Roman" w:hAnsi="Times New Roman" w:cs="Times New Roman"/>
                      <w:bCs/>
                      <w:sz w:val="21"/>
                      <w:szCs w:val="21"/>
                      <w:u w:val="none"/>
                      <w:lang w:val="en-US" w:eastAsia="zh-CN"/>
                    </w:rPr>
                    <w:t>/</w:t>
                  </w:r>
                </w:p>
              </w:tc>
            </w:tr>
            <w:tr w14:paraId="55AC7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5FB7487A">
                  <w:pPr>
                    <w:keepNext w:val="0"/>
                    <w:keepLines w:val="0"/>
                    <w:suppressLineNumbers w:val="0"/>
                    <w:spacing w:before="0" w:beforeAutospacing="0" w:after="0" w:afterAutospacing="0"/>
                    <w:ind w:left="0" w:right="0"/>
                    <w:jc w:val="center"/>
                    <w:rPr>
                      <w:rFonts w:hint="eastAsia" w:ascii="Times New Roman" w:hAnsi="Times New Roman" w:cs="Times New Roman"/>
                      <w:bCs/>
                      <w:sz w:val="21"/>
                      <w:szCs w:val="21"/>
                      <w:u w:val="none"/>
                    </w:rPr>
                  </w:pPr>
                </w:p>
              </w:tc>
              <w:tc>
                <w:tcPr>
                  <w:tcW w:w="483" w:type="pct"/>
                  <w:shd w:val="clear" w:color="auto" w:fill="auto"/>
                  <w:noWrap w:val="0"/>
                  <w:vAlign w:val="center"/>
                </w:tcPr>
                <w:p w14:paraId="47D3EAA4">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颗粒物</w:t>
                  </w:r>
                </w:p>
              </w:tc>
              <w:tc>
                <w:tcPr>
                  <w:tcW w:w="418" w:type="pct"/>
                  <w:shd w:val="clear" w:color="auto" w:fill="auto"/>
                  <w:noWrap w:val="0"/>
                  <w:vAlign w:val="center"/>
                </w:tcPr>
                <w:p w14:paraId="14785DD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0.005</w:t>
                  </w:r>
                </w:p>
              </w:tc>
              <w:tc>
                <w:tcPr>
                  <w:tcW w:w="876" w:type="pct"/>
                  <w:noWrap w:val="0"/>
                  <w:vAlign w:val="center"/>
                </w:tcPr>
                <w:p w14:paraId="6A28029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391" w:type="pct"/>
                  <w:noWrap w:val="0"/>
                  <w:vAlign w:val="center"/>
                </w:tcPr>
                <w:p w14:paraId="45D3DDD0">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447" w:type="pct"/>
                  <w:noWrap w:val="0"/>
                  <w:vAlign w:val="center"/>
                </w:tcPr>
                <w:p w14:paraId="5C09605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532" w:type="pct"/>
                  <w:shd w:val="clear" w:color="auto" w:fill="auto"/>
                  <w:noWrap w:val="0"/>
                  <w:vAlign w:val="center"/>
                </w:tcPr>
                <w:p w14:paraId="19BCE3C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c>
                <w:tcPr>
                  <w:tcW w:w="529" w:type="pct"/>
                  <w:shd w:val="clear" w:color="auto" w:fill="auto"/>
                  <w:noWrap w:val="0"/>
                  <w:vAlign w:val="center"/>
                </w:tcPr>
                <w:p w14:paraId="543862D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c>
                <w:tcPr>
                  <w:tcW w:w="529" w:type="pct"/>
                  <w:shd w:val="clear" w:color="auto" w:fill="auto"/>
                  <w:noWrap w:val="0"/>
                  <w:vAlign w:val="center"/>
                </w:tcPr>
                <w:p w14:paraId="2202241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r>
            <w:tr w14:paraId="6E9C2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75D0B836">
                  <w:pPr>
                    <w:keepNext w:val="0"/>
                    <w:keepLines w:val="0"/>
                    <w:suppressLineNumbers w:val="0"/>
                    <w:spacing w:before="0" w:beforeAutospacing="0" w:after="0" w:afterAutospacing="0"/>
                    <w:ind w:left="0" w:right="0"/>
                    <w:jc w:val="center"/>
                    <w:rPr>
                      <w:rFonts w:hint="eastAsia" w:ascii="Times New Roman" w:hAnsi="Times New Roman" w:cs="Times New Roman"/>
                      <w:bCs/>
                      <w:sz w:val="21"/>
                      <w:szCs w:val="21"/>
                      <w:u w:val="none"/>
                    </w:rPr>
                  </w:pPr>
                </w:p>
              </w:tc>
              <w:tc>
                <w:tcPr>
                  <w:tcW w:w="483" w:type="pct"/>
                  <w:shd w:val="clear" w:color="auto" w:fill="auto"/>
                  <w:noWrap w:val="0"/>
                  <w:vAlign w:val="center"/>
                </w:tcPr>
                <w:p w14:paraId="53EE82E0">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418" w:type="pct"/>
                  <w:shd w:val="clear" w:color="auto" w:fill="auto"/>
                  <w:noWrap w:val="0"/>
                  <w:vAlign w:val="center"/>
                </w:tcPr>
                <w:p w14:paraId="2890E90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0.005</w:t>
                  </w:r>
                </w:p>
              </w:tc>
              <w:tc>
                <w:tcPr>
                  <w:tcW w:w="876" w:type="pct"/>
                  <w:noWrap w:val="0"/>
                  <w:vAlign w:val="center"/>
                </w:tcPr>
                <w:p w14:paraId="71672EB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391" w:type="pct"/>
                  <w:noWrap w:val="0"/>
                  <w:vAlign w:val="center"/>
                </w:tcPr>
                <w:p w14:paraId="19390F5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447" w:type="pct"/>
                  <w:noWrap w:val="0"/>
                  <w:vAlign w:val="center"/>
                </w:tcPr>
                <w:p w14:paraId="042B10E4">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532" w:type="pct"/>
                  <w:shd w:val="clear" w:color="auto" w:fill="auto"/>
                  <w:noWrap w:val="0"/>
                  <w:vAlign w:val="center"/>
                </w:tcPr>
                <w:p w14:paraId="6E1EC9E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c>
                <w:tcPr>
                  <w:tcW w:w="529" w:type="pct"/>
                  <w:shd w:val="clear" w:color="auto" w:fill="auto"/>
                  <w:noWrap w:val="0"/>
                  <w:vAlign w:val="center"/>
                </w:tcPr>
                <w:p w14:paraId="3088C93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c>
                <w:tcPr>
                  <w:tcW w:w="529" w:type="pct"/>
                  <w:shd w:val="clear" w:color="auto" w:fill="auto"/>
                  <w:noWrap w:val="0"/>
                  <w:vAlign w:val="center"/>
                </w:tcPr>
                <w:p w14:paraId="0FF923B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r>
            <w:tr w14:paraId="26A99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92" w:type="pct"/>
                  <w:vMerge w:val="continue"/>
                  <w:noWrap w:val="0"/>
                  <w:vAlign w:val="center"/>
                </w:tcPr>
                <w:p w14:paraId="706578B4">
                  <w:pPr>
                    <w:keepNext w:val="0"/>
                    <w:keepLines w:val="0"/>
                    <w:suppressLineNumbers w:val="0"/>
                    <w:spacing w:before="0" w:beforeAutospacing="0" w:after="0" w:afterAutospacing="0"/>
                    <w:ind w:left="0" w:right="0"/>
                    <w:jc w:val="center"/>
                    <w:rPr>
                      <w:rFonts w:hint="eastAsia" w:ascii="Times New Roman" w:hAnsi="Times New Roman" w:cs="Times New Roman"/>
                      <w:bCs/>
                      <w:sz w:val="21"/>
                      <w:szCs w:val="21"/>
                      <w:u w:val="none"/>
                    </w:rPr>
                  </w:pPr>
                </w:p>
              </w:tc>
              <w:tc>
                <w:tcPr>
                  <w:tcW w:w="483" w:type="pct"/>
                  <w:shd w:val="clear" w:color="auto" w:fill="auto"/>
                  <w:noWrap w:val="0"/>
                  <w:vAlign w:val="center"/>
                </w:tcPr>
                <w:p w14:paraId="6C921ED5">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418" w:type="pct"/>
                  <w:shd w:val="clear" w:color="auto" w:fill="auto"/>
                  <w:noWrap w:val="0"/>
                  <w:vAlign w:val="center"/>
                </w:tcPr>
                <w:p w14:paraId="446B7E2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u w:val="none"/>
                      <w:lang w:val="en-US" w:eastAsia="zh-CN" w:bidi="ar-SA"/>
                    </w:rPr>
                  </w:pPr>
                  <w:r>
                    <w:rPr>
                      <w:rFonts w:hint="eastAsia" w:cs="Times New Roman"/>
                      <w:kern w:val="2"/>
                      <w:sz w:val="21"/>
                      <w:szCs w:val="21"/>
                      <w:u w:val="none"/>
                      <w:lang w:val="en-US" w:eastAsia="zh-CN" w:bidi="ar-SA"/>
                    </w:rPr>
                    <w:t>0.077</w:t>
                  </w:r>
                </w:p>
              </w:tc>
              <w:tc>
                <w:tcPr>
                  <w:tcW w:w="876" w:type="pct"/>
                  <w:noWrap w:val="0"/>
                  <w:vAlign w:val="center"/>
                </w:tcPr>
                <w:p w14:paraId="76786D11">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391" w:type="pct"/>
                  <w:noWrap w:val="0"/>
                  <w:vAlign w:val="center"/>
                </w:tcPr>
                <w:p w14:paraId="1800A43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447" w:type="pct"/>
                  <w:noWrap w:val="0"/>
                  <w:vAlign w:val="center"/>
                </w:tcPr>
                <w:p w14:paraId="18EA8F4D">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sz w:val="21"/>
                      <w:szCs w:val="21"/>
                      <w:u w:val="none"/>
                    </w:rPr>
                  </w:pPr>
                  <w:r>
                    <w:rPr>
                      <w:rFonts w:hint="eastAsia" w:ascii="Times New Roman" w:hAnsi="Times New Roman" w:cs="Times New Roman"/>
                      <w:bCs/>
                      <w:sz w:val="21"/>
                      <w:szCs w:val="21"/>
                      <w:u w:val="none"/>
                      <w:lang w:val="en-US" w:eastAsia="zh-CN"/>
                    </w:rPr>
                    <w:t>/</w:t>
                  </w:r>
                </w:p>
              </w:tc>
              <w:tc>
                <w:tcPr>
                  <w:tcW w:w="532" w:type="pct"/>
                  <w:shd w:val="clear" w:color="auto" w:fill="auto"/>
                  <w:noWrap w:val="0"/>
                  <w:vAlign w:val="center"/>
                </w:tcPr>
                <w:p w14:paraId="70FBB78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0.077</w:t>
                  </w:r>
                </w:p>
              </w:tc>
              <w:tc>
                <w:tcPr>
                  <w:tcW w:w="529" w:type="pct"/>
                  <w:shd w:val="clear" w:color="auto" w:fill="auto"/>
                  <w:noWrap w:val="0"/>
                  <w:vAlign w:val="center"/>
                </w:tcPr>
                <w:p w14:paraId="7996363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c>
                <w:tcPr>
                  <w:tcW w:w="529" w:type="pct"/>
                  <w:shd w:val="clear" w:color="auto" w:fill="auto"/>
                  <w:noWrap w:val="0"/>
                  <w:vAlign w:val="center"/>
                </w:tcPr>
                <w:p w14:paraId="62A15CE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ascii="Times New Roman" w:hAnsi="Times New Roman" w:cs="Times New Roman"/>
                      <w:bCs/>
                      <w:sz w:val="21"/>
                      <w:szCs w:val="21"/>
                      <w:u w:val="none"/>
                      <w:lang w:val="en-US" w:eastAsia="zh-CN"/>
                    </w:rPr>
                    <w:t>/</w:t>
                  </w:r>
                </w:p>
              </w:tc>
            </w:tr>
          </w:tbl>
          <w:p w14:paraId="326515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b/>
                <w:color w:val="000000" w:themeColor="text1"/>
                <w:szCs w:val="21"/>
                <w:u w:val="none" w:color="auto"/>
                <w14:textFill>
                  <w14:solidFill>
                    <w14:schemeClr w14:val="tx1"/>
                  </w14:solidFill>
                </w14:textFill>
              </w:rPr>
            </w:pPr>
            <w:r>
              <w:rPr>
                <w:rFonts w:hint="eastAsia"/>
                <w:b/>
                <w:color w:val="000000" w:themeColor="text1"/>
                <w:szCs w:val="21"/>
                <w:u w:val="none" w:color="auto"/>
                <w14:textFill>
                  <w14:solidFill>
                    <w14:schemeClr w14:val="tx1"/>
                  </w14:solidFill>
                </w14:textFill>
              </w:rPr>
              <w:t>表4-</w:t>
            </w:r>
            <w:r>
              <w:rPr>
                <w:rFonts w:hint="eastAsia"/>
                <w:b/>
                <w:color w:val="000000" w:themeColor="text1"/>
                <w:szCs w:val="21"/>
                <w:u w:val="none" w:color="auto"/>
                <w:lang w:val="en-US" w:eastAsia="zh-CN"/>
                <w14:textFill>
                  <w14:solidFill>
                    <w14:schemeClr w14:val="tx1"/>
                  </w14:solidFill>
                </w14:textFill>
              </w:rPr>
              <w:t>3</w:t>
            </w:r>
            <w:r>
              <w:rPr>
                <w:rFonts w:hint="eastAsia"/>
                <w:b/>
                <w:color w:val="000000" w:themeColor="text1"/>
                <w:szCs w:val="21"/>
                <w:u w:val="none" w:color="auto"/>
                <w14:textFill>
                  <w14:solidFill>
                    <w14:schemeClr w14:val="tx1"/>
                  </w14:solidFill>
                </w14:textFill>
              </w:rPr>
              <w:t xml:space="preserve"> 项目</w:t>
            </w:r>
            <w:r>
              <w:rPr>
                <w:rFonts w:hint="eastAsia"/>
                <w:b/>
                <w:color w:val="000000" w:themeColor="text1"/>
                <w:szCs w:val="21"/>
                <w:u w:val="none" w:color="auto"/>
                <w:lang w:val="en-US" w:eastAsia="zh-CN"/>
                <w14:textFill>
                  <w14:solidFill>
                    <w14:schemeClr w14:val="tx1"/>
                  </w14:solidFill>
                </w14:textFill>
              </w:rPr>
              <w:t>有组织</w:t>
            </w:r>
            <w:r>
              <w:rPr>
                <w:rFonts w:hint="eastAsia"/>
                <w:b/>
                <w:color w:val="000000" w:themeColor="text1"/>
                <w:szCs w:val="21"/>
                <w:u w:val="none" w:color="auto"/>
                <w14:textFill>
                  <w14:solidFill>
                    <w14:schemeClr w14:val="tx1"/>
                  </w14:solidFill>
                </w14:textFill>
              </w:rPr>
              <w:t>废气污染物达标排放情况一览表</w:t>
            </w:r>
          </w:p>
          <w:tbl>
            <w:tblPr>
              <w:tblStyle w:val="4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406"/>
              <w:gridCol w:w="1254"/>
              <w:gridCol w:w="1625"/>
              <w:gridCol w:w="909"/>
              <w:gridCol w:w="1210"/>
              <w:gridCol w:w="965"/>
            </w:tblGrid>
            <w:tr w14:paraId="11393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3" w:type="pct"/>
                  <w:tcBorders>
                    <w:tl2br w:val="nil"/>
                    <w:tr2bl w:val="nil"/>
                  </w:tcBorders>
                  <w:noWrap w:val="0"/>
                  <w:vAlign w:val="center"/>
                </w:tcPr>
                <w:p w14:paraId="39C17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产排污环节</w:t>
                  </w:r>
                </w:p>
              </w:tc>
              <w:tc>
                <w:tcPr>
                  <w:tcW w:w="829" w:type="pct"/>
                  <w:tcBorders>
                    <w:tl2br w:val="nil"/>
                    <w:tr2bl w:val="nil"/>
                  </w:tcBorders>
                  <w:noWrap w:val="0"/>
                  <w:vAlign w:val="center"/>
                </w:tcPr>
                <w:p w14:paraId="3065AFD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排气筒编号</w:t>
                  </w:r>
                </w:p>
              </w:tc>
              <w:tc>
                <w:tcPr>
                  <w:tcW w:w="739" w:type="pct"/>
                  <w:tcBorders>
                    <w:tl2br w:val="nil"/>
                    <w:tr2bl w:val="nil"/>
                  </w:tcBorders>
                  <w:noWrap w:val="0"/>
                  <w:vAlign w:val="center"/>
                </w:tcPr>
                <w:p w14:paraId="13510B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污染物种类</w:t>
                  </w:r>
                </w:p>
              </w:tc>
              <w:tc>
                <w:tcPr>
                  <w:tcW w:w="1494" w:type="pct"/>
                  <w:gridSpan w:val="2"/>
                  <w:tcBorders>
                    <w:tl2br w:val="nil"/>
                    <w:tr2bl w:val="nil"/>
                  </w:tcBorders>
                  <w:noWrap w:val="0"/>
                  <w:vAlign w:val="center"/>
                </w:tcPr>
                <w:p w14:paraId="218C8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污染物排放情况</w:t>
                  </w:r>
                </w:p>
              </w:tc>
              <w:tc>
                <w:tcPr>
                  <w:tcW w:w="713" w:type="pct"/>
                  <w:tcBorders>
                    <w:tl2br w:val="nil"/>
                    <w:tr2bl w:val="nil"/>
                  </w:tcBorders>
                  <w:noWrap w:val="0"/>
                  <w:vAlign w:val="center"/>
                </w:tcPr>
                <w:p w14:paraId="754312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排放标准</w:t>
                  </w:r>
                </w:p>
              </w:tc>
              <w:tc>
                <w:tcPr>
                  <w:tcW w:w="569" w:type="pct"/>
                  <w:tcBorders>
                    <w:tl2br w:val="nil"/>
                    <w:tr2bl w:val="nil"/>
                  </w:tcBorders>
                  <w:noWrap w:val="0"/>
                  <w:vAlign w:val="center"/>
                </w:tcPr>
                <w:p w14:paraId="68B6C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是否达标</w:t>
                  </w:r>
                </w:p>
              </w:tc>
            </w:tr>
            <w:tr w14:paraId="2767AB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3" w:type="pct"/>
                  <w:vMerge w:val="restart"/>
                  <w:tcBorders>
                    <w:tl2br w:val="nil"/>
                    <w:tr2bl w:val="nil"/>
                  </w:tcBorders>
                  <w:noWrap w:val="0"/>
                  <w:vAlign w:val="center"/>
                </w:tcPr>
                <w:p w14:paraId="6234F6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color w:val="000000" w:themeColor="text1"/>
                      <w:sz w:val="21"/>
                      <w:szCs w:val="21"/>
                      <w:u w:val="none" w:color="auto"/>
                      <w:lang w:val="en-US" w:eastAsia="zh-CN"/>
                      <w14:textFill>
                        <w14:solidFill>
                          <w14:schemeClr w14:val="tx1"/>
                        </w14:solidFill>
                      </w14:textFill>
                    </w:rPr>
                  </w:pPr>
                  <w:r>
                    <w:rPr>
                      <w:rFonts w:hint="eastAsia" w:cs="Times New Roman"/>
                      <w:bCs/>
                      <w:sz w:val="21"/>
                      <w:szCs w:val="21"/>
                      <w:u w:val="none" w:color="auto"/>
                      <w:lang w:val="en-US" w:eastAsia="zh-CN"/>
                    </w:rPr>
                    <w:t>复合膜生产、铝箔膜生产、PE膜生产、消毒和RTO燃烧</w:t>
                  </w:r>
                </w:p>
              </w:tc>
              <w:tc>
                <w:tcPr>
                  <w:tcW w:w="829" w:type="pct"/>
                  <w:vMerge w:val="restart"/>
                  <w:tcBorders>
                    <w:tl2br w:val="nil"/>
                    <w:tr2bl w:val="nil"/>
                  </w:tcBorders>
                  <w:noWrap w:val="0"/>
                  <w:vAlign w:val="center"/>
                </w:tcPr>
                <w:p w14:paraId="1B5EC1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DA001</w:t>
                  </w:r>
                </w:p>
              </w:tc>
              <w:tc>
                <w:tcPr>
                  <w:tcW w:w="739" w:type="pct"/>
                  <w:tcBorders>
                    <w:tl2br w:val="nil"/>
                    <w:tr2bl w:val="nil"/>
                  </w:tcBorders>
                  <w:noWrap w:val="0"/>
                  <w:vAlign w:val="center"/>
                </w:tcPr>
                <w:p w14:paraId="3C7143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s="Times New Roman"/>
                      <w:bCs/>
                      <w:sz w:val="21"/>
                      <w:szCs w:val="21"/>
                      <w:u w:val="none" w:color="auto"/>
                      <w:lang w:val="en-US" w:eastAsia="zh-CN"/>
                    </w:rPr>
                    <w:t>NMHC</w:t>
                  </w:r>
                  <w:r>
                    <w:rPr>
                      <w:rFonts w:hint="eastAsia" w:ascii="Times New Roman" w:hAnsi="Times New Roman" w:cs="Times New Roman"/>
                      <w:color w:val="auto"/>
                      <w:sz w:val="21"/>
                      <w:szCs w:val="21"/>
                      <w:u w:val="none" w:color="auto"/>
                      <w:lang w:val="en-US" w:eastAsia="zh-CN"/>
                    </w:rPr>
                    <w:t xml:space="preserve"> </w:t>
                  </w:r>
                </w:p>
              </w:tc>
              <w:tc>
                <w:tcPr>
                  <w:tcW w:w="958" w:type="pct"/>
                  <w:tcBorders>
                    <w:tl2br w:val="nil"/>
                    <w:tr2bl w:val="nil"/>
                  </w:tcBorders>
                  <w:noWrap w:val="0"/>
                  <w:vAlign w:val="center"/>
                </w:tcPr>
                <w:p w14:paraId="6F31FD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r>
                    <w:rPr>
                      <w:rFonts w:hint="eastAsia"/>
                      <w:bCs/>
                      <w:color w:val="000000" w:themeColor="text1"/>
                      <w:sz w:val="21"/>
                      <w:szCs w:val="21"/>
                      <w:u w:val="none" w:color="auto"/>
                      <w:lang w:val="en-US" w:eastAsia="zh-CN"/>
                      <w14:textFill>
                        <w14:solidFill>
                          <w14:schemeClr w14:val="tx1"/>
                        </w14:solidFill>
                      </w14:textFill>
                    </w:rPr>
                    <w:t>）</w:t>
                  </w:r>
                </w:p>
              </w:tc>
              <w:tc>
                <w:tcPr>
                  <w:tcW w:w="536" w:type="pct"/>
                  <w:tcBorders>
                    <w:tl2br w:val="nil"/>
                    <w:tr2bl w:val="nil"/>
                  </w:tcBorders>
                  <w:noWrap w:val="0"/>
                  <w:vAlign w:val="center"/>
                </w:tcPr>
                <w:p w14:paraId="67F93C52">
                  <w:pPr>
                    <w:keepNext w:val="0"/>
                    <w:keepLines w:val="0"/>
                    <w:widowControl/>
                    <w:suppressLineNumbers w:val="0"/>
                    <w:spacing w:before="0" w:beforeAutospacing="0" w:after="0" w:afterAutospacing="0"/>
                    <w:ind w:left="0" w:right="0"/>
                    <w:jc w:val="center"/>
                    <w:textAlignment w:val="center"/>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1.286</w:t>
                  </w:r>
                </w:p>
              </w:tc>
              <w:tc>
                <w:tcPr>
                  <w:tcW w:w="713" w:type="pct"/>
                  <w:tcBorders>
                    <w:tl2br w:val="nil"/>
                    <w:tr2bl w:val="nil"/>
                  </w:tcBorders>
                  <w:noWrap w:val="0"/>
                  <w:vAlign w:val="center"/>
                </w:tcPr>
                <w:p w14:paraId="0B31A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40</w:t>
                  </w:r>
                </w:p>
              </w:tc>
              <w:tc>
                <w:tcPr>
                  <w:tcW w:w="569" w:type="pct"/>
                  <w:tcBorders>
                    <w:tl2br w:val="nil"/>
                    <w:tr2bl w:val="nil"/>
                  </w:tcBorders>
                  <w:noWrap w:val="0"/>
                  <w:vAlign w:val="center"/>
                </w:tcPr>
                <w:p w14:paraId="2945B3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是</w:t>
                  </w:r>
                </w:p>
              </w:tc>
            </w:tr>
            <w:tr w14:paraId="50BA2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3" w:type="pct"/>
                  <w:vMerge w:val="continue"/>
                  <w:tcBorders>
                    <w:tl2br w:val="nil"/>
                    <w:tr2bl w:val="nil"/>
                  </w:tcBorders>
                  <w:noWrap w:val="0"/>
                  <w:vAlign w:val="center"/>
                </w:tcPr>
                <w:p w14:paraId="5DBC83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s="Times New Roman"/>
                      <w:bCs/>
                      <w:sz w:val="21"/>
                      <w:szCs w:val="21"/>
                      <w:u w:val="none" w:color="auto"/>
                      <w:lang w:val="en-US" w:eastAsia="zh-CN"/>
                    </w:rPr>
                  </w:pPr>
                </w:p>
              </w:tc>
              <w:tc>
                <w:tcPr>
                  <w:tcW w:w="829" w:type="pct"/>
                  <w:vMerge w:val="continue"/>
                  <w:tcBorders>
                    <w:tl2br w:val="nil"/>
                    <w:tr2bl w:val="nil"/>
                  </w:tcBorders>
                  <w:noWrap w:val="0"/>
                  <w:vAlign w:val="center"/>
                </w:tcPr>
                <w:p w14:paraId="35F092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p>
              </w:tc>
              <w:tc>
                <w:tcPr>
                  <w:tcW w:w="739" w:type="pct"/>
                  <w:tcBorders>
                    <w:tl2br w:val="nil"/>
                    <w:tr2bl w:val="nil"/>
                  </w:tcBorders>
                  <w:shd w:val="clear" w:color="auto" w:fill="auto"/>
                  <w:noWrap w:val="0"/>
                  <w:vAlign w:val="center"/>
                </w:tcPr>
                <w:p w14:paraId="7DDF966D">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颗粒物</w:t>
                  </w:r>
                </w:p>
              </w:tc>
              <w:tc>
                <w:tcPr>
                  <w:tcW w:w="958" w:type="pct"/>
                  <w:tcBorders>
                    <w:tl2br w:val="nil"/>
                    <w:tr2bl w:val="nil"/>
                  </w:tcBorders>
                  <w:noWrap w:val="0"/>
                  <w:vAlign w:val="center"/>
                </w:tcPr>
                <w:p w14:paraId="029B62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r>
                    <w:rPr>
                      <w:rFonts w:hint="eastAsia"/>
                      <w:bCs/>
                      <w:color w:val="000000" w:themeColor="text1"/>
                      <w:sz w:val="21"/>
                      <w:szCs w:val="21"/>
                      <w:u w:val="none" w:color="auto"/>
                      <w:lang w:val="en-US" w:eastAsia="zh-CN"/>
                      <w14:textFill>
                        <w14:solidFill>
                          <w14:schemeClr w14:val="tx1"/>
                        </w14:solidFill>
                      </w14:textFill>
                    </w:rPr>
                    <w:t>）</w:t>
                  </w:r>
                </w:p>
              </w:tc>
              <w:tc>
                <w:tcPr>
                  <w:tcW w:w="909" w:type="dxa"/>
                  <w:tcBorders>
                    <w:tl2br w:val="nil"/>
                    <w:tr2bl w:val="nil"/>
                  </w:tcBorders>
                  <w:noWrap w:val="0"/>
                  <w:vAlign w:val="center"/>
                </w:tcPr>
                <w:p w14:paraId="47B54091">
                  <w:pPr>
                    <w:keepNext w:val="0"/>
                    <w:keepLines w:val="0"/>
                    <w:widowControl/>
                    <w:suppressLineNumbers w:val="0"/>
                    <w:spacing w:before="0" w:beforeAutospacing="0" w:after="0" w:afterAutospacing="0"/>
                    <w:ind w:left="0" w:leftChars="0" w:right="0" w:rightChars="0"/>
                    <w:jc w:val="center"/>
                    <w:textAlignment w:val="center"/>
                    <w:rPr>
                      <w:rFonts w:hint="default"/>
                      <w:bCs/>
                      <w:color w:val="000000" w:themeColor="text1"/>
                      <w:kern w:val="0"/>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0.05</w:t>
                  </w:r>
                </w:p>
              </w:tc>
              <w:tc>
                <w:tcPr>
                  <w:tcW w:w="713" w:type="pct"/>
                  <w:tcBorders>
                    <w:tl2br w:val="nil"/>
                    <w:tr2bl w:val="nil"/>
                  </w:tcBorders>
                  <w:noWrap w:val="0"/>
                  <w:vAlign w:val="center"/>
                </w:tcPr>
                <w:p w14:paraId="752273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30</w:t>
                  </w:r>
                </w:p>
              </w:tc>
              <w:tc>
                <w:tcPr>
                  <w:tcW w:w="569" w:type="pct"/>
                  <w:tcBorders>
                    <w:tl2br w:val="nil"/>
                    <w:tr2bl w:val="nil"/>
                  </w:tcBorders>
                  <w:noWrap w:val="0"/>
                  <w:vAlign w:val="center"/>
                </w:tcPr>
                <w:p w14:paraId="72A05E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是</w:t>
                  </w:r>
                </w:p>
              </w:tc>
            </w:tr>
            <w:tr w14:paraId="7C6BDC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3" w:type="pct"/>
                  <w:vMerge w:val="continue"/>
                  <w:tcBorders>
                    <w:tl2br w:val="nil"/>
                    <w:tr2bl w:val="nil"/>
                  </w:tcBorders>
                  <w:noWrap w:val="0"/>
                  <w:vAlign w:val="center"/>
                </w:tcPr>
                <w:p w14:paraId="40BD83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s="Times New Roman"/>
                      <w:bCs/>
                      <w:sz w:val="21"/>
                      <w:szCs w:val="21"/>
                      <w:u w:val="none" w:color="auto"/>
                      <w:lang w:val="en-US" w:eastAsia="zh-CN"/>
                    </w:rPr>
                  </w:pPr>
                </w:p>
              </w:tc>
              <w:tc>
                <w:tcPr>
                  <w:tcW w:w="829" w:type="pct"/>
                  <w:vMerge w:val="continue"/>
                  <w:tcBorders>
                    <w:tl2br w:val="nil"/>
                    <w:tr2bl w:val="nil"/>
                  </w:tcBorders>
                  <w:noWrap w:val="0"/>
                  <w:vAlign w:val="center"/>
                </w:tcPr>
                <w:p w14:paraId="1ABA7F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p>
              </w:tc>
              <w:tc>
                <w:tcPr>
                  <w:tcW w:w="739" w:type="pct"/>
                  <w:tcBorders>
                    <w:tl2br w:val="nil"/>
                    <w:tr2bl w:val="nil"/>
                  </w:tcBorders>
                  <w:shd w:val="clear" w:color="auto" w:fill="auto"/>
                  <w:noWrap w:val="0"/>
                  <w:vAlign w:val="center"/>
                </w:tcPr>
                <w:p w14:paraId="20B6D09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958" w:type="pct"/>
                  <w:tcBorders>
                    <w:tl2br w:val="nil"/>
                    <w:tr2bl w:val="nil"/>
                  </w:tcBorders>
                  <w:noWrap w:val="0"/>
                  <w:vAlign w:val="center"/>
                </w:tcPr>
                <w:p w14:paraId="1567F6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r>
                    <w:rPr>
                      <w:rFonts w:hint="eastAsia"/>
                      <w:bCs/>
                      <w:color w:val="000000" w:themeColor="text1"/>
                      <w:sz w:val="21"/>
                      <w:szCs w:val="21"/>
                      <w:u w:val="none" w:color="auto"/>
                      <w:lang w:val="en-US" w:eastAsia="zh-CN"/>
                      <w14:textFill>
                        <w14:solidFill>
                          <w14:schemeClr w14:val="tx1"/>
                        </w14:solidFill>
                      </w14:textFill>
                    </w:rPr>
                    <w:t>）</w:t>
                  </w:r>
                </w:p>
              </w:tc>
              <w:tc>
                <w:tcPr>
                  <w:tcW w:w="909" w:type="dxa"/>
                  <w:tcBorders>
                    <w:tl2br w:val="nil"/>
                    <w:tr2bl w:val="nil"/>
                  </w:tcBorders>
                  <w:noWrap w:val="0"/>
                  <w:vAlign w:val="center"/>
                </w:tcPr>
                <w:p w14:paraId="2B02055C">
                  <w:pPr>
                    <w:keepNext w:val="0"/>
                    <w:keepLines w:val="0"/>
                    <w:widowControl/>
                    <w:suppressLineNumbers w:val="0"/>
                    <w:spacing w:before="0" w:beforeAutospacing="0" w:after="0" w:afterAutospacing="0"/>
                    <w:ind w:left="0" w:leftChars="0" w:right="0" w:rightChars="0"/>
                    <w:jc w:val="center"/>
                    <w:textAlignment w:val="center"/>
                    <w:rPr>
                      <w:rFonts w:hint="eastAsia"/>
                      <w:bCs/>
                      <w:color w:val="000000" w:themeColor="text1"/>
                      <w:kern w:val="0"/>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0.05</w:t>
                  </w:r>
                </w:p>
              </w:tc>
              <w:tc>
                <w:tcPr>
                  <w:tcW w:w="713" w:type="pct"/>
                  <w:tcBorders>
                    <w:tl2br w:val="nil"/>
                    <w:tr2bl w:val="nil"/>
                  </w:tcBorders>
                  <w:noWrap w:val="0"/>
                  <w:vAlign w:val="center"/>
                </w:tcPr>
                <w:p w14:paraId="5F1F6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200</w:t>
                  </w:r>
                </w:p>
              </w:tc>
              <w:tc>
                <w:tcPr>
                  <w:tcW w:w="569" w:type="pct"/>
                  <w:tcBorders>
                    <w:tl2br w:val="nil"/>
                    <w:tr2bl w:val="nil"/>
                  </w:tcBorders>
                  <w:noWrap w:val="0"/>
                  <w:vAlign w:val="center"/>
                </w:tcPr>
                <w:p w14:paraId="3A8241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是</w:t>
                  </w:r>
                </w:p>
              </w:tc>
            </w:tr>
            <w:tr w14:paraId="074BE8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53" w:type="pct"/>
                  <w:vMerge w:val="continue"/>
                  <w:tcBorders>
                    <w:tl2br w:val="nil"/>
                    <w:tr2bl w:val="nil"/>
                  </w:tcBorders>
                  <w:noWrap w:val="0"/>
                  <w:vAlign w:val="center"/>
                </w:tcPr>
                <w:p w14:paraId="0E958C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s="Times New Roman"/>
                      <w:bCs/>
                      <w:sz w:val="21"/>
                      <w:szCs w:val="21"/>
                      <w:u w:val="none" w:color="auto"/>
                      <w:lang w:val="en-US" w:eastAsia="zh-CN"/>
                    </w:rPr>
                  </w:pPr>
                </w:p>
              </w:tc>
              <w:tc>
                <w:tcPr>
                  <w:tcW w:w="829" w:type="pct"/>
                  <w:vMerge w:val="continue"/>
                  <w:tcBorders>
                    <w:tl2br w:val="nil"/>
                    <w:tr2bl w:val="nil"/>
                  </w:tcBorders>
                  <w:noWrap w:val="0"/>
                  <w:vAlign w:val="center"/>
                </w:tcPr>
                <w:p w14:paraId="2DAACB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p>
              </w:tc>
              <w:tc>
                <w:tcPr>
                  <w:tcW w:w="739" w:type="pct"/>
                  <w:tcBorders>
                    <w:tl2br w:val="nil"/>
                    <w:tr2bl w:val="nil"/>
                  </w:tcBorders>
                  <w:shd w:val="clear" w:color="auto" w:fill="auto"/>
                  <w:noWrap w:val="0"/>
                  <w:vAlign w:val="center"/>
                </w:tcPr>
                <w:p w14:paraId="4DEE918F">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958" w:type="pct"/>
                  <w:tcBorders>
                    <w:tl2br w:val="nil"/>
                    <w:tr2bl w:val="nil"/>
                  </w:tcBorders>
                  <w:noWrap w:val="0"/>
                  <w:vAlign w:val="center"/>
                </w:tcPr>
                <w:p w14:paraId="045F3B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r>
                    <w:rPr>
                      <w:rFonts w:hint="eastAsia"/>
                      <w:bCs/>
                      <w:color w:val="000000" w:themeColor="text1"/>
                      <w:sz w:val="21"/>
                      <w:szCs w:val="21"/>
                      <w:u w:val="none" w:color="auto"/>
                      <w:lang w:val="en-US" w:eastAsia="zh-CN"/>
                      <w14:textFill>
                        <w14:solidFill>
                          <w14:schemeClr w14:val="tx1"/>
                        </w14:solidFill>
                      </w14:textFill>
                    </w:rPr>
                    <w:t>）</w:t>
                  </w:r>
                </w:p>
              </w:tc>
              <w:tc>
                <w:tcPr>
                  <w:tcW w:w="909" w:type="dxa"/>
                  <w:tcBorders>
                    <w:tl2br w:val="nil"/>
                    <w:tr2bl w:val="nil"/>
                  </w:tcBorders>
                  <w:noWrap w:val="0"/>
                  <w:vAlign w:val="center"/>
                </w:tcPr>
                <w:p w14:paraId="24486EEC">
                  <w:pPr>
                    <w:keepNext w:val="0"/>
                    <w:keepLines w:val="0"/>
                    <w:widowControl/>
                    <w:suppressLineNumbers w:val="0"/>
                    <w:spacing w:before="0" w:beforeAutospacing="0" w:after="0" w:afterAutospacing="0"/>
                    <w:ind w:left="0" w:leftChars="0" w:right="0" w:rightChars="0"/>
                    <w:jc w:val="center"/>
                    <w:textAlignment w:val="center"/>
                    <w:rPr>
                      <w:rFonts w:hint="eastAsia"/>
                      <w:bCs/>
                      <w:color w:val="000000" w:themeColor="text1"/>
                      <w:kern w:val="0"/>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0.77</w:t>
                  </w:r>
                </w:p>
              </w:tc>
              <w:tc>
                <w:tcPr>
                  <w:tcW w:w="713" w:type="pct"/>
                  <w:tcBorders>
                    <w:tl2br w:val="nil"/>
                    <w:tr2bl w:val="nil"/>
                  </w:tcBorders>
                  <w:noWrap w:val="0"/>
                  <w:vAlign w:val="center"/>
                </w:tcPr>
                <w:p w14:paraId="38508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200</w:t>
                  </w:r>
                </w:p>
              </w:tc>
              <w:tc>
                <w:tcPr>
                  <w:tcW w:w="569" w:type="pct"/>
                  <w:tcBorders>
                    <w:tl2br w:val="nil"/>
                    <w:tr2bl w:val="nil"/>
                  </w:tcBorders>
                  <w:noWrap w:val="0"/>
                  <w:vAlign w:val="center"/>
                </w:tcPr>
                <w:p w14:paraId="57C8AF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是</w:t>
                  </w:r>
                </w:p>
              </w:tc>
            </w:tr>
          </w:tbl>
          <w:p w14:paraId="44A94267">
            <w:pPr>
              <w:keepNext w:val="0"/>
              <w:keepLines w:val="0"/>
              <w:suppressLineNumbers w:val="0"/>
              <w:adjustRightInd w:val="0"/>
              <w:snapToGrid w:val="0"/>
              <w:spacing w:before="120" w:beforeLines="50" w:beforeAutospacing="0" w:after="0" w:afterAutospacing="0" w:line="360" w:lineRule="auto"/>
              <w:ind w:left="0" w:right="0" w:firstLine="422" w:firstLineChars="200"/>
              <w:jc w:val="center"/>
              <w:rPr>
                <w:rFonts w:hint="default" w:ascii="Times New Roman" w:hAnsi="Times New Roman" w:cs="Times New Roman"/>
                <w:b/>
                <w:bCs/>
                <w:u w:val="none"/>
              </w:rPr>
            </w:pPr>
            <w:r>
              <w:rPr>
                <w:rFonts w:hint="eastAsia" w:ascii="Times New Roman" w:hAnsi="Times New Roman" w:cs="Times New Roman"/>
                <w:b/>
                <w:color w:val="000000"/>
                <w:szCs w:val="21"/>
                <w:u w:val="none"/>
              </w:rPr>
              <w:t>表4-</w:t>
            </w:r>
            <w:r>
              <w:rPr>
                <w:rFonts w:hint="eastAsia" w:cs="Times New Roman"/>
                <w:b/>
                <w:color w:val="000000"/>
                <w:szCs w:val="21"/>
                <w:u w:val="none"/>
                <w:lang w:val="en-US" w:eastAsia="zh-CN"/>
              </w:rPr>
              <w:t>4</w:t>
            </w:r>
            <w:r>
              <w:rPr>
                <w:rFonts w:hint="eastAsia" w:ascii="Times New Roman" w:hAnsi="Times New Roman" w:cs="Times New Roman"/>
                <w:b/>
                <w:color w:val="000000"/>
                <w:szCs w:val="21"/>
                <w:u w:val="none"/>
              </w:rPr>
              <w:t xml:space="preserve">  </w:t>
            </w:r>
            <w:r>
              <w:rPr>
                <w:rFonts w:hint="default" w:ascii="Times New Roman" w:hAnsi="Times New Roman" w:cs="Times New Roman"/>
                <w:b/>
                <w:bCs/>
                <w:u w:val="none"/>
              </w:rPr>
              <w:t xml:space="preserve"> </w:t>
            </w:r>
            <w:r>
              <w:rPr>
                <w:rFonts w:hint="eastAsia" w:ascii="Times New Roman" w:hAnsi="Times New Roman" w:cs="Times New Roman"/>
                <w:b/>
                <w:u w:val="none"/>
              </w:rPr>
              <w:t>大气污染无组织排放量核算表</w:t>
            </w:r>
          </w:p>
          <w:tbl>
            <w:tblPr>
              <w:tblStyle w:val="44"/>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794"/>
              <w:gridCol w:w="1138"/>
              <w:gridCol w:w="1480"/>
              <w:gridCol w:w="2232"/>
              <w:gridCol w:w="1207"/>
              <w:gridCol w:w="1055"/>
            </w:tblGrid>
            <w:tr w14:paraId="23EE3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8" w:type="pct"/>
                  <w:vMerge w:val="restart"/>
                  <w:tcBorders>
                    <w:tl2br w:val="nil"/>
                    <w:tr2bl w:val="nil"/>
                  </w:tcBorders>
                  <w:noWrap w:val="0"/>
                  <w:vAlign w:val="center"/>
                </w:tcPr>
                <w:p w14:paraId="395F5350">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bookmarkStart w:id="5" w:name="_Hlk76562636"/>
                  <w:r>
                    <w:rPr>
                      <w:rFonts w:hint="eastAsia" w:cs="Times New Roman"/>
                      <w:b w:val="0"/>
                      <w:bCs/>
                      <w:sz w:val="21"/>
                      <w:szCs w:val="21"/>
                      <w:u w:val="none"/>
                    </w:rPr>
                    <w:t>序号</w:t>
                  </w:r>
                </w:p>
              </w:tc>
              <w:tc>
                <w:tcPr>
                  <w:tcW w:w="468" w:type="pct"/>
                  <w:vMerge w:val="restart"/>
                  <w:tcBorders>
                    <w:tl2br w:val="nil"/>
                    <w:tr2bl w:val="nil"/>
                  </w:tcBorders>
                  <w:noWrap w:val="0"/>
                  <w:vAlign w:val="center"/>
                </w:tcPr>
                <w:p w14:paraId="498B9C80">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排放口编号</w:t>
                  </w:r>
                </w:p>
              </w:tc>
              <w:tc>
                <w:tcPr>
                  <w:tcW w:w="671" w:type="pct"/>
                  <w:vMerge w:val="restart"/>
                  <w:tcBorders>
                    <w:tl2br w:val="nil"/>
                    <w:tr2bl w:val="nil"/>
                  </w:tcBorders>
                  <w:noWrap w:val="0"/>
                  <w:vAlign w:val="center"/>
                </w:tcPr>
                <w:p w14:paraId="42D2FE38">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产污环节</w:t>
                  </w:r>
                </w:p>
              </w:tc>
              <w:tc>
                <w:tcPr>
                  <w:tcW w:w="873" w:type="pct"/>
                  <w:vMerge w:val="restart"/>
                  <w:tcBorders>
                    <w:tl2br w:val="nil"/>
                    <w:tr2bl w:val="nil"/>
                  </w:tcBorders>
                  <w:noWrap w:val="0"/>
                  <w:vAlign w:val="center"/>
                </w:tcPr>
                <w:p w14:paraId="4D86A356">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污染物</w:t>
                  </w:r>
                </w:p>
              </w:tc>
              <w:tc>
                <w:tcPr>
                  <w:tcW w:w="2028" w:type="pct"/>
                  <w:gridSpan w:val="2"/>
                  <w:tcBorders>
                    <w:tl2br w:val="nil"/>
                    <w:tr2bl w:val="nil"/>
                  </w:tcBorders>
                  <w:noWrap w:val="0"/>
                  <w:vAlign w:val="center"/>
                </w:tcPr>
                <w:p w14:paraId="192BD1B9">
                  <w:pPr>
                    <w:pStyle w:val="66"/>
                    <w:keepNext w:val="0"/>
                    <w:keepLines w:val="0"/>
                    <w:suppressLineNumbers w:val="0"/>
                    <w:spacing w:before="0" w:beforeAutospacing="0" w:after="0" w:afterAutospacing="0"/>
                    <w:ind w:left="0" w:right="0"/>
                    <w:jc w:val="center"/>
                    <w:rPr>
                      <w:rFonts w:cs="Times New Roman"/>
                      <w:b w:val="0"/>
                      <w:bCs/>
                      <w:sz w:val="21"/>
                      <w:szCs w:val="21"/>
                      <w:u w:val="none"/>
                    </w:rPr>
                  </w:pPr>
                  <w:r>
                    <w:rPr>
                      <w:rFonts w:hint="eastAsia" w:cs="Times New Roman"/>
                      <w:b w:val="0"/>
                      <w:bCs/>
                      <w:sz w:val="21"/>
                      <w:szCs w:val="21"/>
                      <w:u w:val="none"/>
                    </w:rPr>
                    <w:t>国家或地方污染物排放标准</w:t>
                  </w:r>
                </w:p>
              </w:tc>
              <w:tc>
                <w:tcPr>
                  <w:tcW w:w="620" w:type="pct"/>
                  <w:vMerge w:val="restart"/>
                  <w:tcBorders>
                    <w:tl2br w:val="nil"/>
                    <w:tr2bl w:val="nil"/>
                  </w:tcBorders>
                  <w:noWrap w:val="0"/>
                  <w:vAlign w:val="center"/>
                </w:tcPr>
                <w:p w14:paraId="412F78E7">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年排放量</w:t>
                  </w:r>
                  <w:r>
                    <w:rPr>
                      <w:rFonts w:hAnsi="宋体" w:cs="Times New Roman"/>
                      <w:b w:val="0"/>
                      <w:bCs/>
                      <w:sz w:val="21"/>
                      <w:szCs w:val="21"/>
                      <w:u w:val="none"/>
                    </w:rPr>
                    <w:t>(</w:t>
                  </w:r>
                  <w:r>
                    <w:rPr>
                      <w:rFonts w:ascii="Times New Roman" w:cs="Times New Roman"/>
                      <w:b w:val="0"/>
                      <w:bCs/>
                      <w:sz w:val="21"/>
                      <w:szCs w:val="21"/>
                      <w:u w:val="none"/>
                    </w:rPr>
                    <w:t>t/a</w:t>
                  </w:r>
                  <w:r>
                    <w:rPr>
                      <w:rFonts w:hAnsi="宋体" w:cs="Times New Roman"/>
                      <w:b w:val="0"/>
                      <w:bCs/>
                      <w:sz w:val="21"/>
                      <w:szCs w:val="21"/>
                      <w:u w:val="none"/>
                    </w:rPr>
                    <w:t>)</w:t>
                  </w:r>
                </w:p>
              </w:tc>
            </w:tr>
            <w:tr w14:paraId="67D43B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8" w:type="pct"/>
                  <w:vMerge w:val="continue"/>
                  <w:tcBorders>
                    <w:tl2br w:val="nil"/>
                    <w:tr2bl w:val="nil"/>
                  </w:tcBorders>
                  <w:noWrap w:val="0"/>
                  <w:vAlign w:val="center"/>
                </w:tcPr>
                <w:p w14:paraId="0983193E">
                  <w:pPr>
                    <w:pStyle w:val="66"/>
                    <w:keepNext w:val="0"/>
                    <w:keepLines w:val="0"/>
                    <w:suppressLineNumbers w:val="0"/>
                    <w:spacing w:before="0" w:beforeAutospacing="0" w:after="0" w:afterAutospacing="0"/>
                    <w:ind w:left="0" w:right="0"/>
                    <w:jc w:val="center"/>
                    <w:rPr>
                      <w:rFonts w:cs="Times New Roman"/>
                      <w:b w:val="0"/>
                      <w:bCs/>
                      <w:sz w:val="21"/>
                      <w:szCs w:val="21"/>
                      <w:u w:val="none"/>
                    </w:rPr>
                  </w:pPr>
                </w:p>
              </w:tc>
              <w:tc>
                <w:tcPr>
                  <w:tcW w:w="468" w:type="pct"/>
                  <w:vMerge w:val="continue"/>
                  <w:tcBorders>
                    <w:tl2br w:val="nil"/>
                    <w:tr2bl w:val="nil"/>
                  </w:tcBorders>
                  <w:noWrap w:val="0"/>
                  <w:vAlign w:val="center"/>
                </w:tcPr>
                <w:p w14:paraId="4D15BB43">
                  <w:pPr>
                    <w:pStyle w:val="66"/>
                    <w:keepNext w:val="0"/>
                    <w:keepLines w:val="0"/>
                    <w:suppressLineNumbers w:val="0"/>
                    <w:spacing w:before="0" w:beforeAutospacing="0" w:after="0" w:afterAutospacing="0"/>
                    <w:ind w:left="0" w:right="0"/>
                    <w:jc w:val="center"/>
                    <w:rPr>
                      <w:rFonts w:cs="Times New Roman"/>
                      <w:b w:val="0"/>
                      <w:bCs/>
                      <w:sz w:val="21"/>
                      <w:szCs w:val="21"/>
                      <w:u w:val="none"/>
                    </w:rPr>
                  </w:pPr>
                </w:p>
              </w:tc>
              <w:tc>
                <w:tcPr>
                  <w:tcW w:w="671" w:type="pct"/>
                  <w:vMerge w:val="continue"/>
                  <w:tcBorders>
                    <w:tl2br w:val="nil"/>
                    <w:tr2bl w:val="nil"/>
                  </w:tcBorders>
                  <w:noWrap w:val="0"/>
                  <w:vAlign w:val="center"/>
                </w:tcPr>
                <w:p w14:paraId="5B7E1D88">
                  <w:pPr>
                    <w:pStyle w:val="66"/>
                    <w:keepNext w:val="0"/>
                    <w:keepLines w:val="0"/>
                    <w:suppressLineNumbers w:val="0"/>
                    <w:spacing w:before="0" w:beforeAutospacing="0" w:after="0" w:afterAutospacing="0"/>
                    <w:ind w:left="0" w:right="0"/>
                    <w:jc w:val="center"/>
                    <w:rPr>
                      <w:rFonts w:cs="Times New Roman"/>
                      <w:b w:val="0"/>
                      <w:bCs/>
                      <w:sz w:val="21"/>
                      <w:szCs w:val="21"/>
                      <w:u w:val="none"/>
                    </w:rPr>
                  </w:pPr>
                </w:p>
              </w:tc>
              <w:tc>
                <w:tcPr>
                  <w:tcW w:w="873" w:type="pct"/>
                  <w:vMerge w:val="continue"/>
                  <w:tcBorders>
                    <w:tl2br w:val="nil"/>
                    <w:tr2bl w:val="nil"/>
                  </w:tcBorders>
                  <w:noWrap w:val="0"/>
                  <w:vAlign w:val="center"/>
                </w:tcPr>
                <w:p w14:paraId="66E9E348">
                  <w:pPr>
                    <w:pStyle w:val="66"/>
                    <w:keepNext w:val="0"/>
                    <w:keepLines w:val="0"/>
                    <w:suppressLineNumbers w:val="0"/>
                    <w:spacing w:before="0" w:beforeAutospacing="0" w:after="0" w:afterAutospacing="0"/>
                    <w:ind w:left="0" w:right="0"/>
                    <w:jc w:val="center"/>
                    <w:rPr>
                      <w:rFonts w:cs="Times New Roman"/>
                      <w:b w:val="0"/>
                      <w:bCs/>
                      <w:sz w:val="21"/>
                      <w:szCs w:val="21"/>
                      <w:u w:val="none"/>
                    </w:rPr>
                  </w:pPr>
                </w:p>
              </w:tc>
              <w:tc>
                <w:tcPr>
                  <w:tcW w:w="1316" w:type="pct"/>
                  <w:tcBorders>
                    <w:tl2br w:val="nil"/>
                    <w:tr2bl w:val="nil"/>
                  </w:tcBorders>
                  <w:noWrap w:val="0"/>
                  <w:vAlign w:val="center"/>
                </w:tcPr>
                <w:p w14:paraId="24F6AEDE">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标准名称</w:t>
                  </w:r>
                </w:p>
              </w:tc>
              <w:tc>
                <w:tcPr>
                  <w:tcW w:w="711" w:type="pct"/>
                  <w:tcBorders>
                    <w:tl2br w:val="nil"/>
                    <w:tr2bl w:val="nil"/>
                  </w:tcBorders>
                  <w:noWrap w:val="0"/>
                  <w:vAlign w:val="center"/>
                </w:tcPr>
                <w:p w14:paraId="6767255B">
                  <w:pPr>
                    <w:pStyle w:val="66"/>
                    <w:keepNext w:val="0"/>
                    <w:keepLines w:val="0"/>
                    <w:suppressLineNumbers w:val="0"/>
                    <w:spacing w:before="0" w:beforeAutospacing="0" w:after="0" w:afterAutospacing="0"/>
                    <w:ind w:left="0" w:leftChars="0" w:right="0" w:firstLine="0" w:firstLineChars="0"/>
                    <w:jc w:val="center"/>
                    <w:rPr>
                      <w:rFonts w:cs="Times New Roman"/>
                      <w:b w:val="0"/>
                      <w:bCs/>
                      <w:sz w:val="21"/>
                      <w:szCs w:val="21"/>
                      <w:u w:val="none"/>
                    </w:rPr>
                  </w:pPr>
                  <w:r>
                    <w:rPr>
                      <w:rFonts w:hint="eastAsia" w:cs="Times New Roman"/>
                      <w:b w:val="0"/>
                      <w:bCs/>
                      <w:sz w:val="21"/>
                      <w:szCs w:val="21"/>
                      <w:u w:val="none"/>
                    </w:rPr>
                    <w:t>浓度限值</w:t>
                  </w:r>
                </w:p>
              </w:tc>
              <w:tc>
                <w:tcPr>
                  <w:tcW w:w="620" w:type="pct"/>
                  <w:vMerge w:val="continue"/>
                  <w:tcBorders>
                    <w:tl2br w:val="nil"/>
                    <w:tr2bl w:val="nil"/>
                  </w:tcBorders>
                  <w:noWrap w:val="0"/>
                  <w:vAlign w:val="center"/>
                </w:tcPr>
                <w:p w14:paraId="0225EC2D">
                  <w:pPr>
                    <w:pStyle w:val="66"/>
                    <w:keepNext w:val="0"/>
                    <w:keepLines w:val="0"/>
                    <w:suppressLineNumbers w:val="0"/>
                    <w:spacing w:before="0" w:beforeAutospacing="0" w:after="0" w:afterAutospacing="0"/>
                    <w:ind w:left="0" w:right="0"/>
                    <w:jc w:val="center"/>
                    <w:rPr>
                      <w:rFonts w:cs="Times New Roman"/>
                      <w:b w:val="0"/>
                      <w:bCs/>
                      <w:sz w:val="21"/>
                      <w:szCs w:val="21"/>
                      <w:u w:val="none"/>
                    </w:rPr>
                  </w:pPr>
                </w:p>
              </w:tc>
            </w:tr>
            <w:tr w14:paraId="21345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8" w:type="pct"/>
                  <w:tcBorders>
                    <w:tl2br w:val="nil"/>
                    <w:tr2bl w:val="nil"/>
                  </w:tcBorders>
                  <w:noWrap w:val="0"/>
                  <w:vAlign w:val="center"/>
                </w:tcPr>
                <w:p w14:paraId="08397076">
                  <w:pPr>
                    <w:pStyle w:val="66"/>
                    <w:keepNext w:val="0"/>
                    <w:keepLines w:val="0"/>
                    <w:suppressLineNumbers w:val="0"/>
                    <w:spacing w:before="0" w:beforeAutospacing="0" w:after="0" w:afterAutospacing="0"/>
                    <w:ind w:left="0" w:leftChars="0" w:right="0" w:firstLine="0" w:firstLineChars="0"/>
                    <w:jc w:val="center"/>
                    <w:rPr>
                      <w:rFonts w:ascii="Times New Roman" w:cs="Times New Roman"/>
                      <w:b w:val="0"/>
                      <w:bCs/>
                      <w:sz w:val="21"/>
                      <w:szCs w:val="21"/>
                      <w:u w:val="none"/>
                    </w:rPr>
                  </w:pPr>
                  <w:r>
                    <w:rPr>
                      <w:rFonts w:hint="eastAsia" w:ascii="Times New Roman" w:cs="Times New Roman"/>
                      <w:b w:val="0"/>
                      <w:bCs/>
                      <w:sz w:val="21"/>
                      <w:szCs w:val="21"/>
                      <w:u w:val="none"/>
                    </w:rPr>
                    <w:t>1</w:t>
                  </w:r>
                </w:p>
              </w:tc>
              <w:tc>
                <w:tcPr>
                  <w:tcW w:w="468" w:type="pct"/>
                  <w:tcBorders>
                    <w:tl2br w:val="nil"/>
                    <w:tr2bl w:val="nil"/>
                  </w:tcBorders>
                  <w:noWrap w:val="0"/>
                  <w:vAlign w:val="center"/>
                </w:tcPr>
                <w:p w14:paraId="71D3A7A5">
                  <w:pPr>
                    <w:pStyle w:val="66"/>
                    <w:keepNext w:val="0"/>
                    <w:keepLines w:val="0"/>
                    <w:suppressLineNumbers w:val="0"/>
                    <w:spacing w:before="0" w:beforeAutospacing="0" w:after="0" w:afterAutospacing="0"/>
                    <w:ind w:left="0" w:leftChars="0" w:right="0" w:firstLine="0" w:firstLineChars="0"/>
                    <w:jc w:val="center"/>
                    <w:rPr>
                      <w:rFonts w:ascii="Times New Roman" w:cs="Times New Roman"/>
                      <w:b w:val="0"/>
                      <w:bCs/>
                      <w:sz w:val="21"/>
                      <w:szCs w:val="21"/>
                      <w:u w:val="none"/>
                    </w:rPr>
                  </w:pPr>
                  <w:r>
                    <w:rPr>
                      <w:rFonts w:ascii="Times New Roman" w:cs="Times New Roman"/>
                      <w:b w:val="0"/>
                      <w:bCs/>
                      <w:sz w:val="21"/>
                      <w:szCs w:val="21"/>
                      <w:u w:val="none"/>
                    </w:rPr>
                    <w:t>/</w:t>
                  </w:r>
                </w:p>
              </w:tc>
              <w:tc>
                <w:tcPr>
                  <w:tcW w:w="671" w:type="pct"/>
                  <w:tcBorders>
                    <w:tl2br w:val="nil"/>
                    <w:tr2bl w:val="nil"/>
                  </w:tcBorders>
                  <w:noWrap w:val="0"/>
                  <w:vAlign w:val="center"/>
                </w:tcPr>
                <w:p w14:paraId="241BD58A">
                  <w:pPr>
                    <w:pStyle w:val="66"/>
                    <w:keepNext w:val="0"/>
                    <w:keepLines w:val="0"/>
                    <w:suppressLineNumbers w:val="0"/>
                    <w:spacing w:before="0" w:beforeAutospacing="0" w:after="0" w:afterAutospacing="0"/>
                    <w:ind w:left="0" w:leftChars="0" w:right="0" w:firstLine="0" w:firstLineChars="0"/>
                    <w:jc w:val="center"/>
                    <w:rPr>
                      <w:rFonts w:hint="default" w:eastAsia="宋体" w:cs="Times New Roman"/>
                      <w:b w:val="0"/>
                      <w:bCs/>
                      <w:sz w:val="21"/>
                      <w:szCs w:val="21"/>
                      <w:u w:val="none"/>
                      <w:lang w:val="en-US" w:eastAsia="zh-CN"/>
                    </w:rPr>
                  </w:pPr>
                  <w:r>
                    <w:rPr>
                      <w:rFonts w:hint="eastAsia" w:cs="Times New Roman"/>
                      <w:bCs/>
                      <w:sz w:val="21"/>
                      <w:szCs w:val="21"/>
                      <w:u w:val="none"/>
                      <w:lang w:val="en-US" w:eastAsia="zh-CN"/>
                    </w:rPr>
                    <w:t>复合膜生产、铝箔膜生产、PE膜生产、消毒</w:t>
                  </w:r>
                </w:p>
              </w:tc>
              <w:tc>
                <w:tcPr>
                  <w:tcW w:w="873" w:type="pct"/>
                  <w:tcBorders>
                    <w:tl2br w:val="nil"/>
                    <w:tr2bl w:val="nil"/>
                  </w:tcBorders>
                  <w:noWrap w:val="0"/>
                  <w:vAlign w:val="center"/>
                </w:tcPr>
                <w:p w14:paraId="03A2F0B2">
                  <w:pPr>
                    <w:pStyle w:val="66"/>
                    <w:keepNext w:val="0"/>
                    <w:keepLines w:val="0"/>
                    <w:suppressLineNumbers w:val="0"/>
                    <w:spacing w:before="0" w:beforeAutospacing="0" w:after="0" w:afterAutospacing="0"/>
                    <w:ind w:left="0" w:leftChars="0" w:right="0" w:firstLine="0" w:firstLineChars="0"/>
                    <w:jc w:val="center"/>
                    <w:rPr>
                      <w:rFonts w:hint="eastAsia" w:eastAsia="宋体" w:cs="Times New Roman"/>
                      <w:b w:val="0"/>
                      <w:bCs/>
                      <w:sz w:val="21"/>
                      <w:szCs w:val="21"/>
                      <w:u w:val="none"/>
                      <w:lang w:eastAsia="zh-CN"/>
                    </w:rPr>
                  </w:pPr>
                  <w:r>
                    <w:rPr>
                      <w:rFonts w:hint="eastAsia" w:cs="Times New Roman"/>
                      <w:bCs/>
                      <w:sz w:val="21"/>
                      <w:szCs w:val="21"/>
                      <w:u w:val="none"/>
                      <w:lang w:val="en-US" w:eastAsia="zh-CN"/>
                    </w:rPr>
                    <w:t>NMHC</w:t>
                  </w:r>
                </w:p>
              </w:tc>
              <w:tc>
                <w:tcPr>
                  <w:tcW w:w="1316" w:type="pct"/>
                  <w:tcBorders>
                    <w:tl2br w:val="nil"/>
                    <w:tr2bl w:val="nil"/>
                  </w:tcBorders>
                  <w:noWrap w:val="0"/>
                  <w:vAlign w:val="center"/>
                </w:tcPr>
                <w:p w14:paraId="6F5F232B">
                  <w:pPr>
                    <w:pStyle w:val="66"/>
                    <w:keepNext w:val="0"/>
                    <w:keepLines w:val="0"/>
                    <w:suppressLineNumbers w:val="0"/>
                    <w:spacing w:before="0" w:beforeAutospacing="0" w:after="0" w:afterAutospacing="0"/>
                    <w:ind w:left="0" w:right="0"/>
                    <w:jc w:val="center"/>
                    <w:rPr>
                      <w:rFonts w:ascii="Times New Roman" w:cs="Times New Roman"/>
                      <w:b w:val="0"/>
                      <w:bCs/>
                      <w:sz w:val="21"/>
                      <w:szCs w:val="21"/>
                      <w:u w:val="none"/>
                    </w:rPr>
                  </w:pPr>
                  <w:r>
                    <w:rPr>
                      <w:rFonts w:hint="eastAsia" w:ascii="Times New Roman" w:cs="Times New Roman"/>
                      <w:b w:val="0"/>
                      <w:bCs/>
                      <w:sz w:val="21"/>
                      <w:szCs w:val="21"/>
                      <w:u w:val="none"/>
                    </w:rPr>
                    <w:t>《工业企业挥发性有机物排放标准》（DB43/3550-2026）</w:t>
                  </w:r>
                </w:p>
              </w:tc>
              <w:tc>
                <w:tcPr>
                  <w:tcW w:w="711" w:type="pct"/>
                  <w:tcBorders>
                    <w:tl2br w:val="nil"/>
                    <w:tr2bl w:val="nil"/>
                  </w:tcBorders>
                  <w:noWrap w:val="0"/>
                  <w:vAlign w:val="center"/>
                </w:tcPr>
                <w:p w14:paraId="3D613DC3">
                  <w:pPr>
                    <w:pStyle w:val="66"/>
                    <w:keepNext w:val="0"/>
                    <w:keepLines w:val="0"/>
                    <w:suppressLineNumbers w:val="0"/>
                    <w:spacing w:before="0" w:beforeAutospacing="0" w:after="0" w:afterAutospacing="0"/>
                    <w:ind w:left="0" w:leftChars="0" w:right="0" w:firstLine="0" w:firstLineChars="0"/>
                    <w:jc w:val="center"/>
                    <w:rPr>
                      <w:rFonts w:ascii="Times New Roman" w:cs="Times New Roman"/>
                      <w:b w:val="0"/>
                      <w:bCs/>
                      <w:sz w:val="21"/>
                      <w:szCs w:val="21"/>
                      <w:u w:val="none"/>
                    </w:rPr>
                  </w:pPr>
                  <w:r>
                    <w:rPr>
                      <w:rFonts w:hint="eastAsia" w:cs="Times New Roman"/>
                      <w:b w:val="0"/>
                      <w:bCs/>
                      <w:sz w:val="21"/>
                      <w:szCs w:val="21"/>
                      <w:u w:val="none"/>
                      <w:lang w:val="en-US" w:eastAsia="zh-CN"/>
                    </w:rPr>
                    <w:t>1</w:t>
                  </w:r>
                  <w:r>
                    <w:rPr>
                      <w:rFonts w:hint="eastAsia" w:ascii="Times New Roman" w:cs="Times New Roman"/>
                      <w:b w:val="0"/>
                      <w:bCs/>
                      <w:sz w:val="21"/>
                      <w:szCs w:val="21"/>
                      <w:u w:val="none"/>
                    </w:rPr>
                    <w:t>.0mg</w:t>
                  </w:r>
                  <w:r>
                    <w:rPr>
                      <w:rFonts w:ascii="Times New Roman" w:cs="Times New Roman"/>
                      <w:b w:val="0"/>
                      <w:bCs/>
                      <w:sz w:val="21"/>
                      <w:szCs w:val="21"/>
                      <w:u w:val="none"/>
                    </w:rPr>
                    <w:t>/</w:t>
                  </w:r>
                  <w:r>
                    <w:rPr>
                      <w:rFonts w:hint="eastAsia" w:ascii="Times New Roman" w:cs="Times New Roman"/>
                      <w:b w:val="0"/>
                      <w:bCs/>
                      <w:sz w:val="21"/>
                      <w:szCs w:val="21"/>
                      <w:u w:val="none"/>
                    </w:rPr>
                    <w:t>m</w:t>
                  </w:r>
                  <w:r>
                    <w:rPr>
                      <w:rFonts w:ascii="Times New Roman" w:cs="Times New Roman"/>
                      <w:b w:val="0"/>
                      <w:bCs/>
                      <w:sz w:val="21"/>
                      <w:szCs w:val="21"/>
                      <w:u w:val="none"/>
                      <w:vertAlign w:val="superscript"/>
                    </w:rPr>
                    <w:t>3</w:t>
                  </w:r>
                </w:p>
              </w:tc>
              <w:tc>
                <w:tcPr>
                  <w:tcW w:w="620" w:type="pct"/>
                  <w:tcBorders>
                    <w:tl2br w:val="nil"/>
                    <w:tr2bl w:val="nil"/>
                  </w:tcBorders>
                  <w:noWrap w:val="0"/>
                  <w:vAlign w:val="center"/>
                </w:tcPr>
                <w:p w14:paraId="6838C546">
                  <w:pPr>
                    <w:pStyle w:val="66"/>
                    <w:keepNext w:val="0"/>
                    <w:keepLines w:val="0"/>
                    <w:suppressLineNumbers w:val="0"/>
                    <w:spacing w:before="0" w:beforeAutospacing="0" w:after="0" w:afterAutospacing="0"/>
                    <w:ind w:left="0" w:leftChars="0" w:right="0" w:firstLine="0" w:firstLineChars="0"/>
                    <w:jc w:val="center"/>
                    <w:rPr>
                      <w:rFonts w:hint="default" w:ascii="Times New Roman" w:eastAsia="宋体" w:cs="Times New Roman"/>
                      <w:b w:val="0"/>
                      <w:bCs/>
                      <w:sz w:val="21"/>
                      <w:szCs w:val="21"/>
                      <w:u w:val="none"/>
                      <w:lang w:val="en-US" w:eastAsia="zh-CN"/>
                    </w:rPr>
                  </w:pPr>
                  <w:r>
                    <w:rPr>
                      <w:rFonts w:hint="eastAsia" w:eastAsia="宋体" w:cs="Times New Roman"/>
                      <w:b w:val="0"/>
                      <w:bCs/>
                      <w:sz w:val="21"/>
                      <w:szCs w:val="21"/>
                      <w:u w:val="none"/>
                      <w:lang w:val="en-US" w:eastAsia="zh-CN"/>
                    </w:rPr>
                    <w:t>0.799</w:t>
                  </w:r>
                </w:p>
              </w:tc>
            </w:tr>
            <w:tr w14:paraId="38CB4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tcBorders>
                    <w:tl2br w:val="nil"/>
                    <w:tr2bl w:val="nil"/>
                  </w:tcBorders>
                  <w:noWrap w:val="0"/>
                  <w:vAlign w:val="center"/>
                </w:tcPr>
                <w:p w14:paraId="6CAD486C">
                  <w:pPr>
                    <w:pStyle w:val="66"/>
                    <w:keepNext w:val="0"/>
                    <w:keepLines w:val="0"/>
                    <w:suppressLineNumbers w:val="0"/>
                    <w:spacing w:before="0" w:beforeAutospacing="0" w:after="0" w:afterAutospacing="0"/>
                    <w:ind w:left="0" w:right="0"/>
                    <w:jc w:val="center"/>
                    <w:rPr>
                      <w:rFonts w:ascii="Times New Roman" w:cs="Times New Roman"/>
                      <w:b w:val="0"/>
                      <w:bCs/>
                      <w:sz w:val="21"/>
                      <w:szCs w:val="21"/>
                      <w:u w:val="none"/>
                    </w:rPr>
                  </w:pPr>
                  <w:r>
                    <w:rPr>
                      <w:rFonts w:hint="eastAsia" w:cs="Times New Roman"/>
                      <w:b w:val="0"/>
                      <w:bCs/>
                      <w:sz w:val="21"/>
                      <w:szCs w:val="21"/>
                      <w:u w:val="none"/>
                    </w:rPr>
                    <w:t>无组织排放总计</w:t>
                  </w:r>
                </w:p>
              </w:tc>
            </w:tr>
            <w:tr w14:paraId="782C0F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77" w:type="pct"/>
                  <w:gridSpan w:val="3"/>
                  <w:tcBorders>
                    <w:tl2br w:val="nil"/>
                    <w:tr2bl w:val="nil"/>
                  </w:tcBorders>
                  <w:noWrap w:val="0"/>
                  <w:vAlign w:val="center"/>
                </w:tcPr>
                <w:p w14:paraId="1B1A2FDD">
                  <w:pPr>
                    <w:pStyle w:val="66"/>
                    <w:keepNext w:val="0"/>
                    <w:keepLines w:val="0"/>
                    <w:suppressLineNumbers w:val="0"/>
                    <w:spacing w:before="0" w:beforeAutospacing="0" w:after="0" w:afterAutospacing="0"/>
                    <w:ind w:left="0" w:right="0"/>
                    <w:jc w:val="center"/>
                    <w:rPr>
                      <w:rFonts w:cs="Times New Roman"/>
                      <w:b w:val="0"/>
                      <w:bCs/>
                      <w:sz w:val="21"/>
                      <w:szCs w:val="21"/>
                      <w:u w:val="none"/>
                    </w:rPr>
                  </w:pPr>
                  <w:r>
                    <w:rPr>
                      <w:rFonts w:hint="eastAsia" w:cs="Times New Roman"/>
                      <w:b w:val="0"/>
                      <w:bCs/>
                      <w:sz w:val="21"/>
                      <w:szCs w:val="21"/>
                      <w:u w:val="none"/>
                    </w:rPr>
                    <w:t>无组织排放总计</w:t>
                  </w:r>
                </w:p>
              </w:tc>
              <w:tc>
                <w:tcPr>
                  <w:tcW w:w="2901" w:type="pct"/>
                  <w:gridSpan w:val="3"/>
                  <w:tcBorders>
                    <w:tl2br w:val="nil"/>
                    <w:tr2bl w:val="nil"/>
                  </w:tcBorders>
                  <w:noWrap w:val="0"/>
                  <w:vAlign w:val="center"/>
                </w:tcPr>
                <w:p w14:paraId="7CD048B9">
                  <w:pPr>
                    <w:pStyle w:val="66"/>
                    <w:keepNext w:val="0"/>
                    <w:keepLines w:val="0"/>
                    <w:suppressLineNumbers w:val="0"/>
                    <w:spacing w:before="0" w:beforeAutospacing="0" w:after="0" w:afterAutospacing="0"/>
                    <w:ind w:left="0" w:right="0"/>
                    <w:jc w:val="center"/>
                    <w:rPr>
                      <w:rFonts w:hint="eastAsia" w:eastAsia="宋体" w:cs="Times New Roman"/>
                      <w:b w:val="0"/>
                      <w:bCs/>
                      <w:sz w:val="21"/>
                      <w:szCs w:val="21"/>
                      <w:u w:val="none"/>
                      <w:lang w:eastAsia="zh-CN"/>
                    </w:rPr>
                  </w:pPr>
                  <w:r>
                    <w:rPr>
                      <w:rFonts w:hint="eastAsia" w:cs="Times New Roman"/>
                      <w:bCs/>
                      <w:sz w:val="21"/>
                      <w:szCs w:val="21"/>
                      <w:u w:val="none"/>
                      <w:lang w:val="en-US" w:eastAsia="zh-CN"/>
                    </w:rPr>
                    <w:t>NMHC</w:t>
                  </w:r>
                </w:p>
              </w:tc>
              <w:tc>
                <w:tcPr>
                  <w:tcW w:w="620" w:type="pct"/>
                  <w:tcBorders>
                    <w:tl2br w:val="nil"/>
                    <w:tr2bl w:val="nil"/>
                  </w:tcBorders>
                  <w:noWrap w:val="0"/>
                  <w:vAlign w:val="center"/>
                </w:tcPr>
                <w:p w14:paraId="18F40713">
                  <w:pPr>
                    <w:pStyle w:val="66"/>
                    <w:keepNext w:val="0"/>
                    <w:keepLines w:val="0"/>
                    <w:suppressLineNumbers w:val="0"/>
                    <w:spacing w:before="0" w:beforeAutospacing="0" w:after="0" w:afterAutospacing="0"/>
                    <w:ind w:left="0" w:leftChars="0" w:right="0" w:firstLine="0" w:firstLineChars="0"/>
                    <w:jc w:val="center"/>
                    <w:rPr>
                      <w:rFonts w:hint="default" w:ascii="Times New Roman" w:eastAsia="宋体" w:cs="Times New Roman"/>
                      <w:b w:val="0"/>
                      <w:bCs/>
                      <w:sz w:val="21"/>
                      <w:szCs w:val="21"/>
                      <w:u w:val="none"/>
                      <w:lang w:val="en-US" w:eastAsia="zh-CN"/>
                    </w:rPr>
                  </w:pPr>
                  <w:r>
                    <w:rPr>
                      <w:rFonts w:hint="eastAsia" w:eastAsia="宋体" w:cs="Times New Roman"/>
                      <w:b w:val="0"/>
                      <w:bCs/>
                      <w:sz w:val="21"/>
                      <w:szCs w:val="21"/>
                      <w:u w:val="none"/>
                      <w:lang w:val="en-US" w:eastAsia="zh-CN"/>
                    </w:rPr>
                    <w:t>0.799</w:t>
                  </w:r>
                </w:p>
              </w:tc>
            </w:tr>
            <w:bookmarkEnd w:id="5"/>
          </w:tbl>
          <w:p w14:paraId="297EC495">
            <w:pPr>
              <w:keepNext w:val="0"/>
              <w:keepLines w:val="0"/>
              <w:suppressLineNumbers w:val="0"/>
              <w:adjustRightInd w:val="0"/>
              <w:snapToGrid w:val="0"/>
              <w:spacing w:before="120" w:beforeLines="50" w:beforeAutospacing="0" w:after="0" w:afterAutospacing="0" w:line="360" w:lineRule="auto"/>
              <w:ind w:left="0" w:right="0" w:firstLine="422" w:firstLineChars="200"/>
              <w:jc w:val="center"/>
              <w:rPr>
                <w:rFonts w:hint="eastAsia" w:ascii="Times New Roman" w:hAnsi="Times New Roman" w:eastAsia="宋体" w:cs="Times New Roman"/>
                <w:b/>
                <w:bCs/>
                <w:u w:val="none"/>
              </w:rPr>
            </w:pPr>
            <w:r>
              <w:rPr>
                <w:rFonts w:hint="eastAsia" w:ascii="Times New Roman" w:hAnsi="Times New Roman" w:eastAsia="宋体" w:cs="Times New Roman"/>
                <w:b/>
                <w:bCs/>
                <w:u w:val="none"/>
              </w:rPr>
              <w:t>表4-</w:t>
            </w:r>
            <w:r>
              <w:rPr>
                <w:rFonts w:hint="eastAsia" w:ascii="Times New Roman" w:hAnsi="Times New Roman" w:eastAsia="宋体" w:cs="Times New Roman"/>
                <w:b/>
                <w:bCs/>
                <w:u w:val="none"/>
                <w:lang w:val="en-US" w:eastAsia="zh-CN"/>
              </w:rPr>
              <w:t>5</w:t>
            </w:r>
            <w:r>
              <w:rPr>
                <w:rFonts w:hint="eastAsia" w:ascii="Times New Roman" w:hAnsi="Times New Roman" w:eastAsia="宋体" w:cs="Times New Roman"/>
                <w:b/>
                <w:bCs/>
                <w:u w:val="none"/>
              </w:rPr>
              <w:t xml:space="preserve">  大气污染物有组织排放量核算表</w:t>
            </w:r>
          </w:p>
          <w:tbl>
            <w:tblPr>
              <w:tblStyle w:val="4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413"/>
              <w:gridCol w:w="1413"/>
              <w:gridCol w:w="1413"/>
              <w:gridCol w:w="1413"/>
              <w:gridCol w:w="1413"/>
              <w:gridCol w:w="1414"/>
            </w:tblGrid>
            <w:tr w14:paraId="4932B9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13" w:type="dxa"/>
                  <w:tcBorders>
                    <w:tl2br w:val="nil"/>
                    <w:tr2bl w:val="nil"/>
                  </w:tcBorders>
                  <w:noWrap w:val="0"/>
                  <w:vAlign w:val="center"/>
                </w:tcPr>
                <w:p w14:paraId="4E48CD2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sz w:val="21"/>
                      <w:szCs w:val="21"/>
                      <w:u w:val="none" w:color="auto"/>
                    </w:rPr>
                  </w:pPr>
                  <w:r>
                    <w:rPr>
                      <w:rFonts w:hint="eastAsia"/>
                      <w:b w:val="0"/>
                      <w:bCs w:val="0"/>
                      <w:sz w:val="21"/>
                      <w:szCs w:val="21"/>
                      <w:u w:val="none" w:color="auto"/>
                    </w:rPr>
                    <w:t>序号</w:t>
                  </w:r>
                </w:p>
              </w:tc>
              <w:tc>
                <w:tcPr>
                  <w:tcW w:w="1413" w:type="dxa"/>
                  <w:tcBorders>
                    <w:tl2br w:val="nil"/>
                    <w:tr2bl w:val="nil"/>
                  </w:tcBorders>
                  <w:noWrap w:val="0"/>
                  <w:vAlign w:val="center"/>
                </w:tcPr>
                <w:p w14:paraId="586CC02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sz w:val="21"/>
                      <w:szCs w:val="21"/>
                      <w:u w:val="none" w:color="auto"/>
                    </w:rPr>
                  </w:pPr>
                  <w:r>
                    <w:rPr>
                      <w:rFonts w:hint="eastAsia"/>
                      <w:b w:val="0"/>
                      <w:bCs w:val="0"/>
                      <w:sz w:val="21"/>
                      <w:szCs w:val="21"/>
                      <w:u w:val="none" w:color="auto"/>
                    </w:rPr>
                    <w:t>排放口编号</w:t>
                  </w:r>
                </w:p>
              </w:tc>
              <w:tc>
                <w:tcPr>
                  <w:tcW w:w="1413" w:type="dxa"/>
                  <w:tcBorders>
                    <w:tl2br w:val="nil"/>
                    <w:tr2bl w:val="nil"/>
                  </w:tcBorders>
                  <w:noWrap w:val="0"/>
                  <w:vAlign w:val="center"/>
                </w:tcPr>
                <w:p w14:paraId="1A9F3F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sz w:val="21"/>
                      <w:szCs w:val="21"/>
                      <w:u w:val="none" w:color="auto"/>
                    </w:rPr>
                  </w:pPr>
                  <w:r>
                    <w:rPr>
                      <w:rFonts w:hint="eastAsia"/>
                      <w:b w:val="0"/>
                      <w:bCs w:val="0"/>
                      <w:sz w:val="21"/>
                      <w:szCs w:val="21"/>
                      <w:u w:val="none" w:color="auto"/>
                    </w:rPr>
                    <w:t>污染物</w:t>
                  </w:r>
                </w:p>
              </w:tc>
              <w:tc>
                <w:tcPr>
                  <w:tcW w:w="1413" w:type="dxa"/>
                  <w:tcBorders>
                    <w:tl2br w:val="nil"/>
                    <w:tr2bl w:val="nil"/>
                  </w:tcBorders>
                  <w:noWrap w:val="0"/>
                  <w:vAlign w:val="center"/>
                </w:tcPr>
                <w:p w14:paraId="1D2DB51E">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r>
                    <w:rPr>
                      <w:rFonts w:hint="eastAsia"/>
                      <w:b w:val="0"/>
                      <w:bCs w:val="0"/>
                      <w:sz w:val="21"/>
                      <w:szCs w:val="21"/>
                      <w:u w:val="none" w:color="auto"/>
                    </w:rPr>
                    <w:t>排放浓度</w:t>
                  </w:r>
                </w:p>
                <w:p w14:paraId="4AE3A7B3">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b w:val="0"/>
                      <w:bCs/>
                      <w:sz w:val="21"/>
                      <w:szCs w:val="21"/>
                      <w:u w:val="none" w:color="auto"/>
                    </w:rPr>
                  </w:pPr>
                  <w:r>
                    <w:rPr>
                      <w:rFonts w:hint="default"/>
                      <w:b w:val="0"/>
                      <w:bCs w:val="0"/>
                      <w:sz w:val="21"/>
                      <w:szCs w:val="21"/>
                      <w:u w:val="none" w:color="auto"/>
                    </w:rPr>
                    <w:t>mg/m</w:t>
                  </w:r>
                  <w:r>
                    <w:rPr>
                      <w:rFonts w:hint="default"/>
                      <w:b w:val="0"/>
                      <w:bCs w:val="0"/>
                      <w:sz w:val="21"/>
                      <w:szCs w:val="21"/>
                      <w:u w:val="none" w:color="auto"/>
                      <w:vertAlign w:val="superscript"/>
                    </w:rPr>
                    <w:t>3</w:t>
                  </w:r>
                </w:p>
              </w:tc>
              <w:tc>
                <w:tcPr>
                  <w:tcW w:w="1413" w:type="dxa"/>
                  <w:tcBorders>
                    <w:tl2br w:val="nil"/>
                    <w:tr2bl w:val="nil"/>
                  </w:tcBorders>
                  <w:noWrap w:val="0"/>
                  <w:vAlign w:val="center"/>
                </w:tcPr>
                <w:p w14:paraId="72903099">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r>
                    <w:rPr>
                      <w:rFonts w:hint="eastAsia"/>
                      <w:b w:val="0"/>
                      <w:bCs w:val="0"/>
                      <w:sz w:val="21"/>
                      <w:szCs w:val="21"/>
                      <w:u w:val="none" w:color="auto"/>
                    </w:rPr>
                    <w:t>排放速率</w:t>
                  </w:r>
                </w:p>
                <w:p w14:paraId="2B3BAD70">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b w:val="0"/>
                      <w:bCs/>
                      <w:sz w:val="21"/>
                      <w:szCs w:val="21"/>
                      <w:u w:val="none" w:color="auto"/>
                    </w:rPr>
                  </w:pPr>
                  <w:r>
                    <w:rPr>
                      <w:rFonts w:hint="eastAsia"/>
                      <w:b w:val="0"/>
                      <w:bCs w:val="0"/>
                      <w:sz w:val="21"/>
                      <w:szCs w:val="21"/>
                      <w:u w:val="none" w:color="auto"/>
                    </w:rPr>
                    <w:t>k</w:t>
                  </w:r>
                  <w:r>
                    <w:rPr>
                      <w:rFonts w:hint="default"/>
                      <w:b w:val="0"/>
                      <w:bCs w:val="0"/>
                      <w:sz w:val="21"/>
                      <w:szCs w:val="21"/>
                      <w:u w:val="none" w:color="auto"/>
                    </w:rPr>
                    <w:t>g/h</w:t>
                  </w:r>
                </w:p>
              </w:tc>
              <w:tc>
                <w:tcPr>
                  <w:tcW w:w="1414" w:type="dxa"/>
                  <w:tcBorders>
                    <w:tl2br w:val="nil"/>
                    <w:tr2bl w:val="nil"/>
                  </w:tcBorders>
                  <w:noWrap w:val="0"/>
                  <w:vAlign w:val="center"/>
                </w:tcPr>
                <w:p w14:paraId="71FD533A">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r>
                    <w:rPr>
                      <w:rFonts w:hint="eastAsia"/>
                      <w:b w:val="0"/>
                      <w:bCs w:val="0"/>
                      <w:sz w:val="21"/>
                      <w:szCs w:val="21"/>
                      <w:u w:val="none" w:color="auto"/>
                    </w:rPr>
                    <w:t>年排放量</w:t>
                  </w:r>
                </w:p>
                <w:p w14:paraId="092D932C">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b w:val="0"/>
                      <w:bCs/>
                      <w:sz w:val="21"/>
                      <w:szCs w:val="21"/>
                      <w:u w:val="none" w:color="auto"/>
                    </w:rPr>
                  </w:pPr>
                  <w:r>
                    <w:rPr>
                      <w:rFonts w:hint="eastAsia"/>
                      <w:b w:val="0"/>
                      <w:bCs w:val="0"/>
                      <w:sz w:val="21"/>
                      <w:szCs w:val="21"/>
                      <w:u w:val="none" w:color="auto"/>
                    </w:rPr>
                    <w:t>t</w:t>
                  </w:r>
                  <w:r>
                    <w:rPr>
                      <w:rFonts w:hint="default"/>
                      <w:b w:val="0"/>
                      <w:bCs w:val="0"/>
                      <w:sz w:val="21"/>
                      <w:szCs w:val="21"/>
                      <w:u w:val="none" w:color="auto"/>
                    </w:rPr>
                    <w:t>/</w:t>
                  </w:r>
                  <w:r>
                    <w:rPr>
                      <w:rFonts w:hint="eastAsia"/>
                      <w:b w:val="0"/>
                      <w:bCs w:val="0"/>
                      <w:sz w:val="21"/>
                      <w:szCs w:val="21"/>
                      <w:u w:val="none" w:color="auto"/>
                    </w:rPr>
                    <w:t>a</w:t>
                  </w:r>
                </w:p>
              </w:tc>
            </w:tr>
            <w:tr w14:paraId="74D80A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13" w:type="dxa"/>
                  <w:vMerge w:val="restart"/>
                  <w:tcBorders>
                    <w:tl2br w:val="nil"/>
                    <w:tr2bl w:val="nil"/>
                  </w:tcBorders>
                  <w:noWrap w:val="0"/>
                  <w:vAlign w:val="center"/>
                </w:tcPr>
                <w:p w14:paraId="363E58D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b w:val="0"/>
                      <w:bCs/>
                      <w:sz w:val="21"/>
                      <w:szCs w:val="21"/>
                      <w:u w:val="none" w:color="auto"/>
                      <w:lang w:eastAsia="zh-CN"/>
                    </w:rPr>
                  </w:pPr>
                  <w:r>
                    <w:rPr>
                      <w:rFonts w:hint="eastAsia"/>
                      <w:b w:val="0"/>
                      <w:bCs w:val="0"/>
                      <w:sz w:val="21"/>
                      <w:szCs w:val="21"/>
                      <w:u w:val="none" w:color="auto"/>
                    </w:rPr>
                    <w:t>1</w:t>
                  </w:r>
                </w:p>
              </w:tc>
              <w:tc>
                <w:tcPr>
                  <w:tcW w:w="1413" w:type="dxa"/>
                  <w:vMerge w:val="restart"/>
                  <w:tcBorders>
                    <w:tl2br w:val="nil"/>
                    <w:tr2bl w:val="nil"/>
                  </w:tcBorders>
                  <w:noWrap w:val="0"/>
                  <w:vAlign w:val="center"/>
                </w:tcPr>
                <w:p w14:paraId="5106696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val="0"/>
                      <w:bCs/>
                      <w:sz w:val="21"/>
                      <w:szCs w:val="21"/>
                      <w:u w:val="none" w:color="auto"/>
                    </w:rPr>
                  </w:pPr>
                  <w:r>
                    <w:rPr>
                      <w:rFonts w:hint="default"/>
                      <w:b w:val="0"/>
                      <w:bCs w:val="0"/>
                      <w:sz w:val="21"/>
                      <w:szCs w:val="21"/>
                      <w:u w:val="none" w:color="auto"/>
                    </w:rPr>
                    <w:t>DA001</w:t>
                  </w:r>
                </w:p>
              </w:tc>
              <w:tc>
                <w:tcPr>
                  <w:tcW w:w="1413" w:type="dxa"/>
                  <w:tcBorders>
                    <w:tl2br w:val="nil"/>
                    <w:tr2bl w:val="nil"/>
                  </w:tcBorders>
                  <w:noWrap w:val="0"/>
                  <w:vAlign w:val="center"/>
                </w:tcPr>
                <w:p w14:paraId="4D5264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kern w:val="2"/>
                      <w:sz w:val="21"/>
                      <w:szCs w:val="21"/>
                      <w:u w:val="none" w:color="auto"/>
                      <w:lang w:val="en-US" w:eastAsia="zh-CN" w:bidi="ar-SA"/>
                    </w:rPr>
                  </w:pPr>
                  <w:r>
                    <w:rPr>
                      <w:rFonts w:hint="eastAsia" w:cs="Times New Roman"/>
                      <w:bCs/>
                      <w:sz w:val="21"/>
                      <w:szCs w:val="21"/>
                      <w:u w:val="none"/>
                      <w:lang w:val="en-US" w:eastAsia="zh-CN"/>
                    </w:rPr>
                    <w:t>NMHC</w:t>
                  </w:r>
                  <w:r>
                    <w:rPr>
                      <w:rFonts w:hint="eastAsia" w:ascii="Times New Roman" w:hAnsi="Times New Roman" w:cs="Times New Roman"/>
                      <w:color w:val="auto"/>
                      <w:sz w:val="21"/>
                      <w:szCs w:val="21"/>
                      <w:u w:val="none" w:color="auto"/>
                      <w:lang w:val="en-US" w:eastAsia="zh-CN"/>
                    </w:rPr>
                    <w:t xml:space="preserve"> </w:t>
                  </w:r>
                </w:p>
              </w:tc>
              <w:tc>
                <w:tcPr>
                  <w:tcW w:w="1413" w:type="dxa"/>
                  <w:tcBorders>
                    <w:tl2br w:val="nil"/>
                    <w:tr2bl w:val="nil"/>
                  </w:tcBorders>
                  <w:noWrap w:val="0"/>
                  <w:vAlign w:val="center"/>
                </w:tcPr>
                <w:p w14:paraId="12A103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1.286</w:t>
                  </w:r>
                </w:p>
              </w:tc>
              <w:tc>
                <w:tcPr>
                  <w:tcW w:w="1413" w:type="dxa"/>
                  <w:tcBorders>
                    <w:tl2br w:val="nil"/>
                    <w:tr2bl w:val="nil"/>
                  </w:tcBorders>
                  <w:noWrap w:val="0"/>
                  <w:vAlign w:val="center"/>
                </w:tcPr>
                <w:p w14:paraId="74FDAC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0.051</w:t>
                  </w:r>
                </w:p>
              </w:tc>
              <w:tc>
                <w:tcPr>
                  <w:tcW w:w="1414" w:type="dxa"/>
                  <w:tcBorders>
                    <w:tl2br w:val="nil"/>
                    <w:tr2bl w:val="nil"/>
                  </w:tcBorders>
                  <w:noWrap w:val="0"/>
                  <w:vAlign w:val="center"/>
                </w:tcPr>
                <w:p w14:paraId="5DAEF49F">
                  <w:pPr>
                    <w:keepNext w:val="0"/>
                    <w:keepLines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0.072</w:t>
                  </w:r>
                </w:p>
              </w:tc>
            </w:tr>
            <w:tr w14:paraId="681282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13" w:type="dxa"/>
                  <w:vMerge w:val="continue"/>
                  <w:tcBorders>
                    <w:tl2br w:val="nil"/>
                    <w:tr2bl w:val="nil"/>
                  </w:tcBorders>
                  <w:noWrap w:val="0"/>
                  <w:vAlign w:val="center"/>
                </w:tcPr>
                <w:p w14:paraId="737C52B7">
                  <w:pPr>
                    <w:keepNext w:val="0"/>
                    <w:keepLines w:val="0"/>
                    <w:suppressLineNumbers w:val="0"/>
                    <w:adjustRightInd w:val="0"/>
                    <w:snapToGrid w:val="0"/>
                    <w:spacing w:before="0" w:beforeAutospacing="0" w:after="0" w:afterAutospacing="0"/>
                    <w:ind w:left="0" w:right="0"/>
                    <w:jc w:val="center"/>
                    <w:rPr>
                      <w:rFonts w:hint="eastAsia"/>
                      <w:b w:val="0"/>
                      <w:bCs w:val="0"/>
                      <w:sz w:val="21"/>
                      <w:szCs w:val="21"/>
                      <w:u w:val="none" w:color="auto"/>
                    </w:rPr>
                  </w:pPr>
                </w:p>
              </w:tc>
              <w:tc>
                <w:tcPr>
                  <w:tcW w:w="1413" w:type="dxa"/>
                  <w:vMerge w:val="continue"/>
                  <w:tcBorders>
                    <w:tl2br w:val="nil"/>
                    <w:tr2bl w:val="nil"/>
                  </w:tcBorders>
                  <w:noWrap w:val="0"/>
                  <w:vAlign w:val="center"/>
                </w:tcPr>
                <w:p w14:paraId="248932AF">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p>
              </w:tc>
              <w:tc>
                <w:tcPr>
                  <w:tcW w:w="1413" w:type="dxa"/>
                  <w:tcBorders>
                    <w:tl2br w:val="nil"/>
                    <w:tr2bl w:val="nil"/>
                  </w:tcBorders>
                  <w:noWrap w:val="0"/>
                  <w:vAlign w:val="center"/>
                </w:tcPr>
                <w:p w14:paraId="208536BD">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颗粒物</w:t>
                  </w:r>
                </w:p>
              </w:tc>
              <w:tc>
                <w:tcPr>
                  <w:tcW w:w="1413" w:type="dxa"/>
                  <w:tcBorders>
                    <w:tl2br w:val="nil"/>
                    <w:tr2bl w:val="nil"/>
                  </w:tcBorders>
                  <w:noWrap w:val="0"/>
                  <w:vAlign w:val="center"/>
                </w:tcPr>
                <w:p w14:paraId="141517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0.05</w:t>
                  </w:r>
                </w:p>
              </w:tc>
              <w:tc>
                <w:tcPr>
                  <w:tcW w:w="1413" w:type="dxa"/>
                  <w:tcBorders>
                    <w:tl2br w:val="nil"/>
                    <w:tr2bl w:val="nil"/>
                  </w:tcBorders>
                  <w:noWrap w:val="0"/>
                  <w:vAlign w:val="center"/>
                </w:tcPr>
                <w:p w14:paraId="364546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0.002</w:t>
                  </w:r>
                </w:p>
              </w:tc>
              <w:tc>
                <w:tcPr>
                  <w:tcW w:w="1414" w:type="dxa"/>
                  <w:tcBorders>
                    <w:tl2br w:val="nil"/>
                    <w:tr2bl w:val="nil"/>
                  </w:tcBorders>
                  <w:noWrap w:val="0"/>
                  <w:vAlign w:val="center"/>
                </w:tcPr>
                <w:p w14:paraId="39D1E8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kern w:val="2"/>
                      <w:sz w:val="21"/>
                      <w:szCs w:val="21"/>
                      <w:u w:val="none"/>
                      <w:lang w:val="en-US" w:eastAsia="zh-CN" w:bidi="ar-SA"/>
                    </w:rPr>
                    <w:t>0.005</w:t>
                  </w:r>
                </w:p>
              </w:tc>
            </w:tr>
            <w:tr w14:paraId="0C9C23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13" w:type="dxa"/>
                  <w:vMerge w:val="continue"/>
                  <w:tcBorders>
                    <w:tl2br w:val="nil"/>
                    <w:tr2bl w:val="nil"/>
                  </w:tcBorders>
                  <w:noWrap w:val="0"/>
                  <w:vAlign w:val="center"/>
                </w:tcPr>
                <w:p w14:paraId="0A58DEC5">
                  <w:pPr>
                    <w:keepNext w:val="0"/>
                    <w:keepLines w:val="0"/>
                    <w:suppressLineNumbers w:val="0"/>
                    <w:adjustRightInd w:val="0"/>
                    <w:snapToGrid w:val="0"/>
                    <w:spacing w:before="0" w:beforeAutospacing="0" w:after="0" w:afterAutospacing="0"/>
                    <w:ind w:left="0" w:right="0"/>
                    <w:jc w:val="center"/>
                    <w:rPr>
                      <w:rFonts w:hint="eastAsia"/>
                      <w:b w:val="0"/>
                      <w:bCs w:val="0"/>
                      <w:sz w:val="21"/>
                      <w:szCs w:val="21"/>
                      <w:u w:val="none" w:color="auto"/>
                    </w:rPr>
                  </w:pPr>
                </w:p>
              </w:tc>
              <w:tc>
                <w:tcPr>
                  <w:tcW w:w="1413" w:type="dxa"/>
                  <w:vMerge w:val="continue"/>
                  <w:tcBorders>
                    <w:tl2br w:val="nil"/>
                    <w:tr2bl w:val="nil"/>
                  </w:tcBorders>
                  <w:noWrap w:val="0"/>
                  <w:vAlign w:val="center"/>
                </w:tcPr>
                <w:p w14:paraId="76247A9D">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p>
              </w:tc>
              <w:tc>
                <w:tcPr>
                  <w:tcW w:w="1413" w:type="dxa"/>
                  <w:tcBorders>
                    <w:tl2br w:val="nil"/>
                    <w:tr2bl w:val="nil"/>
                  </w:tcBorders>
                  <w:noWrap w:val="0"/>
                  <w:vAlign w:val="center"/>
                </w:tcPr>
                <w:p w14:paraId="60F8DA31">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1413" w:type="dxa"/>
                  <w:tcBorders>
                    <w:tl2br w:val="nil"/>
                    <w:tr2bl w:val="nil"/>
                  </w:tcBorders>
                  <w:noWrap w:val="0"/>
                  <w:vAlign w:val="center"/>
                </w:tcPr>
                <w:p w14:paraId="19F1AE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0.05</w:t>
                  </w:r>
                </w:p>
              </w:tc>
              <w:tc>
                <w:tcPr>
                  <w:tcW w:w="1413" w:type="dxa"/>
                  <w:tcBorders>
                    <w:tl2br w:val="nil"/>
                    <w:tr2bl w:val="nil"/>
                  </w:tcBorders>
                  <w:noWrap w:val="0"/>
                  <w:vAlign w:val="center"/>
                </w:tcPr>
                <w:p w14:paraId="57E7D5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0.002</w:t>
                  </w:r>
                </w:p>
              </w:tc>
              <w:tc>
                <w:tcPr>
                  <w:tcW w:w="1414" w:type="dxa"/>
                  <w:tcBorders>
                    <w:tl2br w:val="nil"/>
                    <w:tr2bl w:val="nil"/>
                  </w:tcBorders>
                  <w:noWrap w:val="0"/>
                  <w:vAlign w:val="center"/>
                </w:tcPr>
                <w:p w14:paraId="6F7818D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kern w:val="2"/>
                      <w:sz w:val="21"/>
                      <w:szCs w:val="21"/>
                      <w:u w:val="none"/>
                      <w:lang w:val="en-US" w:eastAsia="zh-CN" w:bidi="ar-SA"/>
                    </w:rPr>
                    <w:t>0.005</w:t>
                  </w:r>
                </w:p>
              </w:tc>
            </w:tr>
            <w:tr w14:paraId="5DF677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54" w:hRule="atLeast"/>
              </w:trPr>
              <w:tc>
                <w:tcPr>
                  <w:tcW w:w="1413" w:type="dxa"/>
                  <w:vMerge w:val="continue"/>
                  <w:tcBorders>
                    <w:tl2br w:val="nil"/>
                    <w:tr2bl w:val="nil"/>
                  </w:tcBorders>
                  <w:noWrap w:val="0"/>
                  <w:vAlign w:val="center"/>
                </w:tcPr>
                <w:p w14:paraId="1EA5E963">
                  <w:pPr>
                    <w:keepNext w:val="0"/>
                    <w:keepLines w:val="0"/>
                    <w:suppressLineNumbers w:val="0"/>
                    <w:adjustRightInd w:val="0"/>
                    <w:snapToGrid w:val="0"/>
                    <w:spacing w:before="0" w:beforeAutospacing="0" w:after="0" w:afterAutospacing="0"/>
                    <w:ind w:left="0" w:right="0"/>
                    <w:jc w:val="center"/>
                    <w:rPr>
                      <w:rFonts w:hint="eastAsia"/>
                      <w:b w:val="0"/>
                      <w:bCs w:val="0"/>
                      <w:sz w:val="21"/>
                      <w:szCs w:val="21"/>
                      <w:u w:val="none" w:color="auto"/>
                    </w:rPr>
                  </w:pPr>
                </w:p>
              </w:tc>
              <w:tc>
                <w:tcPr>
                  <w:tcW w:w="1413" w:type="dxa"/>
                  <w:vMerge w:val="continue"/>
                  <w:tcBorders>
                    <w:tl2br w:val="nil"/>
                    <w:tr2bl w:val="nil"/>
                  </w:tcBorders>
                  <w:noWrap w:val="0"/>
                  <w:vAlign w:val="center"/>
                </w:tcPr>
                <w:p w14:paraId="5555BB68">
                  <w:pPr>
                    <w:keepNext w:val="0"/>
                    <w:keepLines w:val="0"/>
                    <w:suppressLineNumbers w:val="0"/>
                    <w:adjustRightInd w:val="0"/>
                    <w:snapToGrid w:val="0"/>
                    <w:spacing w:before="0" w:beforeAutospacing="0" w:after="0" w:afterAutospacing="0"/>
                    <w:ind w:left="0" w:right="0"/>
                    <w:jc w:val="center"/>
                    <w:rPr>
                      <w:rFonts w:hint="default"/>
                      <w:b w:val="0"/>
                      <w:bCs w:val="0"/>
                      <w:sz w:val="21"/>
                      <w:szCs w:val="21"/>
                      <w:u w:val="none" w:color="auto"/>
                    </w:rPr>
                  </w:pPr>
                </w:p>
              </w:tc>
              <w:tc>
                <w:tcPr>
                  <w:tcW w:w="1413" w:type="dxa"/>
                  <w:tcBorders>
                    <w:tl2br w:val="nil"/>
                    <w:tr2bl w:val="nil"/>
                  </w:tcBorders>
                  <w:noWrap w:val="0"/>
                  <w:vAlign w:val="center"/>
                </w:tcPr>
                <w:p w14:paraId="729E4EF8">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lang w:val="en-US" w:eastAsia="zh-CN"/>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413" w:type="dxa"/>
                  <w:tcBorders>
                    <w:tl2br w:val="nil"/>
                    <w:tr2bl w:val="nil"/>
                  </w:tcBorders>
                  <w:noWrap w:val="0"/>
                  <w:vAlign w:val="center"/>
                </w:tcPr>
                <w:p w14:paraId="4479B01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0.77</w:t>
                  </w:r>
                </w:p>
              </w:tc>
              <w:tc>
                <w:tcPr>
                  <w:tcW w:w="1413" w:type="dxa"/>
                  <w:tcBorders>
                    <w:tl2br w:val="nil"/>
                    <w:tr2bl w:val="nil"/>
                  </w:tcBorders>
                  <w:noWrap w:val="0"/>
                  <w:vAlign w:val="center"/>
                </w:tcPr>
                <w:p w14:paraId="2BBD87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kern w:val="2"/>
                      <w:sz w:val="21"/>
                      <w:szCs w:val="21"/>
                      <w:u w:val="none" w:color="auto"/>
                      <w:lang w:val="en-US" w:eastAsia="zh-CN" w:bidi="ar-SA"/>
                    </w:rPr>
                    <w:t>0.031</w:t>
                  </w:r>
                </w:p>
              </w:tc>
              <w:tc>
                <w:tcPr>
                  <w:tcW w:w="1414" w:type="dxa"/>
                  <w:tcBorders>
                    <w:tl2br w:val="nil"/>
                    <w:tr2bl w:val="nil"/>
                  </w:tcBorders>
                  <w:noWrap w:val="0"/>
                  <w:vAlign w:val="center"/>
                </w:tcPr>
                <w:p w14:paraId="3B5B1C7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kern w:val="2"/>
                      <w:sz w:val="21"/>
                      <w:szCs w:val="21"/>
                      <w:u w:val="none"/>
                      <w:lang w:val="en-US" w:eastAsia="zh-CN" w:bidi="ar-SA"/>
                    </w:rPr>
                    <w:t>0.077</w:t>
                  </w:r>
                </w:p>
              </w:tc>
            </w:tr>
            <w:tr w14:paraId="570A8B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restart"/>
                  <w:tcBorders>
                    <w:tl2br w:val="nil"/>
                    <w:tr2bl w:val="nil"/>
                  </w:tcBorders>
                  <w:noWrap w:val="0"/>
                  <w:vAlign w:val="center"/>
                </w:tcPr>
                <w:p w14:paraId="2567B070">
                  <w:pPr>
                    <w:keepNext w:val="0"/>
                    <w:keepLines w:val="0"/>
                    <w:suppressLineNumbers w:val="0"/>
                    <w:spacing w:before="0" w:beforeAutospacing="0" w:after="0" w:afterAutospacing="0"/>
                    <w:ind w:left="0" w:right="0"/>
                    <w:jc w:val="center"/>
                    <w:rPr>
                      <w:rFonts w:hint="eastAsia" w:cs="Times New Roman"/>
                      <w:bCs/>
                      <w:sz w:val="21"/>
                      <w:szCs w:val="21"/>
                      <w:u w:val="none" w:color="auto"/>
                      <w:lang w:val="en-US" w:eastAsia="zh-CN"/>
                    </w:rPr>
                  </w:pPr>
                  <w:r>
                    <w:rPr>
                      <w:rFonts w:hint="eastAsia"/>
                      <w:b w:val="0"/>
                      <w:bCs w:val="0"/>
                      <w:sz w:val="21"/>
                      <w:szCs w:val="21"/>
                      <w:u w:val="none" w:color="auto"/>
                    </w:rPr>
                    <w:t>一般排放口合计</w:t>
                  </w:r>
                </w:p>
              </w:tc>
              <w:tc>
                <w:tcPr>
                  <w:tcW w:w="4239" w:type="dxa"/>
                  <w:gridSpan w:val="3"/>
                  <w:tcBorders>
                    <w:tl2br w:val="nil"/>
                    <w:tr2bl w:val="nil"/>
                  </w:tcBorders>
                  <w:noWrap w:val="0"/>
                  <w:vAlign w:val="center"/>
                </w:tcPr>
                <w:p w14:paraId="373EF931">
                  <w:pPr>
                    <w:keepNext w:val="0"/>
                    <w:keepLines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sz w:val="21"/>
                      <w:szCs w:val="21"/>
                      <w:u w:val="none" w:color="auto"/>
                      <w:lang w:val="en-US" w:eastAsia="zh-CN"/>
                    </w:rPr>
                    <w:t>NMHC</w:t>
                  </w:r>
                </w:p>
              </w:tc>
              <w:tc>
                <w:tcPr>
                  <w:tcW w:w="1414" w:type="dxa"/>
                  <w:tcBorders>
                    <w:tl2br w:val="nil"/>
                    <w:tr2bl w:val="nil"/>
                  </w:tcBorders>
                  <w:noWrap w:val="0"/>
                  <w:vAlign w:val="center"/>
                </w:tcPr>
                <w:p w14:paraId="2CFED4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color="auto"/>
                      <w:lang w:val="en-US" w:eastAsia="zh-CN" w:bidi="ar-SA"/>
                    </w:rPr>
                    <w:t>0.072</w:t>
                  </w:r>
                </w:p>
              </w:tc>
            </w:tr>
            <w:tr w14:paraId="0DF7CA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0E1B6852">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6A37DAC9">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颗粒物</w:t>
                  </w:r>
                </w:p>
              </w:tc>
              <w:tc>
                <w:tcPr>
                  <w:tcW w:w="1414" w:type="dxa"/>
                  <w:tcBorders>
                    <w:tl2br w:val="nil"/>
                    <w:tr2bl w:val="nil"/>
                  </w:tcBorders>
                  <w:noWrap w:val="0"/>
                  <w:vAlign w:val="center"/>
                </w:tcPr>
                <w:p w14:paraId="219C2D6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0B82FA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4668E315">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442209B4">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1414" w:type="dxa"/>
                  <w:tcBorders>
                    <w:tl2br w:val="nil"/>
                    <w:tr2bl w:val="nil"/>
                  </w:tcBorders>
                  <w:noWrap w:val="0"/>
                  <w:vAlign w:val="center"/>
                </w:tcPr>
                <w:p w14:paraId="760A97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76B993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5BAFFFF6">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7F4EA96E">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414" w:type="dxa"/>
                  <w:tcBorders>
                    <w:tl2br w:val="nil"/>
                    <w:tr2bl w:val="nil"/>
                  </w:tcBorders>
                  <w:noWrap w:val="0"/>
                  <w:vAlign w:val="center"/>
                </w:tcPr>
                <w:p w14:paraId="231D71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0.077</w:t>
                  </w:r>
                </w:p>
              </w:tc>
            </w:tr>
            <w:tr w14:paraId="46BB32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479" w:type="dxa"/>
                  <w:gridSpan w:val="6"/>
                  <w:tcBorders>
                    <w:tl2br w:val="nil"/>
                    <w:tr2bl w:val="nil"/>
                  </w:tcBorders>
                  <w:noWrap w:val="0"/>
                  <w:vAlign w:val="center"/>
                </w:tcPr>
                <w:p w14:paraId="05BDDD60">
                  <w:pPr>
                    <w:keepNext w:val="0"/>
                    <w:keepLines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u w:val="none" w:color="auto"/>
                      <w:lang w:val="en-US" w:eastAsia="zh-CN" w:bidi="ar-SA"/>
                    </w:rPr>
                  </w:pPr>
                  <w:r>
                    <w:rPr>
                      <w:rFonts w:hint="eastAsia"/>
                      <w:b w:val="0"/>
                      <w:bCs w:val="0"/>
                      <w:sz w:val="21"/>
                      <w:szCs w:val="21"/>
                      <w:u w:val="none" w:color="auto"/>
                    </w:rPr>
                    <w:t>有组织排放总计</w:t>
                  </w:r>
                </w:p>
              </w:tc>
            </w:tr>
            <w:tr w14:paraId="428E9D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restart"/>
                  <w:tcBorders>
                    <w:tl2br w:val="nil"/>
                    <w:tr2bl w:val="nil"/>
                  </w:tcBorders>
                  <w:noWrap w:val="0"/>
                  <w:vAlign w:val="center"/>
                </w:tcPr>
                <w:p w14:paraId="6E7132BB">
                  <w:pPr>
                    <w:keepNext w:val="0"/>
                    <w:keepLines w:val="0"/>
                    <w:suppressLineNumbers w:val="0"/>
                    <w:spacing w:before="0" w:beforeAutospacing="0" w:after="0" w:afterAutospacing="0"/>
                    <w:ind w:left="0" w:right="0"/>
                    <w:jc w:val="center"/>
                    <w:rPr>
                      <w:rFonts w:hint="eastAsia" w:cs="Times New Roman"/>
                      <w:bCs/>
                      <w:sz w:val="21"/>
                      <w:szCs w:val="21"/>
                      <w:u w:val="none" w:color="auto"/>
                      <w:lang w:val="en-US" w:eastAsia="zh-CN"/>
                    </w:rPr>
                  </w:pPr>
                  <w:r>
                    <w:rPr>
                      <w:rFonts w:hint="eastAsia"/>
                      <w:b w:val="0"/>
                      <w:bCs w:val="0"/>
                      <w:sz w:val="21"/>
                      <w:szCs w:val="21"/>
                      <w:u w:val="none" w:color="auto"/>
                    </w:rPr>
                    <w:t>有组织排放总计</w:t>
                  </w:r>
                </w:p>
              </w:tc>
              <w:tc>
                <w:tcPr>
                  <w:tcW w:w="4239" w:type="dxa"/>
                  <w:gridSpan w:val="3"/>
                  <w:tcBorders>
                    <w:tl2br w:val="nil"/>
                    <w:tr2bl w:val="nil"/>
                  </w:tcBorders>
                  <w:noWrap w:val="0"/>
                  <w:vAlign w:val="center"/>
                </w:tcPr>
                <w:p w14:paraId="0AB26193">
                  <w:pPr>
                    <w:keepNext w:val="0"/>
                    <w:keepLines w:val="0"/>
                    <w:suppressLineNumbers w:val="0"/>
                    <w:spacing w:before="0" w:beforeAutospacing="0" w:after="0" w:afterAutospacing="0"/>
                    <w:ind w:left="0" w:right="0"/>
                    <w:jc w:val="center"/>
                    <w:rPr>
                      <w:rFonts w:hint="default" w:ascii="Times New Roman" w:hAnsi="Times New Roman" w:eastAsia="宋体" w:cs="Times New Roman"/>
                      <w:bCs/>
                      <w:kern w:val="2"/>
                      <w:sz w:val="21"/>
                      <w:szCs w:val="21"/>
                      <w:u w:val="none" w:color="auto"/>
                      <w:lang w:val="en-US" w:eastAsia="zh-CN" w:bidi="ar-SA"/>
                    </w:rPr>
                  </w:pPr>
                  <w:r>
                    <w:rPr>
                      <w:rFonts w:hint="eastAsia" w:cs="Times New Roman"/>
                      <w:bCs/>
                      <w:sz w:val="21"/>
                      <w:szCs w:val="21"/>
                      <w:u w:val="none" w:color="auto"/>
                      <w:lang w:val="en-US" w:eastAsia="zh-CN"/>
                    </w:rPr>
                    <w:t>NMHC</w:t>
                  </w:r>
                </w:p>
              </w:tc>
              <w:tc>
                <w:tcPr>
                  <w:tcW w:w="1414" w:type="dxa"/>
                  <w:tcBorders>
                    <w:tl2br w:val="nil"/>
                    <w:tr2bl w:val="nil"/>
                  </w:tcBorders>
                  <w:noWrap w:val="0"/>
                  <w:vAlign w:val="center"/>
                </w:tcPr>
                <w:p w14:paraId="2B1C2B9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bCs/>
                      <w:kern w:val="2"/>
                      <w:sz w:val="21"/>
                      <w:szCs w:val="21"/>
                      <w:u w:val="none" w:color="auto"/>
                      <w:lang w:val="en-US" w:eastAsia="zh-CN" w:bidi="ar-SA"/>
                    </w:rPr>
                    <w:t>0.072</w:t>
                  </w:r>
                </w:p>
              </w:tc>
            </w:tr>
            <w:tr w14:paraId="0C3359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11E46898">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577F9A7E">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颗粒物</w:t>
                  </w:r>
                </w:p>
              </w:tc>
              <w:tc>
                <w:tcPr>
                  <w:tcW w:w="1414" w:type="dxa"/>
                  <w:tcBorders>
                    <w:tl2br w:val="nil"/>
                    <w:tr2bl w:val="nil"/>
                  </w:tcBorders>
                  <w:noWrap w:val="0"/>
                  <w:vAlign w:val="center"/>
                </w:tcPr>
                <w:p w14:paraId="7A18B44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18FD89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242379FD">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2D100E00">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1414" w:type="dxa"/>
                  <w:tcBorders>
                    <w:tl2br w:val="nil"/>
                    <w:tr2bl w:val="nil"/>
                  </w:tcBorders>
                  <w:noWrap w:val="0"/>
                  <w:vAlign w:val="center"/>
                </w:tcPr>
                <w:p w14:paraId="6F6598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43A108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826" w:type="dxa"/>
                  <w:gridSpan w:val="2"/>
                  <w:vMerge w:val="continue"/>
                  <w:tcBorders>
                    <w:tl2br w:val="nil"/>
                    <w:tr2bl w:val="nil"/>
                  </w:tcBorders>
                  <w:noWrap w:val="0"/>
                  <w:vAlign w:val="center"/>
                </w:tcPr>
                <w:p w14:paraId="0D8A7DBD">
                  <w:pPr>
                    <w:keepNext w:val="0"/>
                    <w:keepLines w:val="0"/>
                    <w:suppressLineNumbers w:val="0"/>
                    <w:spacing w:before="0" w:beforeAutospacing="0" w:after="0" w:afterAutospacing="0"/>
                    <w:ind w:left="0" w:right="0"/>
                    <w:jc w:val="center"/>
                    <w:rPr>
                      <w:rFonts w:hint="eastAsia"/>
                      <w:b w:val="0"/>
                      <w:bCs w:val="0"/>
                      <w:sz w:val="21"/>
                      <w:szCs w:val="21"/>
                      <w:u w:val="none" w:color="auto"/>
                    </w:rPr>
                  </w:pPr>
                </w:p>
              </w:tc>
              <w:tc>
                <w:tcPr>
                  <w:tcW w:w="4239" w:type="dxa"/>
                  <w:gridSpan w:val="3"/>
                  <w:tcBorders>
                    <w:tl2br w:val="nil"/>
                    <w:tr2bl w:val="nil"/>
                  </w:tcBorders>
                  <w:noWrap w:val="0"/>
                  <w:vAlign w:val="center"/>
                </w:tcPr>
                <w:p w14:paraId="52BB8DD0">
                  <w:pPr>
                    <w:keepNext w:val="0"/>
                    <w:keepLines w:val="0"/>
                    <w:suppressLineNumbers w:val="0"/>
                    <w:adjustRightInd w:val="0"/>
                    <w:snapToGrid w:val="0"/>
                    <w:spacing w:before="0" w:beforeAutospacing="0" w:after="0" w:afterAutospacing="0"/>
                    <w:ind w:left="0" w:leftChars="0" w:right="0" w:rightChars="0"/>
                    <w:jc w:val="center"/>
                    <w:rPr>
                      <w:rFonts w:hint="eastAsia" w:cs="Times New Roman"/>
                      <w:bCs/>
                      <w:sz w:val="21"/>
                      <w:szCs w:val="21"/>
                      <w:u w:val="none" w:color="auto"/>
                      <w:lang w:val="en-US" w:eastAsia="zh-CN"/>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414" w:type="dxa"/>
                  <w:tcBorders>
                    <w:tl2br w:val="nil"/>
                    <w:tr2bl w:val="nil"/>
                  </w:tcBorders>
                  <w:noWrap w:val="0"/>
                  <w:vAlign w:val="center"/>
                </w:tcPr>
                <w:p w14:paraId="3123E31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0.077</w:t>
                  </w:r>
                </w:p>
              </w:tc>
            </w:tr>
          </w:tbl>
          <w:p w14:paraId="1B5BB718">
            <w:pPr>
              <w:keepNext w:val="0"/>
              <w:keepLines w:val="0"/>
              <w:suppressLineNumbers w:val="0"/>
              <w:adjustRightInd w:val="0"/>
              <w:snapToGrid w:val="0"/>
              <w:spacing w:before="120" w:beforeLines="50" w:beforeAutospacing="0" w:after="0" w:afterAutospacing="0" w:line="360" w:lineRule="auto"/>
              <w:ind w:left="0" w:right="0" w:firstLine="422" w:firstLineChars="200"/>
              <w:jc w:val="center"/>
              <w:rPr>
                <w:rFonts w:hint="default" w:ascii="Times New Roman" w:hAnsi="Times New Roman" w:cs="Times New Roman"/>
                <w:b/>
                <w:bCs/>
                <w:u w:val="none"/>
              </w:rPr>
            </w:pPr>
            <w:r>
              <w:rPr>
                <w:rFonts w:hint="eastAsia" w:ascii="Times New Roman" w:hAnsi="Times New Roman" w:cs="Times New Roman"/>
                <w:b/>
                <w:bCs/>
                <w:u w:val="none"/>
              </w:rPr>
              <w:t>表4-</w:t>
            </w:r>
            <w:r>
              <w:rPr>
                <w:rFonts w:hint="eastAsia" w:cs="Times New Roman"/>
                <w:b/>
                <w:bCs/>
                <w:u w:val="none"/>
                <w:lang w:val="en-US" w:eastAsia="zh-CN"/>
              </w:rPr>
              <w:t>6</w:t>
            </w:r>
            <w:r>
              <w:rPr>
                <w:rFonts w:hint="default" w:ascii="Times New Roman" w:hAnsi="Times New Roman" w:cs="Times New Roman"/>
                <w:b/>
                <w:bCs/>
                <w:u w:val="none"/>
              </w:rPr>
              <w:t xml:space="preserve">  </w:t>
            </w:r>
            <w:r>
              <w:rPr>
                <w:rFonts w:hint="eastAsia" w:ascii="Times New Roman" w:hAnsi="Times New Roman" w:cs="Times New Roman"/>
                <w:b/>
                <w:u w:val="none"/>
              </w:rPr>
              <w:t>大气污染物年排放量核算表</w:t>
            </w:r>
          </w:p>
          <w:tbl>
            <w:tblPr>
              <w:tblStyle w:val="44"/>
              <w:tblW w:w="4998" w:type="pct"/>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139"/>
              <w:gridCol w:w="3512"/>
              <w:gridCol w:w="2828"/>
            </w:tblGrid>
            <w:tr w14:paraId="0EF184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61" w:type="pct"/>
                  <w:tcBorders>
                    <w:tl2br w:val="nil"/>
                    <w:tr2bl w:val="nil"/>
                  </w:tcBorders>
                  <w:noWrap w:val="0"/>
                  <w:vAlign w:val="center"/>
                </w:tcPr>
                <w:p w14:paraId="5704B0EC">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rPr>
                  </w:pPr>
                  <w:r>
                    <w:rPr>
                      <w:rFonts w:hint="eastAsia" w:ascii="Times New Roman" w:hAnsi="Times New Roman" w:cs="Times New Roman"/>
                      <w:b w:val="0"/>
                      <w:bCs/>
                      <w:sz w:val="21"/>
                      <w:szCs w:val="21"/>
                      <w:u w:val="none"/>
                    </w:rPr>
                    <w:t>序号</w:t>
                  </w:r>
                </w:p>
              </w:tc>
              <w:tc>
                <w:tcPr>
                  <w:tcW w:w="2070" w:type="pct"/>
                  <w:tcBorders>
                    <w:tl2br w:val="nil"/>
                    <w:tr2bl w:val="nil"/>
                  </w:tcBorders>
                  <w:noWrap w:val="0"/>
                  <w:vAlign w:val="center"/>
                </w:tcPr>
                <w:p w14:paraId="0D7F4865">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rPr>
                  </w:pPr>
                  <w:r>
                    <w:rPr>
                      <w:rFonts w:hint="eastAsia" w:ascii="Times New Roman" w:hAnsi="Times New Roman" w:cs="Times New Roman"/>
                      <w:b w:val="0"/>
                      <w:bCs/>
                      <w:sz w:val="21"/>
                      <w:szCs w:val="21"/>
                      <w:u w:val="none"/>
                    </w:rPr>
                    <w:t>污染物</w:t>
                  </w:r>
                </w:p>
              </w:tc>
              <w:tc>
                <w:tcPr>
                  <w:tcW w:w="1667" w:type="pct"/>
                  <w:tcBorders>
                    <w:tl2br w:val="nil"/>
                    <w:tr2bl w:val="nil"/>
                  </w:tcBorders>
                  <w:noWrap w:val="0"/>
                  <w:vAlign w:val="center"/>
                </w:tcPr>
                <w:p w14:paraId="34F35D53">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rPr>
                  </w:pPr>
                  <w:r>
                    <w:rPr>
                      <w:rFonts w:hint="eastAsia" w:ascii="Times New Roman" w:hAnsi="Times New Roman" w:cs="Times New Roman"/>
                      <w:b w:val="0"/>
                      <w:bCs/>
                      <w:sz w:val="21"/>
                      <w:szCs w:val="21"/>
                      <w:u w:val="none"/>
                    </w:rPr>
                    <w:t>年排放量（t</w:t>
                  </w:r>
                  <w:r>
                    <w:rPr>
                      <w:rFonts w:hint="default" w:ascii="Times New Roman" w:hAnsi="Times New Roman" w:cs="Times New Roman"/>
                      <w:b w:val="0"/>
                      <w:bCs/>
                      <w:sz w:val="21"/>
                      <w:szCs w:val="21"/>
                      <w:u w:val="none"/>
                    </w:rPr>
                    <w:t>/a</w:t>
                  </w:r>
                  <w:r>
                    <w:rPr>
                      <w:rFonts w:hint="eastAsia" w:ascii="Times New Roman" w:hAnsi="Times New Roman" w:cs="Times New Roman"/>
                      <w:b w:val="0"/>
                      <w:bCs/>
                      <w:sz w:val="21"/>
                      <w:szCs w:val="21"/>
                      <w:u w:val="none"/>
                    </w:rPr>
                    <w:t>）</w:t>
                  </w:r>
                </w:p>
              </w:tc>
            </w:tr>
            <w:tr w14:paraId="01464B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61" w:type="pct"/>
                  <w:tcBorders>
                    <w:tl2br w:val="nil"/>
                    <w:tr2bl w:val="nil"/>
                  </w:tcBorders>
                  <w:noWrap w:val="0"/>
                  <w:vAlign w:val="center"/>
                </w:tcPr>
                <w:p w14:paraId="4A5793A2">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sz w:val="21"/>
                      <w:szCs w:val="21"/>
                      <w:u w:val="none"/>
                      <w:lang w:eastAsia="zh-CN"/>
                    </w:rPr>
                  </w:pPr>
                  <w:r>
                    <w:rPr>
                      <w:rFonts w:hint="eastAsia" w:ascii="Times New Roman" w:hAnsi="Times New Roman" w:cs="Times New Roman"/>
                      <w:b w:val="0"/>
                      <w:bCs/>
                      <w:sz w:val="21"/>
                      <w:szCs w:val="21"/>
                      <w:u w:val="none"/>
                      <w:lang w:val="en-US" w:eastAsia="zh-CN"/>
                    </w:rPr>
                    <w:t>1</w:t>
                  </w:r>
                </w:p>
              </w:tc>
              <w:tc>
                <w:tcPr>
                  <w:tcW w:w="2070" w:type="pct"/>
                  <w:tcBorders>
                    <w:tl2br w:val="nil"/>
                    <w:tr2bl w:val="nil"/>
                  </w:tcBorders>
                  <w:noWrap w:val="0"/>
                  <w:vAlign w:val="center"/>
                </w:tcPr>
                <w:p w14:paraId="3E7620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cs="Times New Roman"/>
                      <w:b w:val="0"/>
                      <w:bCs/>
                      <w:sz w:val="21"/>
                      <w:szCs w:val="21"/>
                      <w:u w:val="none"/>
                    </w:rPr>
                  </w:pPr>
                  <w:r>
                    <w:rPr>
                      <w:rFonts w:hint="eastAsia" w:cs="Times New Roman"/>
                      <w:bCs/>
                      <w:sz w:val="21"/>
                      <w:szCs w:val="21"/>
                      <w:u w:val="none"/>
                      <w:lang w:val="en-US" w:eastAsia="zh-CN"/>
                    </w:rPr>
                    <w:t>NMHC</w:t>
                  </w:r>
                </w:p>
              </w:tc>
              <w:tc>
                <w:tcPr>
                  <w:tcW w:w="1667" w:type="pct"/>
                  <w:tcBorders>
                    <w:tl2br w:val="nil"/>
                    <w:tr2bl w:val="nil"/>
                  </w:tcBorders>
                  <w:shd w:val="clear" w:color="auto" w:fill="auto"/>
                  <w:noWrap w:val="0"/>
                  <w:vAlign w:val="center"/>
                </w:tcPr>
                <w:p w14:paraId="489B9B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ascii="Times New Roman" w:hAnsi="Times New Roman" w:eastAsia="宋体" w:cs="Times New Roman"/>
                      <w:bCs/>
                      <w:sz w:val="21"/>
                      <w:szCs w:val="21"/>
                      <w:u w:val="none"/>
                      <w:lang w:val="en-US" w:eastAsia="zh-CN"/>
                    </w:rPr>
                    <w:t>0.</w:t>
                  </w:r>
                  <w:r>
                    <w:rPr>
                      <w:rFonts w:hint="eastAsia" w:cs="Times New Roman"/>
                      <w:bCs/>
                      <w:sz w:val="21"/>
                      <w:szCs w:val="21"/>
                      <w:u w:val="none"/>
                      <w:lang w:val="en-US" w:eastAsia="zh-CN"/>
                    </w:rPr>
                    <w:t>871</w:t>
                  </w:r>
                </w:p>
              </w:tc>
            </w:tr>
            <w:tr w14:paraId="2C25A7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61" w:type="pct"/>
                  <w:tcBorders>
                    <w:tl2br w:val="nil"/>
                    <w:tr2bl w:val="nil"/>
                  </w:tcBorders>
                  <w:noWrap w:val="0"/>
                  <w:vAlign w:val="center"/>
                </w:tcPr>
                <w:p w14:paraId="77C32935">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lang w:val="en-US" w:eastAsia="zh-CN"/>
                    </w:rPr>
                  </w:pPr>
                  <w:r>
                    <w:rPr>
                      <w:rFonts w:hint="eastAsia" w:cs="Times New Roman"/>
                      <w:b w:val="0"/>
                      <w:bCs/>
                      <w:sz w:val="21"/>
                      <w:szCs w:val="21"/>
                      <w:u w:val="none"/>
                      <w:lang w:val="en-US" w:eastAsia="zh-CN"/>
                    </w:rPr>
                    <w:t>2</w:t>
                  </w:r>
                </w:p>
              </w:tc>
              <w:tc>
                <w:tcPr>
                  <w:tcW w:w="2070" w:type="pct"/>
                  <w:tcBorders>
                    <w:tl2br w:val="nil"/>
                    <w:tr2bl w:val="nil"/>
                  </w:tcBorders>
                  <w:shd w:val="clear" w:color="auto" w:fill="auto"/>
                  <w:noWrap w:val="0"/>
                  <w:vAlign w:val="center"/>
                </w:tcPr>
                <w:p w14:paraId="2CD9E8A4">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颗粒物</w:t>
                  </w:r>
                </w:p>
              </w:tc>
              <w:tc>
                <w:tcPr>
                  <w:tcW w:w="1667" w:type="pct"/>
                  <w:tcBorders>
                    <w:tl2br w:val="nil"/>
                    <w:tr2bl w:val="nil"/>
                  </w:tcBorders>
                  <w:shd w:val="clear" w:color="auto" w:fill="auto"/>
                  <w:noWrap w:val="0"/>
                  <w:vAlign w:val="center"/>
                </w:tcPr>
                <w:p w14:paraId="6EF37F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4106E5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61" w:type="pct"/>
                  <w:tcBorders>
                    <w:tl2br w:val="nil"/>
                    <w:tr2bl w:val="nil"/>
                  </w:tcBorders>
                  <w:noWrap w:val="0"/>
                  <w:vAlign w:val="center"/>
                </w:tcPr>
                <w:p w14:paraId="0F5D7A95">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lang w:val="en-US" w:eastAsia="zh-CN"/>
                    </w:rPr>
                  </w:pPr>
                  <w:r>
                    <w:rPr>
                      <w:rFonts w:hint="eastAsia" w:cs="Times New Roman"/>
                      <w:b w:val="0"/>
                      <w:bCs/>
                      <w:sz w:val="21"/>
                      <w:szCs w:val="21"/>
                      <w:u w:val="none"/>
                      <w:lang w:val="en-US" w:eastAsia="zh-CN"/>
                    </w:rPr>
                    <w:t>3</w:t>
                  </w:r>
                </w:p>
              </w:tc>
              <w:tc>
                <w:tcPr>
                  <w:tcW w:w="2070" w:type="pct"/>
                  <w:tcBorders>
                    <w:tl2br w:val="nil"/>
                    <w:tr2bl w:val="nil"/>
                  </w:tcBorders>
                  <w:shd w:val="clear" w:color="auto" w:fill="auto"/>
                  <w:noWrap w:val="0"/>
                  <w:vAlign w:val="center"/>
                </w:tcPr>
                <w:p w14:paraId="70BFB0A7">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1667" w:type="pct"/>
                  <w:tcBorders>
                    <w:tl2br w:val="nil"/>
                    <w:tr2bl w:val="nil"/>
                  </w:tcBorders>
                  <w:shd w:val="clear" w:color="auto" w:fill="auto"/>
                  <w:noWrap w:val="0"/>
                  <w:vAlign w:val="center"/>
                </w:tcPr>
                <w:p w14:paraId="0D43E5C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0.005</w:t>
                  </w:r>
                </w:p>
              </w:tc>
            </w:tr>
            <w:tr w14:paraId="6DBBC2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261" w:type="pct"/>
                  <w:tcBorders>
                    <w:tl2br w:val="nil"/>
                    <w:tr2bl w:val="nil"/>
                  </w:tcBorders>
                  <w:noWrap w:val="0"/>
                  <w:vAlign w:val="center"/>
                </w:tcPr>
                <w:p w14:paraId="587954EE">
                  <w:pPr>
                    <w:keepNext w:val="0"/>
                    <w:keepLines w:val="0"/>
                    <w:suppressLineNumbers w:val="0"/>
                    <w:spacing w:before="0" w:beforeAutospacing="0" w:after="0" w:afterAutospacing="0"/>
                    <w:ind w:left="0" w:right="0"/>
                    <w:jc w:val="center"/>
                    <w:rPr>
                      <w:rFonts w:hint="default" w:ascii="Times New Roman" w:hAnsi="Times New Roman" w:cs="Times New Roman"/>
                      <w:b w:val="0"/>
                      <w:bCs/>
                      <w:sz w:val="21"/>
                      <w:szCs w:val="21"/>
                      <w:u w:val="none"/>
                      <w:lang w:val="en-US" w:eastAsia="zh-CN"/>
                    </w:rPr>
                  </w:pPr>
                  <w:r>
                    <w:rPr>
                      <w:rFonts w:hint="eastAsia" w:cs="Times New Roman"/>
                      <w:b w:val="0"/>
                      <w:bCs/>
                      <w:sz w:val="21"/>
                      <w:szCs w:val="21"/>
                      <w:u w:val="none"/>
                      <w:lang w:val="en-US" w:eastAsia="zh-CN"/>
                    </w:rPr>
                    <w:t>4</w:t>
                  </w:r>
                </w:p>
              </w:tc>
              <w:tc>
                <w:tcPr>
                  <w:tcW w:w="2070" w:type="pct"/>
                  <w:tcBorders>
                    <w:tl2br w:val="nil"/>
                    <w:tr2bl w:val="nil"/>
                  </w:tcBorders>
                  <w:shd w:val="clear" w:color="auto" w:fill="auto"/>
                  <w:noWrap w:val="0"/>
                  <w:vAlign w:val="center"/>
                </w:tcPr>
                <w:p w14:paraId="5BFCC18F">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667" w:type="pct"/>
                  <w:tcBorders>
                    <w:tl2br w:val="nil"/>
                    <w:tr2bl w:val="nil"/>
                  </w:tcBorders>
                  <w:shd w:val="clear" w:color="auto" w:fill="auto"/>
                  <w:noWrap w:val="0"/>
                  <w:vAlign w:val="center"/>
                </w:tcPr>
                <w:p w14:paraId="6D90F1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u w:val="none"/>
                      <w:lang w:val="en-US" w:eastAsia="zh-CN" w:bidi="ar-SA"/>
                    </w:rPr>
                  </w:pPr>
                  <w:r>
                    <w:rPr>
                      <w:rFonts w:hint="eastAsia" w:cs="Times New Roman"/>
                      <w:kern w:val="2"/>
                      <w:sz w:val="21"/>
                      <w:szCs w:val="21"/>
                      <w:u w:val="none"/>
                      <w:lang w:val="en-US" w:eastAsia="zh-CN" w:bidi="ar-SA"/>
                    </w:rPr>
                    <w:t>0.077</w:t>
                  </w:r>
                </w:p>
              </w:tc>
            </w:tr>
          </w:tbl>
          <w:p w14:paraId="213CD3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color w:val="000000"/>
                <w:sz w:val="24"/>
                <w:u w:val="none"/>
                <w:lang w:val="en-US" w:eastAsia="zh-CN"/>
              </w:rPr>
            </w:pPr>
          </w:p>
          <w:p w14:paraId="7851E175">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000000" w:themeColor="text1"/>
                <w:sz w:val="24"/>
                <w:u w:val="none" w:color="auto"/>
                <w:lang w:val="en-US" w:eastAsia="zh-CN"/>
                <w14:textFill>
                  <w14:solidFill>
                    <w14:schemeClr w14:val="tx1"/>
                  </w14:solidFill>
                </w14:textFill>
              </w:rPr>
            </w:pPr>
            <w:r>
              <w:rPr>
                <w:rFonts w:hint="eastAsia" w:ascii="Times New Roman" w:hAnsi="Times New Roman" w:cs="Times New Roman"/>
                <w:b/>
                <w:bCs/>
                <w:color w:val="000000"/>
                <w:sz w:val="24"/>
                <w:u w:val="none"/>
                <w:lang w:val="en-US" w:eastAsia="zh-CN"/>
              </w:rPr>
              <w:t>1.2、</w:t>
            </w:r>
            <w:r>
              <w:rPr>
                <w:rFonts w:hint="eastAsia" w:ascii="Times New Roman" w:hAnsi="Times New Roman" w:cs="Times New Roman"/>
                <w:b/>
                <w:bCs/>
                <w:color w:val="000000" w:themeColor="text1"/>
                <w:sz w:val="24"/>
                <w:u w:val="none" w:color="auto"/>
                <w:lang w:val="en-US" w:eastAsia="zh-CN"/>
                <w14:textFill>
                  <w14:solidFill>
                    <w14:schemeClr w14:val="tx1"/>
                  </w14:solidFill>
                </w14:textFill>
              </w:rPr>
              <w:t>废气排放口基本情况</w:t>
            </w:r>
          </w:p>
          <w:p w14:paraId="07648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b/>
                <w:color w:val="000000" w:themeColor="text1"/>
                <w:szCs w:val="21"/>
                <w:u w:val="none" w:color="auto"/>
                <w14:textFill>
                  <w14:solidFill>
                    <w14:schemeClr w14:val="tx1"/>
                  </w14:solidFill>
                </w14:textFill>
              </w:rPr>
            </w:pPr>
            <w:r>
              <w:rPr>
                <w:rFonts w:hint="eastAsia"/>
                <w:b/>
                <w:color w:val="000000" w:themeColor="text1"/>
                <w:szCs w:val="21"/>
                <w:u w:val="none" w:color="auto"/>
                <w14:textFill>
                  <w14:solidFill>
                    <w14:schemeClr w14:val="tx1"/>
                  </w14:solidFill>
                </w14:textFill>
              </w:rPr>
              <w:t>表4-</w:t>
            </w:r>
            <w:r>
              <w:rPr>
                <w:rFonts w:hint="eastAsia"/>
                <w:b/>
                <w:color w:val="000000" w:themeColor="text1"/>
                <w:szCs w:val="21"/>
                <w:u w:val="none" w:color="auto"/>
                <w:lang w:val="en-US" w:eastAsia="zh-CN"/>
                <w14:textFill>
                  <w14:solidFill>
                    <w14:schemeClr w14:val="tx1"/>
                  </w14:solidFill>
                </w14:textFill>
              </w:rPr>
              <w:t>7</w:t>
            </w:r>
            <w:r>
              <w:rPr>
                <w:rFonts w:hint="eastAsia"/>
                <w:b/>
                <w:color w:val="000000" w:themeColor="text1"/>
                <w:szCs w:val="21"/>
                <w:u w:val="none" w:color="auto"/>
                <w14:textFill>
                  <w14:solidFill>
                    <w14:schemeClr w14:val="tx1"/>
                  </w14:solidFill>
                </w14:textFill>
              </w:rPr>
              <w:t xml:space="preserve">  废气排放口基本情况</w:t>
            </w:r>
          </w:p>
          <w:tbl>
            <w:tblPr>
              <w:tblStyle w:val="44"/>
              <w:tblW w:w="818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847"/>
              <w:gridCol w:w="1402"/>
              <w:gridCol w:w="1313"/>
              <w:gridCol w:w="531"/>
              <w:gridCol w:w="1121"/>
              <w:gridCol w:w="729"/>
              <w:gridCol w:w="774"/>
              <w:gridCol w:w="799"/>
            </w:tblGrid>
            <w:tr w14:paraId="6413E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3" w:type="dxa"/>
                  <w:vMerge w:val="restart"/>
                  <w:tcBorders>
                    <w:tl2br w:val="nil"/>
                    <w:tr2bl w:val="nil"/>
                  </w:tcBorders>
                  <w:noWrap w:val="0"/>
                  <w:vAlign w:val="center"/>
                </w:tcPr>
                <w:p w14:paraId="537BAF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排气筒</w:t>
                  </w:r>
                </w:p>
                <w:p w14:paraId="38417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编号</w:t>
                  </w:r>
                </w:p>
              </w:tc>
              <w:tc>
                <w:tcPr>
                  <w:tcW w:w="671" w:type="dxa"/>
                  <w:vMerge w:val="restart"/>
                  <w:tcBorders>
                    <w:tl2br w:val="nil"/>
                    <w:tr2bl w:val="nil"/>
                  </w:tcBorders>
                  <w:noWrap w:val="0"/>
                  <w:vAlign w:val="center"/>
                </w:tcPr>
                <w:p w14:paraId="1BAB714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污染物</w:t>
                  </w:r>
                </w:p>
              </w:tc>
              <w:tc>
                <w:tcPr>
                  <w:tcW w:w="2759" w:type="dxa"/>
                  <w:gridSpan w:val="2"/>
                  <w:tcBorders>
                    <w:tl2br w:val="nil"/>
                    <w:tr2bl w:val="nil"/>
                  </w:tcBorders>
                  <w:noWrap w:val="0"/>
                  <w:vAlign w:val="center"/>
                </w:tcPr>
                <w:p w14:paraId="60C7AB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default" w:eastAsia="宋体"/>
                      <w:bCs/>
                      <w:color w:val="000000" w:themeColor="text1"/>
                      <w:sz w:val="21"/>
                      <w:szCs w:val="21"/>
                      <w:u w:val="none" w:color="auto"/>
                      <w:lang w:val="en-US" w:eastAsia="zh-CN"/>
                      <w14:textFill>
                        <w14:solidFill>
                          <w14:schemeClr w14:val="tx1"/>
                        </w14:solidFill>
                      </w14:textFill>
                    </w:rPr>
                    <w:t>排气筒底部中心坐标</w:t>
                  </w:r>
                </w:p>
              </w:tc>
              <w:tc>
                <w:tcPr>
                  <w:tcW w:w="531" w:type="dxa"/>
                  <w:vMerge w:val="restart"/>
                  <w:tcBorders>
                    <w:tl2br w:val="nil"/>
                    <w:tr2bl w:val="nil"/>
                  </w:tcBorders>
                  <w:noWrap w:val="0"/>
                  <w:vAlign w:val="center"/>
                </w:tcPr>
                <w:p w14:paraId="77555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风量m</w:t>
                  </w:r>
                  <w:r>
                    <w:rPr>
                      <w:rFonts w:hint="eastAsia"/>
                      <w:bCs/>
                      <w:color w:val="000000" w:themeColor="text1"/>
                      <w:kern w:val="0"/>
                      <w:sz w:val="21"/>
                      <w:szCs w:val="21"/>
                      <w:u w:val="none" w:color="auto"/>
                      <w:vertAlign w:val="superscript"/>
                      <w:lang w:val="en-US" w:eastAsia="zh-CN"/>
                      <w14:textFill>
                        <w14:solidFill>
                          <w14:schemeClr w14:val="tx1"/>
                        </w14:solidFill>
                      </w14:textFill>
                    </w:rPr>
                    <w:t>3</w:t>
                  </w:r>
                  <w:r>
                    <w:rPr>
                      <w:rFonts w:hint="eastAsia"/>
                      <w:bCs/>
                      <w:color w:val="000000" w:themeColor="text1"/>
                      <w:kern w:val="0"/>
                      <w:sz w:val="21"/>
                      <w:szCs w:val="21"/>
                      <w:u w:val="none" w:color="auto"/>
                      <w:lang w:val="en-US" w:eastAsia="zh-CN"/>
                      <w14:textFill>
                        <w14:solidFill>
                          <w14:schemeClr w14:val="tx1"/>
                        </w14:solidFill>
                      </w14:textFill>
                    </w:rPr>
                    <w:t>/h</w:t>
                  </w:r>
                </w:p>
              </w:tc>
              <w:tc>
                <w:tcPr>
                  <w:tcW w:w="1170" w:type="dxa"/>
                  <w:vMerge w:val="restart"/>
                  <w:tcBorders>
                    <w:tl2br w:val="nil"/>
                    <w:tr2bl w:val="nil"/>
                  </w:tcBorders>
                  <w:noWrap w:val="0"/>
                  <w:vAlign w:val="center"/>
                </w:tcPr>
                <w:p w14:paraId="78A897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排放口类型</w:t>
                  </w:r>
                </w:p>
              </w:tc>
              <w:tc>
                <w:tcPr>
                  <w:tcW w:w="756" w:type="dxa"/>
                  <w:vMerge w:val="restart"/>
                  <w:tcBorders>
                    <w:tl2br w:val="nil"/>
                    <w:tr2bl w:val="nil"/>
                  </w:tcBorders>
                  <w:noWrap w:val="0"/>
                  <w:vAlign w:val="center"/>
                </w:tcPr>
                <w:p w14:paraId="5A89B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排气筒</w:t>
                  </w:r>
                </w:p>
                <w:p w14:paraId="1EAEE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高度/m</w:t>
                  </w:r>
                </w:p>
              </w:tc>
              <w:tc>
                <w:tcPr>
                  <w:tcW w:w="801" w:type="dxa"/>
                  <w:vMerge w:val="restart"/>
                  <w:tcBorders>
                    <w:tl2br w:val="nil"/>
                    <w:tr2bl w:val="nil"/>
                  </w:tcBorders>
                  <w:noWrap w:val="0"/>
                  <w:vAlign w:val="center"/>
                </w:tcPr>
                <w:p w14:paraId="458E1F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排气筒出口内径/m</w:t>
                  </w:r>
                </w:p>
              </w:tc>
              <w:tc>
                <w:tcPr>
                  <w:tcW w:w="825" w:type="dxa"/>
                  <w:vMerge w:val="restart"/>
                  <w:tcBorders>
                    <w:tl2br w:val="nil"/>
                    <w:tr2bl w:val="nil"/>
                  </w:tcBorders>
                  <w:noWrap w:val="0"/>
                  <w:vAlign w:val="center"/>
                </w:tcPr>
                <w:p w14:paraId="708F1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烟气温度/℃</w:t>
                  </w:r>
                </w:p>
              </w:tc>
            </w:tr>
            <w:tr w14:paraId="7208D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3" w:type="dxa"/>
                  <w:vMerge w:val="continue"/>
                  <w:tcBorders>
                    <w:tl2br w:val="nil"/>
                    <w:tr2bl w:val="nil"/>
                  </w:tcBorders>
                  <w:noWrap w:val="0"/>
                  <w:vAlign w:val="center"/>
                </w:tcPr>
                <w:p w14:paraId="564E2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14:textFill>
                        <w14:solidFill>
                          <w14:schemeClr w14:val="tx1"/>
                        </w14:solidFill>
                      </w14:textFill>
                    </w:rPr>
                  </w:pPr>
                </w:p>
              </w:tc>
              <w:tc>
                <w:tcPr>
                  <w:tcW w:w="671" w:type="dxa"/>
                  <w:vMerge w:val="continue"/>
                  <w:tcBorders>
                    <w:tl2br w:val="nil"/>
                    <w:tr2bl w:val="nil"/>
                  </w:tcBorders>
                  <w:noWrap w:val="0"/>
                  <w:vAlign w:val="center"/>
                </w:tcPr>
                <w:p w14:paraId="30FE1DB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eastAsia="宋体"/>
                      <w:bCs/>
                      <w:color w:val="000000" w:themeColor="text1"/>
                      <w:sz w:val="21"/>
                      <w:szCs w:val="21"/>
                      <w:u w:val="none" w:color="auto"/>
                      <w:lang w:val="en-US" w:eastAsia="zh-CN"/>
                      <w14:textFill>
                        <w14:solidFill>
                          <w14:schemeClr w14:val="tx1"/>
                        </w14:solidFill>
                      </w14:textFill>
                    </w:rPr>
                  </w:pPr>
                </w:p>
              </w:tc>
              <w:tc>
                <w:tcPr>
                  <w:tcW w:w="1424" w:type="dxa"/>
                  <w:tcBorders>
                    <w:tl2br w:val="nil"/>
                    <w:tr2bl w:val="nil"/>
                  </w:tcBorders>
                  <w:noWrap w:val="0"/>
                  <w:vAlign w:val="center"/>
                </w:tcPr>
                <w:p w14:paraId="6514E3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东经</w:t>
                  </w:r>
                </w:p>
              </w:tc>
              <w:tc>
                <w:tcPr>
                  <w:tcW w:w="1335" w:type="dxa"/>
                  <w:tcBorders>
                    <w:tl2br w:val="nil"/>
                    <w:tr2bl w:val="nil"/>
                  </w:tcBorders>
                  <w:noWrap w:val="0"/>
                  <w:vAlign w:val="center"/>
                </w:tcPr>
                <w:p w14:paraId="310F0E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北纬</w:t>
                  </w:r>
                </w:p>
              </w:tc>
              <w:tc>
                <w:tcPr>
                  <w:tcW w:w="531" w:type="dxa"/>
                  <w:vMerge w:val="continue"/>
                  <w:tcBorders>
                    <w:tl2br w:val="nil"/>
                    <w:tr2bl w:val="nil"/>
                  </w:tcBorders>
                  <w:noWrap w:val="0"/>
                  <w:vAlign w:val="center"/>
                </w:tcPr>
                <w:p w14:paraId="65CC5C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p>
              </w:tc>
              <w:tc>
                <w:tcPr>
                  <w:tcW w:w="1170" w:type="dxa"/>
                  <w:vMerge w:val="continue"/>
                  <w:tcBorders>
                    <w:tl2br w:val="nil"/>
                    <w:tr2bl w:val="nil"/>
                  </w:tcBorders>
                  <w:noWrap w:val="0"/>
                  <w:vAlign w:val="center"/>
                </w:tcPr>
                <w:p w14:paraId="6246B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p>
              </w:tc>
              <w:tc>
                <w:tcPr>
                  <w:tcW w:w="756" w:type="dxa"/>
                  <w:vMerge w:val="continue"/>
                  <w:tcBorders>
                    <w:tl2br w:val="nil"/>
                    <w:tr2bl w:val="nil"/>
                  </w:tcBorders>
                  <w:noWrap w:val="0"/>
                  <w:vAlign w:val="center"/>
                </w:tcPr>
                <w:p w14:paraId="4B7B9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eastAsia="宋体"/>
                      <w:bCs/>
                      <w:color w:val="000000" w:themeColor="text1"/>
                      <w:kern w:val="0"/>
                      <w:sz w:val="21"/>
                      <w:szCs w:val="21"/>
                      <w:u w:val="none" w:color="auto"/>
                      <w:lang w:val="en-US" w:eastAsia="zh-CN"/>
                      <w14:textFill>
                        <w14:solidFill>
                          <w14:schemeClr w14:val="tx1"/>
                        </w14:solidFill>
                      </w14:textFill>
                    </w:rPr>
                  </w:pPr>
                </w:p>
              </w:tc>
              <w:tc>
                <w:tcPr>
                  <w:tcW w:w="801" w:type="dxa"/>
                  <w:vMerge w:val="continue"/>
                  <w:tcBorders>
                    <w:tl2br w:val="nil"/>
                    <w:tr2bl w:val="nil"/>
                  </w:tcBorders>
                  <w:noWrap w:val="0"/>
                  <w:vAlign w:val="center"/>
                </w:tcPr>
                <w:p w14:paraId="255C76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eastAsia="宋体"/>
                      <w:bCs/>
                      <w:color w:val="000000" w:themeColor="text1"/>
                      <w:kern w:val="0"/>
                      <w:sz w:val="21"/>
                      <w:szCs w:val="21"/>
                      <w:u w:val="none" w:color="auto"/>
                      <w:lang w:val="en-US" w:eastAsia="zh-CN"/>
                      <w14:textFill>
                        <w14:solidFill>
                          <w14:schemeClr w14:val="tx1"/>
                        </w14:solidFill>
                      </w14:textFill>
                    </w:rPr>
                  </w:pPr>
                </w:p>
              </w:tc>
              <w:tc>
                <w:tcPr>
                  <w:tcW w:w="825" w:type="dxa"/>
                  <w:vMerge w:val="continue"/>
                  <w:tcBorders>
                    <w:tl2br w:val="nil"/>
                    <w:tr2bl w:val="nil"/>
                  </w:tcBorders>
                  <w:noWrap w:val="0"/>
                  <w:vAlign w:val="center"/>
                </w:tcPr>
                <w:p w14:paraId="2FE7D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p>
              </w:tc>
            </w:tr>
            <w:tr w14:paraId="51494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73" w:type="dxa"/>
                  <w:tcBorders>
                    <w:tl2br w:val="nil"/>
                    <w:tr2bl w:val="nil"/>
                  </w:tcBorders>
                  <w:noWrap w:val="0"/>
                  <w:vAlign w:val="center"/>
                </w:tcPr>
                <w:p w14:paraId="145ED6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DA001</w:t>
                  </w:r>
                </w:p>
              </w:tc>
              <w:tc>
                <w:tcPr>
                  <w:tcW w:w="671" w:type="dxa"/>
                  <w:tcBorders>
                    <w:tl2br w:val="nil"/>
                    <w:tr2bl w:val="nil"/>
                  </w:tcBorders>
                  <w:noWrap w:val="0"/>
                  <w:vAlign w:val="center"/>
                </w:tcPr>
                <w:p w14:paraId="56FBF5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s="Times New Roman"/>
                      <w:bCs/>
                      <w:sz w:val="21"/>
                      <w:szCs w:val="21"/>
                      <w:u w:val="none"/>
                      <w:lang w:val="en-US" w:eastAsia="zh-CN"/>
                    </w:rPr>
                    <w:t>NMHC、颗粒物、SO</w:t>
                  </w:r>
                  <w:r>
                    <w:rPr>
                      <w:rFonts w:hint="eastAsia" w:cs="Times New Roman"/>
                      <w:bCs/>
                      <w:sz w:val="21"/>
                      <w:szCs w:val="21"/>
                      <w:u w:val="none"/>
                      <w:vertAlign w:val="subscript"/>
                      <w:lang w:val="en-US" w:eastAsia="zh-CN"/>
                    </w:rPr>
                    <w:t>2</w:t>
                  </w: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424" w:type="dxa"/>
                  <w:tcBorders>
                    <w:tl2br w:val="nil"/>
                    <w:tr2bl w:val="nil"/>
                  </w:tcBorders>
                  <w:noWrap w:val="0"/>
                  <w:vAlign w:val="center"/>
                </w:tcPr>
                <w:p w14:paraId="44EA407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default" w:ascii="Times New Roman" w:hAnsi="Times New Roman" w:eastAsia="宋体" w:cs="Times New Roman"/>
                      <w:color w:val="000000" w:themeColor="text1"/>
                      <w:sz w:val="21"/>
                      <w:szCs w:val="21"/>
                      <w:u w:val="none" w:color="auto"/>
                      <w:lang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eastAsia="zh-CN"/>
                      <w14:textFill>
                        <w14:solidFill>
                          <w14:schemeClr w14:val="tx1"/>
                        </w14:solidFill>
                      </w14:textFill>
                    </w:rPr>
                    <w:t>111.854918</w:t>
                  </w:r>
                </w:p>
              </w:tc>
              <w:tc>
                <w:tcPr>
                  <w:tcW w:w="1335" w:type="dxa"/>
                  <w:tcBorders>
                    <w:tl2br w:val="nil"/>
                    <w:tr2bl w:val="nil"/>
                  </w:tcBorders>
                  <w:noWrap w:val="0"/>
                  <w:vAlign w:val="center"/>
                </w:tcPr>
                <w:p w14:paraId="692D8E1B">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default" w:ascii="Times New Roman" w:hAnsi="Times New Roman" w:eastAsia="宋体" w:cs="Times New Roman"/>
                      <w:color w:val="000000" w:themeColor="text1"/>
                      <w:sz w:val="21"/>
                      <w:szCs w:val="21"/>
                      <w:u w:val="none" w:color="auto"/>
                      <w:lang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lang w:eastAsia="zh-CN"/>
                      <w14:textFill>
                        <w14:solidFill>
                          <w14:schemeClr w14:val="tx1"/>
                        </w14:solidFill>
                      </w14:textFill>
                    </w:rPr>
                    <w:t>26.549415</w:t>
                  </w:r>
                </w:p>
              </w:tc>
              <w:tc>
                <w:tcPr>
                  <w:tcW w:w="531" w:type="dxa"/>
                  <w:tcBorders>
                    <w:tl2br w:val="nil"/>
                    <w:tr2bl w:val="nil"/>
                  </w:tcBorders>
                  <w:noWrap w:val="0"/>
                  <w:vAlign w:val="center"/>
                </w:tcPr>
                <w:p w14:paraId="302A3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40000</w:t>
                  </w:r>
                </w:p>
              </w:tc>
              <w:tc>
                <w:tcPr>
                  <w:tcW w:w="1170" w:type="dxa"/>
                  <w:tcBorders>
                    <w:tl2br w:val="nil"/>
                    <w:tr2bl w:val="nil"/>
                  </w:tcBorders>
                  <w:noWrap w:val="0"/>
                  <w:vAlign w:val="center"/>
                </w:tcPr>
                <w:p w14:paraId="0FE49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一般排放口</w:t>
                  </w:r>
                </w:p>
              </w:tc>
              <w:tc>
                <w:tcPr>
                  <w:tcW w:w="756" w:type="dxa"/>
                  <w:tcBorders>
                    <w:tl2br w:val="nil"/>
                    <w:tr2bl w:val="nil"/>
                  </w:tcBorders>
                  <w:noWrap w:val="0"/>
                  <w:vAlign w:val="center"/>
                </w:tcPr>
                <w:p w14:paraId="41B4A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15</w:t>
                  </w:r>
                </w:p>
              </w:tc>
              <w:tc>
                <w:tcPr>
                  <w:tcW w:w="801" w:type="dxa"/>
                  <w:tcBorders>
                    <w:tl2br w:val="nil"/>
                    <w:tr2bl w:val="nil"/>
                  </w:tcBorders>
                  <w:noWrap w:val="0"/>
                  <w:vAlign w:val="center"/>
                </w:tcPr>
                <w:p w14:paraId="2EE983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1.0</w:t>
                  </w:r>
                </w:p>
              </w:tc>
              <w:tc>
                <w:tcPr>
                  <w:tcW w:w="825" w:type="dxa"/>
                  <w:tcBorders>
                    <w:tl2br w:val="nil"/>
                    <w:tr2bl w:val="nil"/>
                  </w:tcBorders>
                  <w:noWrap w:val="0"/>
                  <w:vAlign w:val="center"/>
                </w:tcPr>
                <w:p w14:paraId="47F657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120</w:t>
                  </w:r>
                </w:p>
              </w:tc>
            </w:tr>
          </w:tbl>
          <w:p w14:paraId="540E92CA">
            <w:pPr>
              <w:keepNext w:val="0"/>
              <w:keepLines w:val="0"/>
              <w:suppressLineNumbers w:val="0"/>
              <w:autoSpaceDE w:val="0"/>
              <w:autoSpaceDN w:val="0"/>
              <w:spacing w:before="0" w:beforeAutospacing="0" w:after="0" w:afterAutospacing="0" w:line="360" w:lineRule="auto"/>
              <w:ind w:left="0" w:right="0" w:firstLine="480" w:firstLineChars="200"/>
              <w:jc w:val="left"/>
              <w:rPr>
                <w:rFonts w:hint="default"/>
                <w:color w:val="auto"/>
                <w:sz w:val="24"/>
                <w:szCs w:val="22"/>
                <w:highlight w:val="none"/>
                <w:u w:val="none" w:color="auto"/>
                <w:lang w:val="en-US" w:eastAsia="zh-CN"/>
              </w:rPr>
            </w:pPr>
            <w:r>
              <w:rPr>
                <w:rFonts w:hint="eastAsia"/>
                <w:color w:val="auto"/>
                <w:sz w:val="24"/>
                <w:szCs w:val="22"/>
                <w:highlight w:val="none"/>
                <w:u w:val="none" w:color="auto"/>
                <w:lang w:val="en-US" w:eastAsia="zh-CN"/>
              </w:rPr>
              <w:t>废气排气筒高度合理性分析：</w:t>
            </w:r>
          </w:p>
          <w:p w14:paraId="026753C1">
            <w:pPr>
              <w:keepNext w:val="0"/>
              <w:keepLines w:val="0"/>
              <w:suppressLineNumbers w:val="0"/>
              <w:autoSpaceDE w:val="0"/>
              <w:autoSpaceDN w:val="0"/>
              <w:spacing w:before="0" w:beforeAutospacing="0" w:after="0" w:afterAutospacing="0" w:line="360" w:lineRule="auto"/>
              <w:ind w:left="0" w:right="0" w:firstLine="480" w:firstLineChars="200"/>
              <w:jc w:val="left"/>
              <w:rPr>
                <w:rFonts w:hint="eastAsia" w:ascii="Times New Roman" w:hAnsi="Times New Roman" w:cs="Times New Roman"/>
                <w:b/>
                <w:bCs/>
                <w:color w:val="000000"/>
                <w:sz w:val="24"/>
                <w:u w:val="none"/>
                <w:lang w:val="en-US" w:eastAsia="zh-CN"/>
              </w:rPr>
            </w:pPr>
            <w:r>
              <w:rPr>
                <w:rFonts w:hint="eastAsia"/>
                <w:color w:val="auto"/>
                <w:sz w:val="24"/>
                <w:szCs w:val="22"/>
                <w:highlight w:val="none"/>
                <w:u w:val="none" w:color="auto"/>
                <w:lang w:val="en-US" w:eastAsia="zh-CN"/>
              </w:rPr>
              <w:t>根据《印刷工业大气污染物排放标准》（GB 41616-2022）：“4.5 排气筒的高度不低于15m（因安全考虑或特殊工艺要求的除外），具体高度以及与周围建筑物的相对高度关系应根据环境影响评价文件确定。”根据</w:t>
            </w:r>
            <w:r>
              <w:rPr>
                <w:rFonts w:hint="eastAsia" w:cs="Times New Roman"/>
                <w:color w:val="auto"/>
                <w:sz w:val="24"/>
                <w:highlight w:val="none"/>
                <w:u w:val="none" w:color="auto"/>
                <w:lang w:val="en-US" w:eastAsia="zh-CN"/>
              </w:rPr>
              <w:t>《工业企业挥发性有机物排放标准》（DB43/3550-2026）：“</w:t>
            </w:r>
            <w:r>
              <w:rPr>
                <w:rFonts w:hint="eastAsia"/>
                <w:color w:val="auto"/>
                <w:sz w:val="24"/>
                <w:szCs w:val="22"/>
                <w:highlight w:val="none"/>
                <w:u w:val="none" w:color="auto"/>
                <w:lang w:val="en-US" w:eastAsia="zh-CN"/>
              </w:rPr>
              <w:t>4.2 排气筒的高度不低于15m（因安全考虑或特殊工艺要求的除外），具体高度以及与周围建筑物的相对高度关系应根据环境影响评价文件确定。”因此本项目排气筒高度设计为15m，是合理的。</w:t>
            </w:r>
          </w:p>
          <w:p w14:paraId="3744DA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cs="Times New Roman"/>
                <w:b/>
                <w:bCs/>
                <w:color w:val="000000"/>
                <w:sz w:val="24"/>
                <w:u w:val="none"/>
                <w:lang w:val="en-US" w:eastAsia="zh-CN"/>
              </w:rPr>
            </w:pPr>
            <w:r>
              <w:rPr>
                <w:rFonts w:hint="eastAsia" w:cs="Times New Roman"/>
                <w:b/>
                <w:bCs/>
                <w:color w:val="000000"/>
                <w:sz w:val="24"/>
                <w:u w:val="none"/>
                <w:lang w:val="en-US" w:eastAsia="zh-CN"/>
              </w:rPr>
              <w:t>1.3、废气防治措施有效性分析</w:t>
            </w:r>
          </w:p>
          <w:p w14:paraId="0D40AD08">
            <w:pPr>
              <w:keepNext w:val="0"/>
              <w:keepLines w:val="0"/>
              <w:suppressLineNumbers w:val="0"/>
              <w:autoSpaceDE w:val="0"/>
              <w:autoSpaceDN w:val="0"/>
              <w:spacing w:before="0" w:beforeAutospacing="0" w:after="0" w:afterAutospacing="0" w:line="360" w:lineRule="auto"/>
              <w:ind w:left="0" w:right="0" w:firstLine="480" w:firstLineChars="200"/>
              <w:jc w:val="left"/>
              <w:rPr>
                <w:rFonts w:hint="default"/>
                <w:color w:val="auto"/>
                <w:sz w:val="24"/>
                <w:szCs w:val="22"/>
                <w:highlight w:val="none"/>
                <w:u w:val="none" w:color="auto"/>
                <w:lang w:val="en-US" w:eastAsia="zh-CN"/>
              </w:rPr>
            </w:pPr>
            <w:r>
              <w:rPr>
                <w:rFonts w:hint="eastAsia"/>
                <w:color w:val="auto"/>
                <w:sz w:val="24"/>
                <w:szCs w:val="22"/>
                <w:highlight w:val="none"/>
                <w:u w:val="none" w:color="auto"/>
                <w:lang w:val="en-US" w:eastAsia="zh-CN"/>
              </w:rPr>
              <w:t>根据《排污许可证申请与核发技术规范印刷工业》（HJ 1066－2019）表A.1 废气治理可行技术参考表，挥发性有机物浓度&lt;1000 mg/m</w:t>
            </w:r>
            <w:r>
              <w:rPr>
                <w:rFonts w:hint="eastAsia"/>
                <w:color w:val="auto"/>
                <w:sz w:val="24"/>
                <w:szCs w:val="22"/>
                <w:highlight w:val="none"/>
                <w:u w:val="none" w:color="auto"/>
                <w:vertAlign w:val="superscript"/>
                <w:lang w:val="en-US" w:eastAsia="zh-CN"/>
              </w:rPr>
              <w:t>3</w:t>
            </w:r>
            <w:r>
              <w:rPr>
                <w:rFonts w:hint="eastAsia"/>
                <w:color w:val="auto"/>
                <w:sz w:val="24"/>
                <w:szCs w:val="22"/>
                <w:highlight w:val="none"/>
                <w:u w:val="none" w:color="auto"/>
                <w:vertAlign w:val="baseline"/>
                <w:lang w:val="en-US" w:eastAsia="zh-CN"/>
              </w:rPr>
              <w:t>时可行技术包括：活性炭吸附（现场再生）、浓缩+热力（催化）氧化、直接热力（催化）氧化、其他。本项目采取</w:t>
            </w:r>
            <w:r>
              <w:rPr>
                <w:rFonts w:hint="eastAsia"/>
                <w:color w:val="auto"/>
                <w:sz w:val="24"/>
                <w:szCs w:val="22"/>
                <w:highlight w:val="none"/>
                <w:u w:val="none" w:color="auto"/>
                <w:lang w:val="en-US" w:eastAsia="zh-CN"/>
              </w:rPr>
              <w:t>沸石转轮浓缩+旋转式RTO处理有机废气属于可行技术。</w:t>
            </w:r>
          </w:p>
          <w:p w14:paraId="6C24F79E">
            <w:pPr>
              <w:keepNext w:val="0"/>
              <w:keepLines w:val="0"/>
              <w:suppressLineNumbers w:val="0"/>
              <w:autoSpaceDE w:val="0"/>
              <w:autoSpaceDN w:val="0"/>
              <w:spacing w:before="0" w:beforeAutospacing="0" w:after="0" w:afterAutospacing="0" w:line="360" w:lineRule="auto"/>
              <w:ind w:left="0" w:right="0" w:firstLine="480" w:firstLineChars="200"/>
              <w:jc w:val="left"/>
              <w:rPr>
                <w:rFonts w:hint="eastAsia"/>
                <w:color w:val="auto"/>
                <w:sz w:val="24"/>
                <w:szCs w:val="22"/>
                <w:highlight w:val="none"/>
                <w:u w:val="none" w:color="auto"/>
                <w:lang w:val="en-US" w:eastAsia="zh-CN"/>
              </w:rPr>
            </w:pPr>
            <w:r>
              <w:rPr>
                <w:rFonts w:hint="eastAsia"/>
                <w:color w:val="auto"/>
                <w:sz w:val="24"/>
                <w:szCs w:val="22"/>
                <w:highlight w:val="none"/>
                <w:u w:val="none" w:color="auto"/>
                <w:lang w:val="en-US" w:eastAsia="zh-CN"/>
              </w:rPr>
              <w:t>根据《印刷工业污染防治可行技术指南》（HJ 1089-2020）表1 废气污染防治可行技术，主要废气治理措施“沸石转轮浓缩+旋转式RTO”属于可行技术9 燃烧技术。同时项目采取部分无溶剂复合，属于可行技术15无溶剂复合技术。</w:t>
            </w:r>
          </w:p>
          <w:p w14:paraId="30322F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cs="Times New Roman"/>
                <w:b/>
                <w:bCs/>
                <w:color w:val="000000"/>
                <w:sz w:val="24"/>
                <w:u w:val="none"/>
                <w:lang w:val="en-US" w:eastAsia="zh-CN"/>
              </w:rPr>
            </w:pPr>
            <w:r>
              <w:rPr>
                <w:rFonts w:hint="eastAsia" w:cs="Times New Roman"/>
                <w:b/>
                <w:bCs/>
                <w:color w:val="000000"/>
                <w:sz w:val="24"/>
                <w:u w:val="none"/>
                <w:lang w:val="en-US" w:eastAsia="zh-CN"/>
              </w:rPr>
              <w:t>1.4、非正常工况分析</w:t>
            </w:r>
          </w:p>
          <w:p w14:paraId="72B869C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pPr>
            <w:r>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t>本项目非正常工况主要是污染物排放控制措施达不到应有效率，即</w:t>
            </w:r>
            <w:r>
              <w:rPr>
                <w:rFonts w:hint="eastAsia"/>
                <w:color w:val="auto"/>
                <w:sz w:val="24"/>
                <w:szCs w:val="22"/>
                <w:highlight w:val="none"/>
                <w:u w:val="none" w:color="auto"/>
                <w:lang w:val="en-US" w:eastAsia="zh-CN"/>
              </w:rPr>
              <w:t>沸石转轮浓缩+旋转式RTO</w:t>
            </w:r>
            <w:r>
              <w:rPr>
                <w:rFonts w:hint="eastAsia" w:cs="Times New Roman"/>
                <w:b w:val="0"/>
                <w:bCs w:val="0"/>
                <w:color w:val="000000" w:themeColor="text1"/>
                <w:sz w:val="24"/>
                <w:u w:val="none" w:color="auto"/>
                <w:lang w:val="en-US" w:eastAsia="zh-CN"/>
                <w14:textFill>
                  <w14:solidFill>
                    <w14:schemeClr w14:val="tx1"/>
                  </w14:solidFill>
                </w14:textFill>
              </w:rPr>
              <w:t>损坏或环保设备故障</w:t>
            </w:r>
            <w:r>
              <w:rPr>
                <w:rFonts w:hint="eastAsia" w:ascii="Times New Roman" w:hAnsi="Times New Roman" w:cs="Times New Roman"/>
                <w:b w:val="0"/>
                <w:bCs w:val="0"/>
                <w:color w:val="000000" w:themeColor="text1"/>
                <w:sz w:val="24"/>
                <w:u w:val="none" w:color="auto"/>
                <w:lang w:val="en-US" w:eastAsia="zh-CN"/>
                <w14:textFill>
                  <w14:solidFill>
                    <w14:schemeClr w14:val="tx1"/>
                  </w14:solidFill>
                </w14:textFill>
              </w:rPr>
              <w:t>，造成排气筒废气污染物未经净化直接排放，其排放情况见下表：</w:t>
            </w:r>
          </w:p>
          <w:p w14:paraId="64A40F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b/>
                <w:color w:val="000000" w:themeColor="text1"/>
                <w:szCs w:val="21"/>
                <w:u w:val="none" w:color="auto"/>
                <w14:textFill>
                  <w14:solidFill>
                    <w14:schemeClr w14:val="tx1"/>
                  </w14:solidFill>
                </w14:textFill>
              </w:rPr>
            </w:pPr>
            <w:r>
              <w:rPr>
                <w:rFonts w:hint="eastAsia"/>
                <w:b/>
                <w:color w:val="000000" w:themeColor="text1"/>
                <w:szCs w:val="21"/>
                <w:u w:val="none" w:color="auto"/>
                <w14:textFill>
                  <w14:solidFill>
                    <w14:schemeClr w14:val="tx1"/>
                  </w14:solidFill>
                </w14:textFill>
              </w:rPr>
              <w:t>表4-</w:t>
            </w:r>
            <w:r>
              <w:rPr>
                <w:rFonts w:hint="eastAsia"/>
                <w:b/>
                <w:color w:val="000000" w:themeColor="text1"/>
                <w:szCs w:val="21"/>
                <w:u w:val="none" w:color="auto"/>
                <w:lang w:val="en-US" w:eastAsia="zh-CN"/>
                <w14:textFill>
                  <w14:solidFill>
                    <w14:schemeClr w14:val="tx1"/>
                  </w14:solidFill>
                </w14:textFill>
              </w:rPr>
              <w:t>8</w:t>
            </w:r>
            <w:r>
              <w:rPr>
                <w:rFonts w:hint="eastAsia"/>
                <w:b/>
                <w:color w:val="000000" w:themeColor="text1"/>
                <w:szCs w:val="21"/>
                <w:u w:val="none" w:color="auto"/>
                <w14:textFill>
                  <w14:solidFill>
                    <w14:schemeClr w14:val="tx1"/>
                  </w14:solidFill>
                </w14:textFill>
              </w:rPr>
              <w:t xml:space="preserve">  非正常排放源强参数一览表</w:t>
            </w:r>
          </w:p>
          <w:tbl>
            <w:tblPr>
              <w:tblStyle w:val="4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738"/>
              <w:gridCol w:w="1153"/>
              <w:gridCol w:w="1167"/>
              <w:gridCol w:w="997"/>
              <w:gridCol w:w="953"/>
              <w:gridCol w:w="851"/>
              <w:gridCol w:w="1002"/>
              <w:gridCol w:w="671"/>
            </w:tblGrid>
            <w:tr w14:paraId="53AF7E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restart"/>
                  <w:tcBorders>
                    <w:tl2br w:val="nil"/>
                    <w:tr2bl w:val="nil"/>
                  </w:tcBorders>
                  <w:noWrap w:val="0"/>
                  <w:vAlign w:val="center"/>
                </w:tcPr>
                <w:p w14:paraId="4CD12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污染源</w:t>
                  </w:r>
                </w:p>
              </w:tc>
              <w:tc>
                <w:tcPr>
                  <w:tcW w:w="435" w:type="pct"/>
                  <w:vMerge w:val="restart"/>
                  <w:tcBorders>
                    <w:tl2br w:val="nil"/>
                    <w:tr2bl w:val="nil"/>
                  </w:tcBorders>
                  <w:noWrap w:val="0"/>
                  <w:vAlign w:val="center"/>
                </w:tcPr>
                <w:p w14:paraId="392DB9E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污染物</w:t>
                  </w:r>
                </w:p>
              </w:tc>
              <w:tc>
                <w:tcPr>
                  <w:tcW w:w="680" w:type="pct"/>
                  <w:vMerge w:val="restart"/>
                  <w:tcBorders>
                    <w:tl2br w:val="nil"/>
                    <w:tr2bl w:val="nil"/>
                  </w:tcBorders>
                  <w:noWrap w:val="0"/>
                  <w:vAlign w:val="center"/>
                </w:tcPr>
                <w:p w14:paraId="1767AD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非正常排放原因</w:t>
                  </w:r>
                </w:p>
              </w:tc>
              <w:tc>
                <w:tcPr>
                  <w:tcW w:w="2340" w:type="pct"/>
                  <w:gridSpan w:val="4"/>
                  <w:tcBorders>
                    <w:tl2br w:val="nil"/>
                    <w:tr2bl w:val="nil"/>
                  </w:tcBorders>
                  <w:noWrap w:val="0"/>
                  <w:vAlign w:val="center"/>
                </w:tcPr>
                <w:p w14:paraId="30BC0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非正常排放情况</w:t>
                  </w:r>
                </w:p>
              </w:tc>
              <w:tc>
                <w:tcPr>
                  <w:tcW w:w="591" w:type="pct"/>
                  <w:tcBorders>
                    <w:tl2br w:val="nil"/>
                    <w:tr2bl w:val="nil"/>
                  </w:tcBorders>
                  <w:noWrap w:val="0"/>
                  <w:vAlign w:val="center"/>
                </w:tcPr>
                <w:p w14:paraId="0D2ED7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执行标准</w:t>
                  </w:r>
                </w:p>
              </w:tc>
              <w:tc>
                <w:tcPr>
                  <w:tcW w:w="395" w:type="pct"/>
                  <w:vMerge w:val="restart"/>
                  <w:tcBorders>
                    <w:tl2br w:val="nil"/>
                    <w:tr2bl w:val="nil"/>
                  </w:tcBorders>
                  <w:noWrap w:val="0"/>
                  <w:vAlign w:val="center"/>
                </w:tcPr>
                <w:p w14:paraId="72CC9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达标</w:t>
                  </w:r>
                </w:p>
                <w:p w14:paraId="06BB8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分析</w:t>
                  </w:r>
                </w:p>
              </w:tc>
            </w:tr>
            <w:tr w14:paraId="49BC62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continue"/>
                  <w:tcBorders>
                    <w:tl2br w:val="nil"/>
                    <w:tr2bl w:val="nil"/>
                  </w:tcBorders>
                  <w:noWrap w:val="0"/>
                  <w:vAlign w:val="center"/>
                </w:tcPr>
                <w:p w14:paraId="566EDA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sz w:val="21"/>
                      <w:szCs w:val="21"/>
                      <w:u w:val="none" w:color="auto"/>
                      <w14:textFill>
                        <w14:solidFill>
                          <w14:schemeClr w14:val="tx1"/>
                        </w14:solidFill>
                      </w14:textFill>
                    </w:rPr>
                  </w:pPr>
                </w:p>
              </w:tc>
              <w:tc>
                <w:tcPr>
                  <w:tcW w:w="435" w:type="pct"/>
                  <w:vMerge w:val="continue"/>
                  <w:tcBorders>
                    <w:tl2br w:val="nil"/>
                    <w:tr2bl w:val="nil"/>
                  </w:tcBorders>
                  <w:noWrap w:val="0"/>
                  <w:vAlign w:val="center"/>
                </w:tcPr>
                <w:p w14:paraId="6E2414B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eastAsia="宋体"/>
                      <w:bCs/>
                      <w:color w:val="000000" w:themeColor="text1"/>
                      <w:sz w:val="21"/>
                      <w:szCs w:val="21"/>
                      <w:u w:val="none" w:color="auto"/>
                      <w:lang w:val="en-US" w:eastAsia="zh-CN"/>
                      <w14:textFill>
                        <w14:solidFill>
                          <w14:schemeClr w14:val="tx1"/>
                        </w14:solidFill>
                      </w14:textFill>
                    </w:rPr>
                  </w:pPr>
                </w:p>
              </w:tc>
              <w:tc>
                <w:tcPr>
                  <w:tcW w:w="680" w:type="pct"/>
                  <w:vMerge w:val="continue"/>
                  <w:tcBorders>
                    <w:tl2br w:val="nil"/>
                    <w:tr2bl w:val="nil"/>
                  </w:tcBorders>
                  <w:noWrap w:val="0"/>
                  <w:vAlign w:val="center"/>
                </w:tcPr>
                <w:p w14:paraId="5BEB8B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eastAsia="宋体"/>
                      <w:bCs/>
                      <w:color w:val="000000" w:themeColor="text1"/>
                      <w:sz w:val="21"/>
                      <w:szCs w:val="21"/>
                      <w:u w:val="none" w:color="auto"/>
                      <w:lang w:val="en-US" w:eastAsia="zh-CN"/>
                      <w14:textFill>
                        <w14:solidFill>
                          <w14:schemeClr w14:val="tx1"/>
                        </w14:solidFill>
                      </w14:textFill>
                    </w:rPr>
                  </w:pPr>
                </w:p>
              </w:tc>
              <w:tc>
                <w:tcPr>
                  <w:tcW w:w="688" w:type="pct"/>
                  <w:tcBorders>
                    <w:tl2br w:val="nil"/>
                    <w:tr2bl w:val="nil"/>
                  </w:tcBorders>
                  <w:noWrap w:val="0"/>
                  <w:vAlign w:val="center"/>
                </w:tcPr>
                <w:p w14:paraId="1071E5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p>
              </w:tc>
              <w:tc>
                <w:tcPr>
                  <w:tcW w:w="588" w:type="pct"/>
                  <w:tcBorders>
                    <w:tl2br w:val="nil"/>
                    <w:tr2bl w:val="nil"/>
                  </w:tcBorders>
                  <w:noWrap w:val="0"/>
                  <w:vAlign w:val="center"/>
                </w:tcPr>
                <w:p w14:paraId="32A7E8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速率kg/h</w:t>
                  </w:r>
                </w:p>
              </w:tc>
              <w:tc>
                <w:tcPr>
                  <w:tcW w:w="562" w:type="pct"/>
                  <w:tcBorders>
                    <w:tl2br w:val="nil"/>
                    <w:tr2bl w:val="nil"/>
                  </w:tcBorders>
                  <w:noWrap w:val="0"/>
                  <w:vAlign w:val="center"/>
                </w:tcPr>
                <w:p w14:paraId="0BD7A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频次及</w:t>
                  </w:r>
                </w:p>
                <w:p w14:paraId="32925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持续时间</w:t>
                  </w:r>
                </w:p>
              </w:tc>
              <w:tc>
                <w:tcPr>
                  <w:tcW w:w="501" w:type="pct"/>
                  <w:tcBorders>
                    <w:tl2br w:val="nil"/>
                    <w:tr2bl w:val="nil"/>
                  </w:tcBorders>
                  <w:noWrap w:val="0"/>
                  <w:vAlign w:val="center"/>
                </w:tcPr>
                <w:p w14:paraId="18295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排放量kg/a</w:t>
                  </w:r>
                </w:p>
              </w:tc>
              <w:tc>
                <w:tcPr>
                  <w:tcW w:w="591" w:type="pct"/>
                  <w:tcBorders>
                    <w:tl2br w:val="nil"/>
                    <w:tr2bl w:val="nil"/>
                  </w:tcBorders>
                  <w:noWrap w:val="0"/>
                  <w:vAlign w:val="center"/>
                </w:tcPr>
                <w:p w14:paraId="56EDBA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sz w:val="21"/>
                      <w:szCs w:val="21"/>
                      <w:u w:val="none" w:color="auto"/>
                      <w:lang w:val="en-US" w:eastAsia="zh-CN"/>
                      <w14:textFill>
                        <w14:solidFill>
                          <w14:schemeClr w14:val="tx1"/>
                        </w14:solidFill>
                      </w14:textFill>
                    </w:rPr>
                    <w:t>浓度mg/m</w:t>
                  </w:r>
                  <w:r>
                    <w:rPr>
                      <w:rFonts w:hint="eastAsia"/>
                      <w:bCs/>
                      <w:color w:val="000000" w:themeColor="text1"/>
                      <w:sz w:val="21"/>
                      <w:szCs w:val="21"/>
                      <w:u w:val="none" w:color="auto"/>
                      <w:vertAlign w:val="superscript"/>
                      <w:lang w:val="en-US" w:eastAsia="zh-CN"/>
                      <w14:textFill>
                        <w14:solidFill>
                          <w14:schemeClr w14:val="tx1"/>
                        </w14:solidFill>
                      </w14:textFill>
                    </w:rPr>
                    <w:t>3</w:t>
                  </w:r>
                </w:p>
              </w:tc>
              <w:tc>
                <w:tcPr>
                  <w:tcW w:w="395" w:type="pct"/>
                  <w:vMerge w:val="continue"/>
                  <w:tcBorders>
                    <w:tl2br w:val="nil"/>
                    <w:tr2bl w:val="nil"/>
                  </w:tcBorders>
                  <w:noWrap w:val="0"/>
                  <w:vAlign w:val="center"/>
                </w:tcPr>
                <w:p w14:paraId="4E0013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sz w:val="21"/>
                      <w:szCs w:val="21"/>
                      <w:u w:val="none" w:color="auto"/>
                      <w:lang w:val="en-US" w:eastAsia="zh-CN"/>
                      <w14:textFill>
                        <w14:solidFill>
                          <w14:schemeClr w14:val="tx1"/>
                        </w14:solidFill>
                      </w14:textFill>
                    </w:rPr>
                  </w:pPr>
                </w:p>
              </w:tc>
            </w:tr>
            <w:tr w14:paraId="53137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restart"/>
                  <w:tcBorders>
                    <w:tl2br w:val="nil"/>
                    <w:tr2bl w:val="nil"/>
                  </w:tcBorders>
                  <w:noWrap w:val="0"/>
                  <w:vAlign w:val="center"/>
                </w:tcPr>
                <w:p w14:paraId="03CB31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DA001</w:t>
                  </w:r>
                </w:p>
              </w:tc>
              <w:tc>
                <w:tcPr>
                  <w:tcW w:w="435" w:type="pct"/>
                  <w:tcBorders>
                    <w:tl2br w:val="nil"/>
                    <w:tr2bl w:val="nil"/>
                  </w:tcBorders>
                  <w:noWrap w:val="0"/>
                  <w:vAlign w:val="center"/>
                </w:tcPr>
                <w:p w14:paraId="4001AD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b w:val="0"/>
                      <w:bCs/>
                      <w:color w:val="000000" w:themeColor="text1"/>
                      <w:kern w:val="0"/>
                      <w:sz w:val="21"/>
                      <w:szCs w:val="21"/>
                      <w:u w:val="none" w:color="auto"/>
                      <w:lang w:val="en-US" w:eastAsia="zh-CN"/>
                      <w14:textFill>
                        <w14:solidFill>
                          <w14:schemeClr w14:val="tx1"/>
                        </w14:solidFill>
                      </w14:textFill>
                    </w:rPr>
                    <w:t>NMHC</w:t>
                  </w:r>
                  <w:r>
                    <w:rPr>
                      <w:rFonts w:hint="eastAsia" w:ascii="Times New Roman" w:hAnsi="Times New Roman" w:cs="Times New Roman"/>
                      <w:color w:val="auto"/>
                      <w:sz w:val="21"/>
                      <w:szCs w:val="21"/>
                      <w:u w:val="none" w:color="auto"/>
                      <w:lang w:val="en-US" w:eastAsia="zh-CN"/>
                    </w:rPr>
                    <w:t xml:space="preserve"> </w:t>
                  </w:r>
                </w:p>
              </w:tc>
              <w:tc>
                <w:tcPr>
                  <w:tcW w:w="680" w:type="pct"/>
                  <w:vMerge w:val="restart"/>
                  <w:tcBorders>
                    <w:tl2br w:val="nil"/>
                    <w:tr2bl w:val="nil"/>
                  </w:tcBorders>
                  <w:noWrap w:val="0"/>
                  <w:vAlign w:val="center"/>
                </w:tcPr>
                <w:p w14:paraId="12FE73F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eastAsia="宋体"/>
                      <w:color w:val="000000" w:themeColor="text1"/>
                      <w:sz w:val="21"/>
                      <w:szCs w:val="21"/>
                      <w:u w:val="none" w:color="auto"/>
                      <w:lang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设备故障</w:t>
                  </w:r>
                  <w:r>
                    <w:rPr>
                      <w:rFonts w:hint="eastAsia" w:eastAsia="宋体"/>
                      <w:color w:val="000000" w:themeColor="text1"/>
                      <w:sz w:val="21"/>
                      <w:szCs w:val="21"/>
                      <w:u w:val="none" w:color="auto"/>
                      <w:lang w:eastAsia="zh-CN"/>
                      <w14:textFill>
                        <w14:solidFill>
                          <w14:schemeClr w14:val="tx1"/>
                        </w14:solidFill>
                      </w14:textFill>
                    </w:rPr>
                    <w:t>，</w:t>
                  </w:r>
                  <w:r>
                    <w:rPr>
                      <w:rFonts w:hint="eastAsia"/>
                      <w:color w:val="000000" w:themeColor="text1"/>
                      <w:sz w:val="21"/>
                      <w:szCs w:val="21"/>
                      <w:u w:val="none" w:color="auto"/>
                      <w:lang w:val="en-US" w:eastAsia="zh-CN"/>
                      <w14:textFill>
                        <w14:solidFill>
                          <w14:schemeClr w14:val="tx1"/>
                        </w14:solidFill>
                      </w14:textFill>
                    </w:rPr>
                    <w:t>处理</w:t>
                  </w:r>
                  <w:r>
                    <w:rPr>
                      <w:rFonts w:hint="eastAsia" w:eastAsia="宋体"/>
                      <w:color w:val="000000" w:themeColor="text1"/>
                      <w:sz w:val="21"/>
                      <w:szCs w:val="21"/>
                      <w:u w:val="none" w:color="auto"/>
                      <w:lang w:eastAsia="zh-CN"/>
                      <w14:textFill>
                        <w14:solidFill>
                          <w14:schemeClr w14:val="tx1"/>
                        </w14:solidFill>
                      </w14:textFill>
                    </w:rPr>
                    <w:t>效率按0%计</w:t>
                  </w:r>
                </w:p>
              </w:tc>
              <w:tc>
                <w:tcPr>
                  <w:tcW w:w="688" w:type="pct"/>
                  <w:tcBorders>
                    <w:tl2br w:val="nil"/>
                    <w:tr2bl w:val="nil"/>
                  </w:tcBorders>
                  <w:noWrap w:val="0"/>
                  <w:vAlign w:val="center"/>
                </w:tcPr>
                <w:p w14:paraId="56FDDEAC">
                  <w:pPr>
                    <w:keepNext w:val="0"/>
                    <w:keepLines w:val="0"/>
                    <w:widowControl/>
                    <w:suppressLineNumbers w:val="0"/>
                    <w:spacing w:before="0" w:beforeAutospacing="0" w:after="0" w:afterAutospacing="0"/>
                    <w:ind w:left="0" w:right="0"/>
                    <w:jc w:val="center"/>
                    <w:textAlignment w:val="center"/>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128.232</w:t>
                  </w:r>
                </w:p>
              </w:tc>
              <w:tc>
                <w:tcPr>
                  <w:tcW w:w="588" w:type="pct"/>
                  <w:tcBorders>
                    <w:tl2br w:val="nil"/>
                    <w:tr2bl w:val="nil"/>
                  </w:tcBorders>
                  <w:noWrap w:val="0"/>
                  <w:vAlign w:val="center"/>
                </w:tcPr>
                <w:p w14:paraId="4D245998">
                  <w:pPr>
                    <w:keepNext w:val="0"/>
                    <w:keepLines w:val="0"/>
                    <w:widowControl/>
                    <w:suppressLineNumbers w:val="0"/>
                    <w:spacing w:before="0" w:beforeAutospacing="0" w:after="0" w:afterAutospacing="0"/>
                    <w:ind w:left="0" w:right="0"/>
                    <w:jc w:val="center"/>
                    <w:textAlignment w:val="center"/>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5.129</w:t>
                  </w:r>
                </w:p>
              </w:tc>
              <w:tc>
                <w:tcPr>
                  <w:tcW w:w="562" w:type="pct"/>
                  <w:vMerge w:val="restart"/>
                  <w:tcBorders>
                    <w:tl2br w:val="nil"/>
                    <w:tr2bl w:val="nil"/>
                  </w:tcBorders>
                  <w:noWrap w:val="0"/>
                  <w:vAlign w:val="center"/>
                </w:tcPr>
                <w:p w14:paraId="463F9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2次/a，1h/次</w:t>
                  </w:r>
                </w:p>
              </w:tc>
              <w:tc>
                <w:tcPr>
                  <w:tcW w:w="501" w:type="pct"/>
                  <w:tcBorders>
                    <w:tl2br w:val="nil"/>
                    <w:tr2bl w:val="nil"/>
                  </w:tcBorders>
                  <w:noWrap w:val="0"/>
                  <w:vAlign w:val="center"/>
                </w:tcPr>
                <w:p w14:paraId="77E9B1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14:textFill>
                        <w14:solidFill>
                          <w14:schemeClr w14:val="tx1"/>
                        </w14:solidFill>
                      </w14:textFill>
                    </w:rPr>
                  </w:pPr>
                  <w:r>
                    <w:rPr>
                      <w:rFonts w:hint="eastAsia" w:cs="Times New Roman"/>
                      <w:bCs/>
                      <w:color w:val="000000" w:themeColor="text1"/>
                      <w:kern w:val="0"/>
                      <w:sz w:val="21"/>
                      <w:szCs w:val="21"/>
                      <w:u w:val="none" w:color="auto"/>
                      <w:lang w:val="en-US" w:eastAsia="zh-CN"/>
                      <w14:textFill>
                        <w14:solidFill>
                          <w14:schemeClr w14:val="tx1"/>
                        </w14:solidFill>
                      </w14:textFill>
                    </w:rPr>
                    <w:t>10.258</w:t>
                  </w:r>
                </w:p>
              </w:tc>
              <w:tc>
                <w:tcPr>
                  <w:tcW w:w="591" w:type="pct"/>
                  <w:tcBorders>
                    <w:tl2br w:val="nil"/>
                    <w:tr2bl w:val="nil"/>
                  </w:tcBorders>
                  <w:noWrap w:val="0"/>
                  <w:vAlign w:val="center"/>
                </w:tcPr>
                <w:p w14:paraId="0F9B7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bCs/>
                      <w:color w:val="000000" w:themeColor="text1"/>
                      <w:kern w:val="0"/>
                      <w:sz w:val="21"/>
                      <w:szCs w:val="21"/>
                      <w:u w:val="none" w:color="auto"/>
                      <w:lang w:val="en-US" w:eastAsia="zh-CN"/>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40</w:t>
                  </w:r>
                </w:p>
              </w:tc>
              <w:tc>
                <w:tcPr>
                  <w:tcW w:w="395" w:type="pct"/>
                  <w:tcBorders>
                    <w:tl2br w:val="nil"/>
                    <w:tr2bl w:val="nil"/>
                  </w:tcBorders>
                  <w:noWrap w:val="0"/>
                  <w:vAlign w:val="center"/>
                </w:tcPr>
                <w:p w14:paraId="55422C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eastAsia="宋体"/>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超标</w:t>
                  </w:r>
                </w:p>
              </w:tc>
            </w:tr>
            <w:tr w14:paraId="0834E0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continue"/>
                  <w:tcBorders>
                    <w:tl2br w:val="nil"/>
                    <w:tr2bl w:val="nil"/>
                  </w:tcBorders>
                  <w:noWrap w:val="0"/>
                  <w:vAlign w:val="center"/>
                </w:tcPr>
                <w:p w14:paraId="43C7E7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p>
              </w:tc>
              <w:tc>
                <w:tcPr>
                  <w:tcW w:w="435" w:type="pct"/>
                  <w:tcBorders>
                    <w:tl2br w:val="nil"/>
                    <w:tr2bl w:val="nil"/>
                  </w:tcBorders>
                  <w:noWrap w:val="0"/>
                  <w:vAlign w:val="center"/>
                </w:tcPr>
                <w:p w14:paraId="1C2BFF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b w:val="0"/>
                      <w:bCs/>
                      <w:color w:val="000000" w:themeColor="text1"/>
                      <w:kern w:val="0"/>
                      <w:sz w:val="21"/>
                      <w:szCs w:val="21"/>
                      <w:u w:val="none" w:color="auto"/>
                      <w:lang w:val="en-US" w:eastAsia="zh-CN"/>
                      <w14:textFill>
                        <w14:solidFill>
                          <w14:schemeClr w14:val="tx1"/>
                        </w14:solidFill>
                      </w14:textFill>
                    </w:rPr>
                    <w:t>颗粒物</w:t>
                  </w:r>
                  <w:r>
                    <w:rPr>
                      <w:rFonts w:hint="eastAsia" w:ascii="Times New Roman" w:hAnsi="Times New Roman" w:cs="Times New Roman"/>
                      <w:color w:val="auto"/>
                      <w:sz w:val="21"/>
                      <w:szCs w:val="21"/>
                      <w:u w:val="none" w:color="auto"/>
                      <w:lang w:val="en-US" w:eastAsia="zh-CN"/>
                    </w:rPr>
                    <w:t xml:space="preserve"> </w:t>
                  </w:r>
                </w:p>
              </w:tc>
              <w:tc>
                <w:tcPr>
                  <w:tcW w:w="680" w:type="pct"/>
                  <w:vMerge w:val="continue"/>
                  <w:tcBorders>
                    <w:tl2br w:val="nil"/>
                    <w:tr2bl w:val="nil"/>
                  </w:tcBorders>
                  <w:noWrap w:val="0"/>
                  <w:vAlign w:val="center"/>
                </w:tcPr>
                <w:p w14:paraId="3AC0E06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p>
              </w:tc>
              <w:tc>
                <w:tcPr>
                  <w:tcW w:w="1163" w:type="dxa"/>
                  <w:tcBorders>
                    <w:tl2br w:val="nil"/>
                    <w:tr2bl w:val="nil"/>
                  </w:tcBorders>
                  <w:noWrap w:val="0"/>
                  <w:vAlign w:val="center"/>
                </w:tcPr>
                <w:p w14:paraId="35C7F8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0.05</w:t>
                  </w:r>
                </w:p>
              </w:tc>
              <w:tc>
                <w:tcPr>
                  <w:tcW w:w="994" w:type="dxa"/>
                  <w:tcBorders>
                    <w:tl2br w:val="nil"/>
                    <w:tr2bl w:val="nil"/>
                  </w:tcBorders>
                  <w:noWrap w:val="0"/>
                  <w:vAlign w:val="center"/>
                </w:tcPr>
                <w:p w14:paraId="31C79D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0.002</w:t>
                  </w:r>
                </w:p>
              </w:tc>
              <w:tc>
                <w:tcPr>
                  <w:tcW w:w="562" w:type="pct"/>
                  <w:vMerge w:val="continue"/>
                  <w:tcBorders>
                    <w:tl2br w:val="nil"/>
                    <w:tr2bl w:val="nil"/>
                  </w:tcBorders>
                  <w:noWrap w:val="0"/>
                  <w:vAlign w:val="center"/>
                </w:tcPr>
                <w:p w14:paraId="35FB6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p>
              </w:tc>
              <w:tc>
                <w:tcPr>
                  <w:tcW w:w="501" w:type="pct"/>
                  <w:tcBorders>
                    <w:tl2br w:val="nil"/>
                    <w:tr2bl w:val="nil"/>
                  </w:tcBorders>
                  <w:noWrap w:val="0"/>
                  <w:vAlign w:val="center"/>
                </w:tcPr>
                <w:p w14:paraId="794EDE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14:textFill>
                        <w14:solidFill>
                          <w14:schemeClr w14:val="tx1"/>
                        </w14:solidFill>
                      </w14:textFill>
                    </w:rPr>
                  </w:pPr>
                  <w:r>
                    <w:rPr>
                      <w:rFonts w:hint="eastAsia" w:cs="Times New Roman"/>
                      <w:bCs/>
                      <w:color w:val="000000" w:themeColor="text1"/>
                      <w:kern w:val="0"/>
                      <w:sz w:val="21"/>
                      <w:szCs w:val="21"/>
                      <w:u w:val="none" w:color="auto"/>
                      <w:lang w:val="en-US" w:eastAsia="zh-CN"/>
                      <w14:textFill>
                        <w14:solidFill>
                          <w14:schemeClr w14:val="tx1"/>
                        </w14:solidFill>
                      </w14:textFill>
                    </w:rPr>
                    <w:t>0.004</w:t>
                  </w:r>
                </w:p>
              </w:tc>
              <w:tc>
                <w:tcPr>
                  <w:tcW w:w="591" w:type="pct"/>
                  <w:tcBorders>
                    <w:tl2br w:val="nil"/>
                    <w:tr2bl w:val="nil"/>
                  </w:tcBorders>
                  <w:noWrap w:val="0"/>
                  <w:vAlign w:val="center"/>
                </w:tcPr>
                <w:p w14:paraId="1F8DA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bidi="ar-SA"/>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30</w:t>
                  </w:r>
                </w:p>
              </w:tc>
              <w:tc>
                <w:tcPr>
                  <w:tcW w:w="395" w:type="pct"/>
                  <w:tcBorders>
                    <w:tl2br w:val="nil"/>
                    <w:tr2bl w:val="nil"/>
                  </w:tcBorders>
                  <w:noWrap w:val="0"/>
                  <w:vAlign w:val="center"/>
                </w:tcPr>
                <w:p w14:paraId="63A39A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达标</w:t>
                  </w:r>
                </w:p>
              </w:tc>
            </w:tr>
            <w:tr w14:paraId="688C1F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continue"/>
                  <w:tcBorders>
                    <w:tl2br w:val="nil"/>
                    <w:tr2bl w:val="nil"/>
                  </w:tcBorders>
                  <w:noWrap w:val="0"/>
                  <w:vAlign w:val="center"/>
                </w:tcPr>
                <w:p w14:paraId="341846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p>
              </w:tc>
              <w:tc>
                <w:tcPr>
                  <w:tcW w:w="435" w:type="pct"/>
                  <w:tcBorders>
                    <w:tl2br w:val="nil"/>
                    <w:tr2bl w:val="nil"/>
                  </w:tcBorders>
                  <w:noWrap w:val="0"/>
                  <w:vAlign w:val="center"/>
                </w:tcPr>
                <w:p w14:paraId="41849D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cs="Times New Roman"/>
                      <w:color w:val="auto"/>
                      <w:sz w:val="21"/>
                      <w:szCs w:val="21"/>
                      <w:u w:val="none" w:color="auto"/>
                      <w:lang w:val="en-US" w:eastAsia="zh-CN"/>
                    </w:rPr>
                    <w:t>SO</w:t>
                  </w:r>
                  <w:r>
                    <w:rPr>
                      <w:rFonts w:hint="eastAsia" w:ascii="Times New Roman" w:hAnsi="Times New Roman" w:cs="Times New Roman"/>
                      <w:color w:val="auto"/>
                      <w:sz w:val="21"/>
                      <w:szCs w:val="21"/>
                      <w:u w:val="none" w:color="auto"/>
                      <w:vertAlign w:val="subscript"/>
                      <w:lang w:val="en-US" w:eastAsia="zh-CN"/>
                    </w:rPr>
                    <w:t>2</w:t>
                  </w:r>
                </w:p>
              </w:tc>
              <w:tc>
                <w:tcPr>
                  <w:tcW w:w="680" w:type="pct"/>
                  <w:vMerge w:val="continue"/>
                  <w:tcBorders>
                    <w:tl2br w:val="nil"/>
                    <w:tr2bl w:val="nil"/>
                  </w:tcBorders>
                  <w:noWrap w:val="0"/>
                  <w:vAlign w:val="center"/>
                </w:tcPr>
                <w:p w14:paraId="4DC92190">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p>
              </w:tc>
              <w:tc>
                <w:tcPr>
                  <w:tcW w:w="1163" w:type="dxa"/>
                  <w:tcBorders>
                    <w:tl2br w:val="nil"/>
                    <w:tr2bl w:val="nil"/>
                  </w:tcBorders>
                  <w:noWrap w:val="0"/>
                  <w:vAlign w:val="center"/>
                </w:tcPr>
                <w:p w14:paraId="58704A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0.05</w:t>
                  </w:r>
                </w:p>
              </w:tc>
              <w:tc>
                <w:tcPr>
                  <w:tcW w:w="994" w:type="dxa"/>
                  <w:tcBorders>
                    <w:tl2br w:val="nil"/>
                    <w:tr2bl w:val="nil"/>
                  </w:tcBorders>
                  <w:noWrap w:val="0"/>
                  <w:vAlign w:val="center"/>
                </w:tcPr>
                <w:p w14:paraId="7F97B9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0.002</w:t>
                  </w:r>
                </w:p>
              </w:tc>
              <w:tc>
                <w:tcPr>
                  <w:tcW w:w="562" w:type="pct"/>
                  <w:vMerge w:val="continue"/>
                  <w:tcBorders>
                    <w:tl2br w:val="nil"/>
                    <w:tr2bl w:val="nil"/>
                  </w:tcBorders>
                  <w:noWrap w:val="0"/>
                  <w:vAlign w:val="center"/>
                </w:tcPr>
                <w:p w14:paraId="66A34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p>
              </w:tc>
              <w:tc>
                <w:tcPr>
                  <w:tcW w:w="501" w:type="pct"/>
                  <w:tcBorders>
                    <w:tl2br w:val="nil"/>
                    <w:tr2bl w:val="nil"/>
                  </w:tcBorders>
                  <w:noWrap w:val="0"/>
                  <w:vAlign w:val="center"/>
                </w:tcPr>
                <w:p w14:paraId="50430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14:textFill>
                        <w14:solidFill>
                          <w14:schemeClr w14:val="tx1"/>
                        </w14:solidFill>
                      </w14:textFill>
                    </w:rPr>
                  </w:pPr>
                  <w:r>
                    <w:rPr>
                      <w:rFonts w:hint="eastAsia" w:cs="Times New Roman"/>
                      <w:bCs/>
                      <w:color w:val="000000" w:themeColor="text1"/>
                      <w:kern w:val="0"/>
                      <w:sz w:val="21"/>
                      <w:szCs w:val="21"/>
                      <w:u w:val="none" w:color="auto"/>
                      <w:lang w:val="en-US" w:eastAsia="zh-CN"/>
                      <w14:textFill>
                        <w14:solidFill>
                          <w14:schemeClr w14:val="tx1"/>
                        </w14:solidFill>
                      </w14:textFill>
                    </w:rPr>
                    <w:t>0.004</w:t>
                  </w:r>
                </w:p>
              </w:tc>
              <w:tc>
                <w:tcPr>
                  <w:tcW w:w="591" w:type="pct"/>
                  <w:tcBorders>
                    <w:tl2br w:val="nil"/>
                    <w:tr2bl w:val="nil"/>
                  </w:tcBorders>
                  <w:noWrap w:val="0"/>
                  <w:vAlign w:val="center"/>
                </w:tcPr>
                <w:p w14:paraId="03BC8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bCs/>
                      <w:color w:val="000000" w:themeColor="text1"/>
                      <w:kern w:val="0"/>
                      <w:sz w:val="21"/>
                      <w:szCs w:val="21"/>
                      <w:u w:val="none" w:color="auto"/>
                      <w:lang w:val="en-US" w:eastAsia="zh-CN" w:bidi="ar-SA"/>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200</w:t>
                  </w:r>
                </w:p>
              </w:tc>
              <w:tc>
                <w:tcPr>
                  <w:tcW w:w="395" w:type="pct"/>
                  <w:tcBorders>
                    <w:tl2br w:val="nil"/>
                    <w:tr2bl w:val="nil"/>
                  </w:tcBorders>
                  <w:noWrap w:val="0"/>
                  <w:vAlign w:val="center"/>
                </w:tcPr>
                <w:p w14:paraId="665982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达标</w:t>
                  </w:r>
                </w:p>
              </w:tc>
            </w:tr>
            <w:tr w14:paraId="4B4F57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57" w:type="pct"/>
                  <w:vMerge w:val="continue"/>
                  <w:tcBorders>
                    <w:tl2br w:val="nil"/>
                    <w:tr2bl w:val="nil"/>
                  </w:tcBorders>
                  <w:noWrap w:val="0"/>
                  <w:vAlign w:val="center"/>
                </w:tcPr>
                <w:p w14:paraId="614967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p>
              </w:tc>
              <w:tc>
                <w:tcPr>
                  <w:tcW w:w="435" w:type="pct"/>
                  <w:tcBorders>
                    <w:tl2br w:val="nil"/>
                    <w:tr2bl w:val="nil"/>
                  </w:tcBorders>
                  <w:noWrap w:val="0"/>
                  <w:vAlign w:val="center"/>
                </w:tcPr>
                <w:p w14:paraId="0844D1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ascii="Times New Roman" w:hAnsi="Times New Roman" w:eastAsia="宋体" w:cs="Times New Roman"/>
                      <w:color w:val="000000" w:themeColor="text1"/>
                      <w:kern w:val="2"/>
                      <w:sz w:val="21"/>
                      <w:szCs w:val="21"/>
                      <w:u w:val="none" w:color="auto"/>
                      <w:lang w:val="en-US" w:eastAsia="zh-CN" w:bidi="ar-SA"/>
                      <w14:textFill>
                        <w14:solidFill>
                          <w14:schemeClr w14:val="tx1"/>
                        </w14:solidFill>
                      </w14:textFill>
                    </w:rPr>
                  </w:pPr>
                  <w:r>
                    <w:rPr>
                      <w:rFonts w:hint="eastAsia" w:ascii="Times New Roman" w:hAnsi="Times New Roman" w:cs="Times New Roman"/>
                      <w:color w:val="auto"/>
                      <w:sz w:val="21"/>
                      <w:szCs w:val="21"/>
                      <w:u w:val="none" w:color="auto"/>
                      <w:lang w:val="en-US" w:eastAsia="zh-CN"/>
                    </w:rPr>
                    <w:t>NOx</w:t>
                  </w:r>
                </w:p>
              </w:tc>
              <w:tc>
                <w:tcPr>
                  <w:tcW w:w="680" w:type="pct"/>
                  <w:vMerge w:val="continue"/>
                  <w:tcBorders>
                    <w:tl2br w:val="nil"/>
                    <w:tr2bl w:val="nil"/>
                  </w:tcBorders>
                  <w:noWrap w:val="0"/>
                  <w:vAlign w:val="center"/>
                </w:tcPr>
                <w:p w14:paraId="46762AEA">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105" w:leftChars="-50" w:right="-105" w:rightChars="-50"/>
                    <w:jc w:val="center"/>
                    <w:textAlignment w:val="auto"/>
                    <w:rPr>
                      <w:rFonts w:hint="eastAsia" w:eastAsia="宋体"/>
                      <w:color w:val="000000" w:themeColor="text1"/>
                      <w:sz w:val="21"/>
                      <w:szCs w:val="21"/>
                      <w:u w:val="none" w:color="auto"/>
                      <w:lang w:eastAsia="zh-CN"/>
                      <w14:textFill>
                        <w14:solidFill>
                          <w14:schemeClr w14:val="tx1"/>
                        </w14:solidFill>
                      </w14:textFill>
                    </w:rPr>
                  </w:pPr>
                </w:p>
              </w:tc>
              <w:tc>
                <w:tcPr>
                  <w:tcW w:w="1163" w:type="dxa"/>
                  <w:tcBorders>
                    <w:tl2br w:val="nil"/>
                    <w:tr2bl w:val="nil"/>
                  </w:tcBorders>
                  <w:noWrap w:val="0"/>
                  <w:vAlign w:val="center"/>
                </w:tcPr>
                <w:p w14:paraId="780A13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0.77</w:t>
                  </w:r>
                </w:p>
              </w:tc>
              <w:tc>
                <w:tcPr>
                  <w:tcW w:w="994" w:type="dxa"/>
                  <w:tcBorders>
                    <w:tl2br w:val="nil"/>
                    <w:tr2bl w:val="nil"/>
                  </w:tcBorders>
                  <w:noWrap w:val="0"/>
                  <w:vAlign w:val="center"/>
                </w:tcPr>
                <w:p w14:paraId="3379A2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cs="Times New Roman"/>
                      <w:bCs/>
                      <w:kern w:val="2"/>
                      <w:sz w:val="21"/>
                      <w:szCs w:val="21"/>
                      <w:u w:val="none" w:color="auto"/>
                      <w:lang w:val="en-US" w:eastAsia="zh-CN" w:bidi="ar-SA"/>
                    </w:rPr>
                    <w:t>0.031</w:t>
                  </w:r>
                </w:p>
              </w:tc>
              <w:tc>
                <w:tcPr>
                  <w:tcW w:w="562" w:type="pct"/>
                  <w:vMerge w:val="continue"/>
                  <w:tcBorders>
                    <w:tl2br w:val="nil"/>
                    <w:tr2bl w:val="nil"/>
                  </w:tcBorders>
                  <w:noWrap w:val="0"/>
                  <w:vAlign w:val="center"/>
                </w:tcPr>
                <w:p w14:paraId="7902E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bCs/>
                      <w:color w:val="000000" w:themeColor="text1"/>
                      <w:kern w:val="0"/>
                      <w:sz w:val="21"/>
                      <w:szCs w:val="21"/>
                      <w:u w:val="none" w:color="auto"/>
                      <w:lang w:val="en-US" w:eastAsia="zh-CN"/>
                      <w14:textFill>
                        <w14:solidFill>
                          <w14:schemeClr w14:val="tx1"/>
                        </w14:solidFill>
                      </w14:textFill>
                    </w:rPr>
                  </w:pPr>
                </w:p>
              </w:tc>
              <w:tc>
                <w:tcPr>
                  <w:tcW w:w="501" w:type="pct"/>
                  <w:tcBorders>
                    <w:tl2br w:val="nil"/>
                    <w:tr2bl w:val="nil"/>
                  </w:tcBorders>
                  <w:noWrap w:val="0"/>
                  <w:vAlign w:val="center"/>
                </w:tcPr>
                <w:p w14:paraId="475BF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14:textFill>
                        <w14:solidFill>
                          <w14:schemeClr w14:val="tx1"/>
                        </w14:solidFill>
                      </w14:textFill>
                    </w:rPr>
                  </w:pPr>
                  <w:r>
                    <w:rPr>
                      <w:rFonts w:hint="eastAsia" w:cs="Times New Roman"/>
                      <w:bCs/>
                      <w:color w:val="000000" w:themeColor="text1"/>
                      <w:kern w:val="0"/>
                      <w:sz w:val="21"/>
                      <w:szCs w:val="21"/>
                      <w:u w:val="none" w:color="auto"/>
                      <w:lang w:val="en-US" w:eastAsia="zh-CN"/>
                      <w14:textFill>
                        <w14:solidFill>
                          <w14:schemeClr w14:val="tx1"/>
                        </w14:solidFill>
                      </w14:textFill>
                    </w:rPr>
                    <w:t>0.062</w:t>
                  </w:r>
                </w:p>
              </w:tc>
              <w:tc>
                <w:tcPr>
                  <w:tcW w:w="591" w:type="pct"/>
                  <w:tcBorders>
                    <w:tl2br w:val="nil"/>
                    <w:tr2bl w:val="nil"/>
                  </w:tcBorders>
                  <w:noWrap w:val="0"/>
                  <w:vAlign w:val="center"/>
                </w:tcPr>
                <w:p w14:paraId="4A478A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default" w:ascii="Times New Roman" w:hAnsi="Times New Roman" w:eastAsia="宋体" w:cs="Times New Roman"/>
                      <w:bCs/>
                      <w:color w:val="000000" w:themeColor="text1"/>
                      <w:kern w:val="0"/>
                      <w:sz w:val="21"/>
                      <w:szCs w:val="21"/>
                      <w:u w:val="none" w:color="auto"/>
                      <w:lang w:val="en-US" w:eastAsia="zh-CN" w:bidi="ar-SA"/>
                      <w14:textFill>
                        <w14:solidFill>
                          <w14:schemeClr w14:val="tx1"/>
                        </w14:solidFill>
                      </w14:textFill>
                    </w:rPr>
                  </w:pPr>
                  <w:r>
                    <w:rPr>
                      <w:rFonts w:hint="eastAsia"/>
                      <w:bCs/>
                      <w:color w:val="000000" w:themeColor="text1"/>
                      <w:kern w:val="0"/>
                      <w:sz w:val="21"/>
                      <w:szCs w:val="21"/>
                      <w:u w:val="none" w:color="auto"/>
                      <w:lang w:val="en-US" w:eastAsia="zh-CN"/>
                      <w14:textFill>
                        <w14:solidFill>
                          <w14:schemeClr w14:val="tx1"/>
                        </w14:solidFill>
                      </w14:textFill>
                    </w:rPr>
                    <w:t>200</w:t>
                  </w:r>
                </w:p>
              </w:tc>
              <w:tc>
                <w:tcPr>
                  <w:tcW w:w="395" w:type="pct"/>
                  <w:tcBorders>
                    <w:tl2br w:val="nil"/>
                    <w:tr2bl w:val="nil"/>
                  </w:tcBorders>
                  <w:noWrap w:val="0"/>
                  <w:vAlign w:val="center"/>
                </w:tcPr>
                <w:p w14:paraId="3A2D09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tLeast"/>
                    <w:ind w:left="-105" w:leftChars="-50" w:right="-105" w:rightChars="-50"/>
                    <w:jc w:val="center"/>
                    <w:textAlignment w:val="auto"/>
                    <w:rPr>
                      <w:rFonts w:hint="eastAsia"/>
                      <w:color w:val="000000" w:themeColor="text1"/>
                      <w:sz w:val="21"/>
                      <w:szCs w:val="21"/>
                      <w:u w:val="none" w:color="auto"/>
                      <w:lang w:val="en-US" w:eastAsia="zh-CN"/>
                      <w14:textFill>
                        <w14:solidFill>
                          <w14:schemeClr w14:val="tx1"/>
                        </w14:solidFill>
                      </w14:textFill>
                    </w:rPr>
                  </w:pPr>
                  <w:r>
                    <w:rPr>
                      <w:rFonts w:hint="eastAsia"/>
                      <w:color w:val="000000" w:themeColor="text1"/>
                      <w:sz w:val="21"/>
                      <w:szCs w:val="21"/>
                      <w:u w:val="none" w:color="auto"/>
                      <w:lang w:val="en-US" w:eastAsia="zh-CN"/>
                      <w14:textFill>
                        <w14:solidFill>
                          <w14:schemeClr w14:val="tx1"/>
                        </w14:solidFill>
                      </w14:textFill>
                    </w:rPr>
                    <w:t>达标</w:t>
                  </w:r>
                </w:p>
              </w:tc>
            </w:tr>
          </w:tbl>
          <w:p w14:paraId="32F2626B">
            <w:pPr>
              <w:keepNext w:val="0"/>
              <w:keepLines w:val="0"/>
              <w:suppressLineNumbers w:val="0"/>
              <w:autoSpaceDE w:val="0"/>
              <w:autoSpaceDN w:val="0"/>
              <w:spacing w:before="0" w:beforeAutospacing="0" w:after="0" w:afterAutospacing="0" w:line="360" w:lineRule="auto"/>
              <w:ind w:left="0" w:right="0" w:firstLine="480" w:firstLineChars="200"/>
              <w:jc w:val="left"/>
              <w:rPr>
                <w:rFonts w:hint="eastAsia"/>
                <w:color w:val="auto"/>
                <w:sz w:val="24"/>
                <w:szCs w:val="22"/>
                <w:highlight w:val="none"/>
                <w:u w:val="none" w:color="auto"/>
                <w:lang w:val="en-US" w:eastAsia="zh-CN"/>
              </w:rPr>
            </w:pPr>
            <w:r>
              <w:rPr>
                <w:rFonts w:hint="eastAsia"/>
                <w:color w:val="auto"/>
                <w:sz w:val="24"/>
                <w:szCs w:val="22"/>
                <w:highlight w:val="none"/>
                <w:u w:val="none" w:color="auto"/>
                <w:lang w:val="en-US" w:eastAsia="zh-CN"/>
              </w:rPr>
              <w:t>由上表可知，运营时期非正常工况下，排气筒DA001排放的挥发性有机物浓度大幅度增加并超标排放。由此可见，项目废气治理设施出现故障等非正常工况下，污染物排放对环境影响较大。针对非正常工况，企业应定期对废气净化设施进行检查，确保其正常工作状态；设置专人负责，保证正常去除效率。检查、核查等工作做好记录，一旦发现问题，应立即停止生产工序，待净化设施等恢复正常工作并具有稳定废气去除效率后，开工生产，杜绝废气排放事故发生。加强企业的运行管理，设立专门人员负责厂内环保设施管理、监测等工作。</w:t>
            </w:r>
          </w:p>
          <w:p w14:paraId="63E138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auto"/>
                <w:sz w:val="24"/>
                <w:szCs w:val="24"/>
                <w:highlight w:val="none"/>
                <w:u w:val="none"/>
                <w:lang w:val="en-US" w:eastAsia="zh-CN"/>
              </w:rPr>
            </w:pPr>
            <w:r>
              <w:rPr>
                <w:rFonts w:hint="eastAsia" w:cs="Times New Roman"/>
                <w:b/>
                <w:bCs/>
                <w:color w:val="000000"/>
                <w:sz w:val="24"/>
                <w:u w:val="none"/>
                <w:lang w:val="en-US" w:eastAsia="zh-CN"/>
              </w:rPr>
              <w:t>1.5、</w:t>
            </w:r>
            <w:r>
              <w:rPr>
                <w:rFonts w:hint="default" w:ascii="Times New Roman" w:hAnsi="Times New Roman" w:eastAsia="宋体" w:cs="Times New Roman"/>
                <w:b/>
                <w:bCs w:val="0"/>
                <w:color w:val="auto"/>
                <w:sz w:val="24"/>
                <w:szCs w:val="24"/>
                <w:highlight w:val="none"/>
                <w:u w:val="none"/>
                <w:lang w:val="en-US" w:eastAsia="zh-CN"/>
              </w:rPr>
              <w:t>废气监测要求</w:t>
            </w:r>
          </w:p>
          <w:p w14:paraId="01F903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根据《排污单位自行监测技术指南 总则》（HJ 819-2017）</w:t>
            </w:r>
            <w:r>
              <w:rPr>
                <w:rFonts w:hint="eastAsia" w:ascii="Times New Roman" w:hAnsi="Times New Roman" w:eastAsia="宋体" w:cs="Times New Roman"/>
                <w:b w:val="0"/>
                <w:bCs/>
                <w:color w:val="auto"/>
                <w:sz w:val="24"/>
                <w:szCs w:val="24"/>
                <w:highlight w:val="none"/>
                <w:lang w:val="en-US" w:eastAsia="zh-CN"/>
              </w:rPr>
              <w:t>、《排污许可证申请与核发技术规范-</w:t>
            </w:r>
            <w:r>
              <w:rPr>
                <w:rFonts w:hint="eastAsia" w:cs="Times New Roman"/>
                <w:b w:val="0"/>
                <w:bCs/>
                <w:color w:val="auto"/>
                <w:sz w:val="24"/>
                <w:szCs w:val="24"/>
                <w:highlight w:val="none"/>
                <w:lang w:val="en-US" w:eastAsia="zh-CN"/>
              </w:rPr>
              <w:t>印刷</w:t>
            </w:r>
            <w:r>
              <w:rPr>
                <w:rFonts w:hint="eastAsia" w:ascii="Times New Roman" w:hAnsi="Times New Roman" w:eastAsia="宋体" w:cs="Times New Roman"/>
                <w:b w:val="0"/>
                <w:bCs/>
                <w:color w:val="auto"/>
                <w:sz w:val="24"/>
                <w:szCs w:val="24"/>
                <w:highlight w:val="none"/>
                <w:lang w:val="en-US" w:eastAsia="zh-CN"/>
              </w:rPr>
              <w:t>工业》（HJ10</w:t>
            </w:r>
            <w:r>
              <w:rPr>
                <w:rFonts w:hint="eastAsia" w:cs="Times New Roman"/>
                <w:b w:val="0"/>
                <w:bCs/>
                <w:color w:val="auto"/>
                <w:sz w:val="24"/>
                <w:szCs w:val="24"/>
                <w:highlight w:val="none"/>
                <w:lang w:val="en-US" w:eastAsia="zh-CN"/>
              </w:rPr>
              <w:t>66</w:t>
            </w:r>
            <w:r>
              <w:rPr>
                <w:rFonts w:hint="eastAsia" w:ascii="Times New Roman" w:hAnsi="Times New Roman" w:eastAsia="宋体" w:cs="Times New Roman"/>
                <w:b w:val="0"/>
                <w:bCs/>
                <w:color w:val="auto"/>
                <w:sz w:val="24"/>
                <w:szCs w:val="24"/>
                <w:highlight w:val="none"/>
                <w:lang w:val="en-US" w:eastAsia="zh-CN"/>
              </w:rPr>
              <w:t>—2019</w:t>
            </w:r>
            <w:r>
              <w:rPr>
                <w:rFonts w:hint="default" w:ascii="Times New Roman" w:hAnsi="Times New Roman" w:eastAsia="宋体" w:cs="Times New Roman"/>
                <w:b w:val="0"/>
                <w:bCs/>
                <w:color w:val="auto"/>
                <w:sz w:val="24"/>
                <w:szCs w:val="24"/>
                <w:highlight w:val="none"/>
                <w:lang w:val="en-US" w:eastAsia="zh-CN"/>
              </w:rPr>
              <w:t>）中相关要求确定废气监测方案，项目废气监测要求详见下表：</w:t>
            </w:r>
          </w:p>
          <w:p w14:paraId="1CEBD3E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cs="Times New Roman"/>
                <w:b/>
                <w:color w:val="auto"/>
                <w:sz w:val="21"/>
                <w:szCs w:val="21"/>
                <w:highlight w:val="none"/>
              </w:rPr>
              <w:t>表4-</w:t>
            </w:r>
            <w:r>
              <w:rPr>
                <w:rFonts w:hint="eastAsia" w:cs="Times New Roman"/>
                <w:b/>
                <w:color w:val="auto"/>
                <w:sz w:val="21"/>
                <w:szCs w:val="21"/>
                <w:highlight w:val="none"/>
                <w:lang w:val="en-US" w:eastAsia="zh-CN"/>
              </w:rPr>
              <w:t>9</w:t>
            </w:r>
            <w:r>
              <w:rPr>
                <w:rFonts w:hint="default" w:ascii="Times New Roman" w:hAnsi="Times New Roman" w:cs="Times New Roman"/>
                <w:b/>
                <w:color w:val="auto"/>
                <w:sz w:val="21"/>
                <w:szCs w:val="21"/>
                <w:highlight w:val="none"/>
              </w:rPr>
              <w:t xml:space="preserve">  废气监测</w:t>
            </w:r>
            <w:r>
              <w:rPr>
                <w:rFonts w:hint="default" w:ascii="Times New Roman" w:hAnsi="Times New Roman" w:cs="Times New Roman"/>
                <w:b/>
                <w:color w:val="auto"/>
                <w:sz w:val="21"/>
                <w:szCs w:val="21"/>
                <w:highlight w:val="none"/>
                <w:lang w:eastAsia="zh-CN"/>
              </w:rPr>
              <w:t>要求一览表</w:t>
            </w:r>
          </w:p>
          <w:tbl>
            <w:tblPr>
              <w:tblStyle w:val="4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1006"/>
              <w:gridCol w:w="3567"/>
              <w:gridCol w:w="2281"/>
              <w:gridCol w:w="1190"/>
            </w:tblGrid>
            <w:tr w14:paraId="0CE47E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1" w:type="pct"/>
                  <w:gridSpan w:val="2"/>
                  <w:tcBorders>
                    <w:tl2br w:val="nil"/>
                    <w:tr2bl w:val="nil"/>
                  </w:tcBorders>
                  <w:noWrap w:val="0"/>
                  <w:vAlign w:val="center"/>
                </w:tcPr>
                <w:p w14:paraId="57B72CC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2102" w:type="pct"/>
                  <w:tcBorders>
                    <w:tl2br w:val="nil"/>
                    <w:tr2bl w:val="nil"/>
                  </w:tcBorders>
                  <w:noWrap w:val="0"/>
                  <w:vAlign w:val="center"/>
                </w:tcPr>
                <w:p w14:paraId="46C58B2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监测点位</w:t>
                  </w:r>
                </w:p>
              </w:tc>
              <w:tc>
                <w:tcPr>
                  <w:tcW w:w="1344" w:type="pct"/>
                  <w:tcBorders>
                    <w:tl2br w:val="nil"/>
                    <w:tr2bl w:val="nil"/>
                  </w:tcBorders>
                  <w:noWrap w:val="0"/>
                  <w:vAlign w:val="center"/>
                </w:tcPr>
                <w:p w14:paraId="7C3DBB1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监测因子</w:t>
                  </w:r>
                </w:p>
              </w:tc>
              <w:tc>
                <w:tcPr>
                  <w:tcW w:w="701" w:type="pct"/>
                  <w:tcBorders>
                    <w:tl2br w:val="nil"/>
                    <w:tr2bl w:val="nil"/>
                  </w:tcBorders>
                  <w:noWrap w:val="0"/>
                  <w:vAlign w:val="center"/>
                </w:tcPr>
                <w:p w14:paraId="6198B4B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监测频次</w:t>
                  </w:r>
                </w:p>
              </w:tc>
            </w:tr>
            <w:tr w14:paraId="21FB8C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 w:type="pct"/>
                  <w:vMerge w:val="restart"/>
                  <w:tcBorders>
                    <w:tl2br w:val="nil"/>
                    <w:tr2bl w:val="nil"/>
                  </w:tcBorders>
                  <w:noWrap w:val="0"/>
                  <w:vAlign w:val="center"/>
                </w:tcPr>
                <w:p w14:paraId="6AA15742">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废气</w:t>
                  </w:r>
                </w:p>
              </w:tc>
              <w:tc>
                <w:tcPr>
                  <w:tcW w:w="593" w:type="pct"/>
                  <w:tcBorders>
                    <w:tl2br w:val="nil"/>
                    <w:tr2bl w:val="nil"/>
                  </w:tcBorders>
                  <w:noWrap w:val="0"/>
                  <w:vAlign w:val="center"/>
                </w:tcPr>
                <w:p w14:paraId="45B72A1E">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rPr>
                    <w:t>无组织</w:t>
                  </w:r>
                  <w:r>
                    <w:rPr>
                      <w:rFonts w:hint="eastAsia" w:ascii="Times New Roman" w:hAnsi="Times New Roman" w:cs="Times New Roman"/>
                      <w:bCs/>
                      <w:color w:val="auto"/>
                      <w:sz w:val="21"/>
                      <w:szCs w:val="21"/>
                      <w:highlight w:val="none"/>
                      <w:lang w:val="en-US" w:eastAsia="zh-CN"/>
                    </w:rPr>
                    <w:t>废气</w:t>
                  </w:r>
                </w:p>
              </w:tc>
              <w:tc>
                <w:tcPr>
                  <w:tcW w:w="2102" w:type="pct"/>
                  <w:tcBorders>
                    <w:tl2br w:val="nil"/>
                    <w:tr2bl w:val="nil"/>
                  </w:tcBorders>
                  <w:noWrap w:val="0"/>
                  <w:vAlign w:val="center"/>
                </w:tcPr>
                <w:p w14:paraId="076CC7EE">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Cs w:val="21"/>
                      <w:highlight w:val="none"/>
                    </w:rPr>
                    <w:t>厂界上风向1个点、下风向3个点</w:t>
                  </w:r>
                </w:p>
              </w:tc>
              <w:tc>
                <w:tcPr>
                  <w:tcW w:w="1344" w:type="pct"/>
                  <w:tcBorders>
                    <w:tl2br w:val="nil"/>
                    <w:tr2bl w:val="nil"/>
                  </w:tcBorders>
                  <w:noWrap w:val="0"/>
                  <w:vAlign w:val="center"/>
                </w:tcPr>
                <w:p w14:paraId="140D0982">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cs="Times New Roman"/>
                      <w:bCs/>
                      <w:color w:val="auto"/>
                      <w:kern w:val="2"/>
                      <w:sz w:val="21"/>
                      <w:szCs w:val="21"/>
                      <w:highlight w:val="none"/>
                      <w:lang w:val="en-US" w:eastAsia="zh-CN" w:bidi="ar-SA"/>
                    </w:rPr>
                  </w:pPr>
                  <w:r>
                    <w:rPr>
                      <w:rFonts w:hint="eastAsia" w:cs="Times New Roman"/>
                      <w:bCs/>
                      <w:sz w:val="21"/>
                      <w:szCs w:val="21"/>
                      <w:u w:val="none"/>
                      <w:lang w:val="en-US" w:eastAsia="zh-CN"/>
                    </w:rPr>
                    <w:t>NMHC</w:t>
                  </w:r>
                </w:p>
              </w:tc>
              <w:tc>
                <w:tcPr>
                  <w:tcW w:w="701" w:type="pct"/>
                  <w:tcBorders>
                    <w:tl2br w:val="nil"/>
                    <w:tr2bl w:val="nil"/>
                  </w:tcBorders>
                  <w:noWrap w:val="0"/>
                  <w:vAlign w:val="center"/>
                </w:tcPr>
                <w:p w14:paraId="504877E5">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rPr>
                    <w:t>1次</w:t>
                  </w:r>
                  <w:r>
                    <w:rPr>
                      <w:rFonts w:hint="default" w:ascii="Times New Roman" w:hAnsi="Times New Roman" w:cs="Times New Roman"/>
                      <w:color w:val="auto"/>
                      <w:kern w:val="0"/>
                      <w:sz w:val="21"/>
                      <w:szCs w:val="21"/>
                      <w:highlight w:val="none"/>
                      <w:lang w:val="en-US" w:eastAsia="zh-CN"/>
                    </w:rPr>
                    <w:t>/年</w:t>
                  </w:r>
                </w:p>
              </w:tc>
            </w:tr>
            <w:tr w14:paraId="529085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 w:type="pct"/>
                  <w:vMerge w:val="continue"/>
                  <w:tcBorders>
                    <w:tl2br w:val="nil"/>
                    <w:tr2bl w:val="nil"/>
                  </w:tcBorders>
                  <w:noWrap w:val="0"/>
                  <w:vAlign w:val="center"/>
                </w:tcPr>
                <w:p w14:paraId="0A4E1727">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c>
                <w:tcPr>
                  <w:tcW w:w="593" w:type="pct"/>
                  <w:tcBorders>
                    <w:tl2br w:val="nil"/>
                    <w:tr2bl w:val="nil"/>
                  </w:tcBorders>
                  <w:noWrap w:val="0"/>
                  <w:vAlign w:val="center"/>
                </w:tcPr>
                <w:p w14:paraId="4F3AAC50">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有组织废气</w:t>
                  </w:r>
                </w:p>
              </w:tc>
              <w:tc>
                <w:tcPr>
                  <w:tcW w:w="2102" w:type="pct"/>
                  <w:tcBorders>
                    <w:tl2br w:val="nil"/>
                    <w:tr2bl w:val="nil"/>
                  </w:tcBorders>
                  <w:noWrap w:val="0"/>
                  <w:vAlign w:val="center"/>
                </w:tcPr>
                <w:p w14:paraId="57647A42">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废气排气筒DA001</w:t>
                  </w:r>
                </w:p>
              </w:tc>
              <w:tc>
                <w:tcPr>
                  <w:tcW w:w="1344" w:type="pct"/>
                  <w:tcBorders>
                    <w:tl2br w:val="nil"/>
                    <w:tr2bl w:val="nil"/>
                  </w:tcBorders>
                  <w:noWrap w:val="0"/>
                  <w:vAlign w:val="center"/>
                </w:tcPr>
                <w:p w14:paraId="49CFA3ED">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cs="Times New Roman"/>
                      <w:bCs/>
                      <w:color w:val="auto"/>
                      <w:sz w:val="21"/>
                      <w:szCs w:val="21"/>
                      <w:highlight w:val="none"/>
                    </w:rPr>
                  </w:pPr>
                  <w:r>
                    <w:rPr>
                      <w:rFonts w:hint="eastAsia" w:cs="Times New Roman"/>
                      <w:bCs/>
                      <w:sz w:val="21"/>
                      <w:szCs w:val="21"/>
                      <w:u w:val="none"/>
                      <w:lang w:val="en-US" w:eastAsia="zh-CN"/>
                    </w:rPr>
                    <w:t>NMHC</w:t>
                  </w:r>
                </w:p>
              </w:tc>
              <w:tc>
                <w:tcPr>
                  <w:tcW w:w="701" w:type="pct"/>
                  <w:tcBorders>
                    <w:tl2br w:val="nil"/>
                    <w:tr2bl w:val="nil"/>
                  </w:tcBorders>
                  <w:noWrap w:val="0"/>
                  <w:vAlign w:val="center"/>
                </w:tcPr>
                <w:p w14:paraId="670BE775">
                  <w:pPr>
                    <w:keepNext w:val="0"/>
                    <w:keepLines w:val="0"/>
                    <w:suppressLineNumbers w:val="0"/>
                    <w:autoSpaceDE w:val="0"/>
                    <w:autoSpaceDN w:val="0"/>
                    <w:spacing w:before="0" w:beforeAutospacing="0" w:after="0" w:afterAutospacing="0"/>
                    <w:ind w:left="0" w:right="0"/>
                    <w:jc w:val="center"/>
                    <w:textAlignment w:val="baseline"/>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1次</w:t>
                  </w:r>
                  <w:r>
                    <w:rPr>
                      <w:rFonts w:hint="default" w:ascii="Times New Roman" w:hAnsi="Times New Roman" w:cs="Times New Roman"/>
                      <w:color w:val="auto"/>
                      <w:kern w:val="0"/>
                      <w:sz w:val="21"/>
                      <w:szCs w:val="21"/>
                      <w:highlight w:val="none"/>
                      <w:lang w:val="en-US" w:eastAsia="zh-CN"/>
                    </w:rPr>
                    <w:t>/年</w:t>
                  </w:r>
                </w:p>
              </w:tc>
            </w:tr>
          </w:tbl>
          <w:p w14:paraId="1ADEC1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b/>
                <w:bCs w:val="0"/>
                <w:color w:val="auto"/>
                <w:sz w:val="24"/>
                <w:szCs w:val="24"/>
                <w:highlight w:val="none"/>
                <w:u w:val="none"/>
                <w:lang w:val="en-US" w:eastAsia="zh-CN"/>
              </w:rPr>
            </w:pPr>
            <w:r>
              <w:rPr>
                <w:rFonts w:hint="default" w:ascii="Times New Roman" w:hAnsi="Times New Roman" w:eastAsia="宋体" w:cs="Times New Roman"/>
                <w:b/>
                <w:bCs w:val="0"/>
                <w:color w:val="auto"/>
                <w:sz w:val="24"/>
                <w:szCs w:val="24"/>
                <w:highlight w:val="none"/>
                <w:u w:val="none"/>
                <w:lang w:val="en-US" w:eastAsia="zh-CN"/>
              </w:rPr>
              <w:t>1.</w:t>
            </w:r>
            <w:r>
              <w:rPr>
                <w:rFonts w:hint="eastAsia" w:ascii="Times New Roman" w:hAnsi="Times New Roman" w:eastAsia="宋体" w:cs="Times New Roman"/>
                <w:b/>
                <w:bCs w:val="0"/>
                <w:color w:val="auto"/>
                <w:sz w:val="24"/>
                <w:szCs w:val="24"/>
                <w:highlight w:val="none"/>
                <w:u w:val="none"/>
                <w:lang w:val="en-US" w:eastAsia="zh-CN"/>
              </w:rPr>
              <w:t>3</w:t>
            </w:r>
            <w:r>
              <w:rPr>
                <w:rFonts w:hint="default" w:ascii="Times New Roman" w:hAnsi="Times New Roman" w:eastAsia="宋体" w:cs="Times New Roman"/>
                <w:b/>
                <w:bCs w:val="0"/>
                <w:color w:val="auto"/>
                <w:sz w:val="24"/>
                <w:szCs w:val="24"/>
                <w:highlight w:val="none"/>
                <w:u w:val="none"/>
                <w:lang w:val="en-US" w:eastAsia="zh-CN"/>
              </w:rPr>
              <w:t>、大气环境影响分析</w:t>
            </w:r>
          </w:p>
          <w:p w14:paraId="7AFC8E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color w:val="auto"/>
                <w:spacing w:val="0"/>
                <w:sz w:val="24"/>
                <w:szCs w:val="24"/>
                <w:highlight w:val="none"/>
                <w:u w:val="single"/>
              </w:rPr>
            </w:pPr>
            <w:r>
              <w:rPr>
                <w:rFonts w:hint="default" w:ascii="Times New Roman" w:hAnsi="Times New Roman" w:eastAsia="宋体" w:cs="Times New Roman"/>
                <w:b w:val="0"/>
                <w:bCs/>
                <w:color w:val="auto"/>
                <w:sz w:val="24"/>
                <w:szCs w:val="24"/>
                <w:highlight w:val="none"/>
                <w:u w:val="none"/>
              </w:rPr>
              <w:t>通过工程分析，</w:t>
            </w:r>
            <w:r>
              <w:rPr>
                <w:rFonts w:hint="eastAsia" w:ascii="Times New Roman" w:hAnsi="Times New Roman" w:eastAsia="宋体" w:cs="Times New Roman"/>
                <w:b w:val="0"/>
                <w:bCs/>
                <w:color w:val="auto"/>
                <w:sz w:val="24"/>
                <w:szCs w:val="24"/>
                <w:highlight w:val="none"/>
                <w:u w:val="none"/>
                <w:lang w:val="en-US" w:eastAsia="zh-CN"/>
              </w:rPr>
              <w:t>项目NMHC</w:t>
            </w:r>
            <w:r>
              <w:rPr>
                <w:rFonts w:hint="eastAsia" w:cs="Times New Roman"/>
                <w:b w:val="0"/>
                <w:bCs/>
                <w:color w:val="auto"/>
                <w:sz w:val="24"/>
                <w:szCs w:val="24"/>
                <w:highlight w:val="none"/>
                <w:u w:val="none"/>
                <w:lang w:val="en-US" w:eastAsia="zh-CN"/>
              </w:rPr>
              <w:t>废气</w:t>
            </w:r>
            <w:r>
              <w:rPr>
                <w:rFonts w:hint="default" w:ascii="Times New Roman" w:hAnsi="Times New Roman" w:eastAsia="宋体" w:cs="Times New Roman"/>
                <w:b w:val="0"/>
                <w:bCs/>
                <w:color w:val="auto"/>
                <w:sz w:val="24"/>
                <w:szCs w:val="24"/>
                <w:highlight w:val="none"/>
                <w:u w:val="none"/>
              </w:rPr>
              <w:t>排放能够满足</w:t>
            </w:r>
            <w:r>
              <w:rPr>
                <w:rFonts w:hint="eastAsia" w:cs="Times New Roman"/>
                <w:color w:val="auto"/>
                <w:sz w:val="24"/>
                <w:highlight w:val="none"/>
                <w:u w:val="none" w:color="auto"/>
                <w:lang w:val="en-US" w:eastAsia="zh-CN"/>
              </w:rPr>
              <w:t>《工业企业挥发性有机物排放标准》（DB43/3550-2026）</w:t>
            </w:r>
            <w:r>
              <w:rPr>
                <w:rFonts w:hint="default" w:ascii="Times New Roman" w:hAnsi="Times New Roman" w:eastAsia="宋体" w:cs="Times New Roman"/>
                <w:b w:val="0"/>
                <w:bCs/>
                <w:color w:val="auto"/>
                <w:spacing w:val="0"/>
                <w:sz w:val="24"/>
                <w:szCs w:val="24"/>
                <w:highlight w:val="none"/>
                <w:u w:val="none"/>
              </w:rPr>
              <w:t>表</w:t>
            </w:r>
            <w:r>
              <w:rPr>
                <w:rFonts w:hint="eastAsia" w:cs="Times New Roman"/>
                <w:b w:val="0"/>
                <w:bCs/>
                <w:color w:val="auto"/>
                <w:spacing w:val="0"/>
                <w:sz w:val="24"/>
                <w:szCs w:val="24"/>
                <w:highlight w:val="none"/>
                <w:u w:val="none"/>
                <w:lang w:val="en-US" w:eastAsia="zh-CN"/>
              </w:rPr>
              <w:t>1</w:t>
            </w:r>
            <w:r>
              <w:rPr>
                <w:rFonts w:hint="default" w:ascii="Times New Roman" w:hAnsi="Times New Roman" w:eastAsia="宋体" w:cs="Times New Roman"/>
                <w:b w:val="0"/>
                <w:bCs/>
                <w:color w:val="auto"/>
                <w:spacing w:val="0"/>
                <w:sz w:val="24"/>
                <w:szCs w:val="24"/>
                <w:highlight w:val="none"/>
                <w:u w:val="none"/>
              </w:rPr>
              <w:t>规定的标准限值；由质量公报和引用的数据可知，项目所在区域环境空气质量属于达标区。本项目各产污环节产生的废气均做到有效</w:t>
            </w:r>
            <w:r>
              <w:rPr>
                <w:rFonts w:hint="eastAsia" w:ascii="Times New Roman" w:hAnsi="Times New Roman" w:eastAsia="宋体" w:cs="Times New Roman"/>
                <w:b w:val="0"/>
                <w:bCs/>
                <w:color w:val="auto"/>
                <w:spacing w:val="0"/>
                <w:sz w:val="24"/>
                <w:szCs w:val="24"/>
                <w:highlight w:val="none"/>
                <w:u w:val="none"/>
                <w:lang w:val="en-US" w:eastAsia="zh-CN"/>
              </w:rPr>
              <w:t>控制</w:t>
            </w:r>
            <w:r>
              <w:rPr>
                <w:rFonts w:hint="default" w:ascii="Times New Roman" w:hAnsi="Times New Roman" w:eastAsia="宋体" w:cs="Times New Roman"/>
                <w:b w:val="0"/>
                <w:bCs/>
                <w:color w:val="auto"/>
                <w:spacing w:val="0"/>
                <w:sz w:val="24"/>
                <w:szCs w:val="24"/>
                <w:highlight w:val="none"/>
                <w:u w:val="none"/>
              </w:rPr>
              <w:t>，选取的污染防治设施可行，可以做到达标排放。本项目对周围大气环境的影响较小。</w:t>
            </w:r>
          </w:p>
          <w:p w14:paraId="324089F2">
            <w:pPr>
              <w:keepNext w:val="0"/>
              <w:keepLines w:val="0"/>
              <w:pageBreakBefore w:val="0"/>
              <w:suppressLineNumbers w:val="0"/>
              <w:kinsoku/>
              <w:overflowPunct/>
              <w:autoSpaceDE/>
              <w:autoSpaceDN/>
              <w:bidi w:val="0"/>
              <w:adjustRightInd/>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pacing w:val="0"/>
                <w:sz w:val="24"/>
                <w:szCs w:val="24"/>
                <w:highlight w:val="none"/>
                <w:u w:val="none"/>
              </w:rPr>
            </w:pPr>
            <w:r>
              <w:rPr>
                <w:rFonts w:hint="default" w:ascii="Times New Roman" w:hAnsi="Times New Roman" w:cs="Times New Roman"/>
                <w:b/>
                <w:bCs/>
                <w:color w:val="auto"/>
                <w:spacing w:val="0"/>
                <w:sz w:val="24"/>
                <w:szCs w:val="24"/>
                <w:highlight w:val="none"/>
                <w:u w:val="none"/>
              </w:rPr>
              <w:t>2、废水</w:t>
            </w:r>
          </w:p>
          <w:p w14:paraId="2BCFAC6F">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pacing w:val="0"/>
                <w:sz w:val="24"/>
                <w:u w:val="none"/>
              </w:rPr>
            </w:pPr>
            <w:r>
              <w:rPr>
                <w:rFonts w:hint="default" w:ascii="Times New Roman" w:hAnsi="Times New Roman" w:cs="Times New Roman"/>
                <w:b/>
                <w:bCs/>
                <w:color w:val="auto"/>
                <w:spacing w:val="0"/>
                <w:sz w:val="24"/>
                <w:u w:val="none"/>
              </w:rPr>
              <w:t>2.1、废水源强分析</w:t>
            </w:r>
          </w:p>
          <w:p w14:paraId="40C9F13A">
            <w:pPr>
              <w:pStyle w:val="2"/>
              <w:keepNext w:val="0"/>
              <w:keepLines w:val="0"/>
              <w:pageBreakBefore w:val="0"/>
              <w:suppressLineNumbers w:val="0"/>
              <w:kinsoku/>
              <w:overflowPunct/>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cs="Times New Roman"/>
                <w:color w:val="auto"/>
                <w:spacing w:val="0"/>
                <w:sz w:val="24"/>
                <w:szCs w:val="24"/>
                <w:highlight w:val="none"/>
                <w:u w:val="none"/>
                <w:lang w:eastAsia="zh-CN"/>
              </w:rPr>
            </w:pPr>
            <w:r>
              <w:rPr>
                <w:rFonts w:hint="eastAsia" w:ascii="Times New Roman" w:hAnsi="Times New Roman" w:cs="Times New Roman"/>
                <w:color w:val="auto"/>
                <w:spacing w:val="0"/>
                <w:sz w:val="24"/>
                <w:szCs w:val="24"/>
                <w:highlight w:val="none"/>
                <w:u w:val="none"/>
                <w:lang w:val="en-US" w:eastAsia="zh-CN"/>
              </w:rPr>
              <w:t>根据前文水平衡分析，</w:t>
            </w:r>
            <w:r>
              <w:rPr>
                <w:rFonts w:hint="default" w:ascii="Times New Roman" w:hAnsi="Times New Roman" w:cs="Times New Roman"/>
                <w:color w:val="auto"/>
                <w:spacing w:val="0"/>
                <w:sz w:val="24"/>
                <w:szCs w:val="24"/>
                <w:highlight w:val="none"/>
                <w:u w:val="none"/>
              </w:rPr>
              <w:t>项目</w:t>
            </w:r>
            <w:r>
              <w:rPr>
                <w:rFonts w:hint="eastAsia" w:cs="Times New Roman"/>
                <w:color w:val="auto"/>
                <w:spacing w:val="0"/>
                <w:sz w:val="24"/>
                <w:szCs w:val="24"/>
                <w:highlight w:val="none"/>
                <w:u w:val="none"/>
                <w:lang w:val="en-US" w:eastAsia="zh-CN"/>
              </w:rPr>
              <w:t>冷却</w:t>
            </w:r>
            <w:r>
              <w:rPr>
                <w:rFonts w:hint="eastAsia" w:ascii="Times New Roman" w:hAnsi="Times New Roman" w:cs="Times New Roman"/>
                <w:color w:val="auto"/>
                <w:spacing w:val="0"/>
                <w:sz w:val="24"/>
                <w:szCs w:val="24"/>
                <w:highlight w:val="none"/>
                <w:u w:val="none"/>
                <w:lang w:val="en-US" w:eastAsia="zh-CN"/>
              </w:rPr>
              <w:t>废水</w:t>
            </w:r>
            <w:r>
              <w:rPr>
                <w:rFonts w:hint="eastAsia" w:cs="Times New Roman"/>
                <w:color w:val="auto"/>
                <w:spacing w:val="0"/>
                <w:sz w:val="24"/>
                <w:szCs w:val="24"/>
                <w:highlight w:val="none"/>
                <w:u w:val="none"/>
                <w:lang w:val="en-US" w:eastAsia="zh-CN"/>
              </w:rPr>
              <w:t>循环使用，不外排</w:t>
            </w:r>
            <w:r>
              <w:rPr>
                <w:rFonts w:hint="eastAsia" w:ascii="Times New Roman" w:hAnsi="Times New Roman" w:cs="Times New Roman"/>
                <w:color w:val="auto"/>
                <w:spacing w:val="0"/>
                <w:sz w:val="24"/>
                <w:szCs w:val="24"/>
                <w:highlight w:val="none"/>
                <w:u w:val="none"/>
                <w:lang w:val="en-US" w:eastAsia="zh-CN"/>
              </w:rPr>
              <w:t>；</w:t>
            </w:r>
            <w:r>
              <w:rPr>
                <w:rFonts w:hint="default" w:ascii="Times New Roman" w:hAnsi="Times New Roman" w:cs="Times New Roman"/>
                <w:color w:val="auto"/>
                <w:spacing w:val="0"/>
                <w:sz w:val="24"/>
                <w:szCs w:val="24"/>
                <w:highlight w:val="none"/>
                <w:u w:val="none"/>
              </w:rPr>
              <w:t>生活污水</w:t>
            </w:r>
            <w:r>
              <w:rPr>
                <w:rFonts w:hint="default" w:ascii="Times New Roman" w:hAnsi="Times New Roman" w:eastAsia="宋体" w:cs="Times New Roman"/>
                <w:color w:val="auto"/>
                <w:spacing w:val="0"/>
                <w:sz w:val="24"/>
                <w:szCs w:val="24"/>
                <w:highlight w:val="none"/>
                <w:u w:val="none"/>
              </w:rPr>
              <w:t>经化粪池处理后</w:t>
            </w:r>
            <w:r>
              <w:rPr>
                <w:rFonts w:hint="eastAsia" w:ascii="Times New Roman" w:hAnsi="Times New Roman" w:eastAsia="宋体" w:cs="Times New Roman"/>
                <w:color w:val="auto"/>
                <w:spacing w:val="0"/>
                <w:sz w:val="24"/>
                <w:szCs w:val="24"/>
                <w:highlight w:val="none"/>
                <w:u w:val="none"/>
                <w:lang w:val="en-US" w:eastAsia="zh-CN"/>
              </w:rPr>
              <w:t>排入园区污水管网</w:t>
            </w:r>
            <w:r>
              <w:rPr>
                <w:rFonts w:hint="eastAsia" w:ascii="Times New Roman" w:hAnsi="Times New Roman" w:cs="Times New Roman"/>
                <w:color w:val="auto"/>
                <w:spacing w:val="0"/>
                <w:sz w:val="24"/>
                <w:szCs w:val="24"/>
                <w:highlight w:val="none"/>
                <w:u w:val="none"/>
                <w:lang w:eastAsia="zh-CN"/>
              </w:rPr>
              <w:t>。</w:t>
            </w:r>
          </w:p>
          <w:p w14:paraId="4B8BC749">
            <w:pPr>
              <w:pStyle w:val="29"/>
              <w:keepNext w:val="0"/>
              <w:keepLines w:val="0"/>
              <w:numPr>
                <w:ilvl w:val="0"/>
                <w:numId w:val="0"/>
              </w:numPr>
              <w:suppressLineNumbers w:val="0"/>
              <w:spacing w:before="0" w:beforeAutospacing="0" w:after="0" w:afterAutospacing="0" w:line="360" w:lineRule="auto"/>
              <w:ind w:left="0" w:right="0" w:firstLine="480"/>
              <w:rPr>
                <w:rFonts w:hint="eastAsia" w:ascii="Times New Roman" w:hAnsi="Times New Roman" w:cs="Times New Roman"/>
                <w:color w:val="auto"/>
                <w:spacing w:val="0"/>
                <w:sz w:val="24"/>
                <w:szCs w:val="24"/>
                <w:highlight w:val="none"/>
                <w:u w:val="none"/>
                <w:lang w:val="en-US" w:eastAsia="zh-CN"/>
              </w:rPr>
            </w:pPr>
            <w:r>
              <w:rPr>
                <w:rFonts w:hint="eastAsia" w:ascii="Times New Roman" w:hAnsi="Times New Roman" w:cs="Times New Roman"/>
                <w:color w:val="auto"/>
                <w:spacing w:val="0"/>
                <w:sz w:val="24"/>
                <w:szCs w:val="24"/>
                <w:highlight w:val="none"/>
                <w:u w:val="none"/>
                <w:lang w:val="en-US" w:eastAsia="zh-CN"/>
              </w:rPr>
              <w:t>（1）生活污水</w:t>
            </w:r>
          </w:p>
          <w:p w14:paraId="3DCC34BB">
            <w:pPr>
              <w:keepNext w:val="0"/>
              <w:keepLines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pacing w:val="0"/>
                <w:sz w:val="24"/>
                <w:highlight w:val="none"/>
                <w:u w:val="none"/>
                <w:lang w:val="en-US" w:eastAsia="zh-CN"/>
              </w:rPr>
            </w:pPr>
            <w:r>
              <w:rPr>
                <w:rFonts w:hint="eastAsia" w:ascii="Times New Roman" w:hAnsi="Times New Roman" w:eastAsia="宋体" w:cs="Times New Roman"/>
                <w:color w:val="auto"/>
                <w:spacing w:val="0"/>
                <w:sz w:val="24"/>
                <w:highlight w:val="none"/>
                <w:u w:val="none"/>
              </w:rPr>
              <w:t>本项目劳动定员</w:t>
            </w:r>
            <w:r>
              <w:rPr>
                <w:rFonts w:hint="eastAsia" w:cs="Times New Roman"/>
                <w:color w:val="auto"/>
                <w:spacing w:val="0"/>
                <w:sz w:val="24"/>
                <w:highlight w:val="none"/>
                <w:u w:val="none"/>
                <w:lang w:val="en-US" w:eastAsia="zh-CN"/>
              </w:rPr>
              <w:t>70</w:t>
            </w:r>
            <w:r>
              <w:rPr>
                <w:rFonts w:hint="eastAsia" w:ascii="Times New Roman" w:hAnsi="Times New Roman" w:eastAsia="宋体" w:cs="Times New Roman"/>
                <w:color w:val="auto"/>
                <w:spacing w:val="0"/>
                <w:sz w:val="24"/>
                <w:highlight w:val="none"/>
                <w:u w:val="none"/>
              </w:rPr>
              <w:t>人。</w:t>
            </w:r>
            <w:r>
              <w:rPr>
                <w:rFonts w:hint="eastAsia" w:ascii="Times New Roman" w:hAnsi="Times New Roman" w:eastAsia="宋体" w:cs="Times New Roman"/>
                <w:color w:val="auto"/>
                <w:spacing w:val="0"/>
                <w:sz w:val="24"/>
                <w:highlight w:val="none"/>
                <w:u w:val="none"/>
                <w:lang w:val="en-US" w:eastAsia="zh-CN"/>
              </w:rPr>
              <w:t>污水产生量为</w:t>
            </w:r>
            <w:r>
              <w:rPr>
                <w:rFonts w:hint="eastAsia" w:cs="Times New Roman"/>
                <w:color w:val="auto"/>
                <w:spacing w:val="0"/>
                <w:sz w:val="24"/>
                <w:highlight w:val="none"/>
                <w:u w:val="none"/>
                <w:lang w:val="en-US" w:eastAsia="zh-CN"/>
              </w:rPr>
              <w:t>2128</w:t>
            </w:r>
            <w:r>
              <w:rPr>
                <w:rFonts w:hint="eastAsia" w:ascii="Times New Roman" w:hAnsi="Times New Roman" w:eastAsia="宋体" w:cs="Times New Roman"/>
                <w:color w:val="auto"/>
                <w:spacing w:val="0"/>
                <w:sz w:val="24"/>
                <w:highlight w:val="none"/>
                <w:u w:val="none"/>
                <w:lang w:val="en-US" w:eastAsia="zh-CN"/>
              </w:rPr>
              <w:t>m</w:t>
            </w:r>
            <w:r>
              <w:rPr>
                <w:rFonts w:hint="default" w:ascii="Times New Roman" w:hAnsi="Times New Roman" w:eastAsia="宋体" w:cs="Times New Roman"/>
                <w:color w:val="auto"/>
                <w:spacing w:val="0"/>
                <w:sz w:val="24"/>
                <w:highlight w:val="none"/>
                <w:u w:val="none"/>
                <w:lang w:val="en-US" w:eastAsia="zh-CN"/>
              </w:rPr>
              <w:t>³</w:t>
            </w:r>
            <w:r>
              <w:rPr>
                <w:rFonts w:hint="eastAsia" w:ascii="Times New Roman" w:hAnsi="Times New Roman" w:eastAsia="宋体" w:cs="Times New Roman"/>
                <w:color w:val="auto"/>
                <w:spacing w:val="0"/>
                <w:sz w:val="24"/>
                <w:highlight w:val="none"/>
                <w:u w:val="none"/>
                <w:lang w:val="en-US" w:eastAsia="zh-CN"/>
              </w:rPr>
              <w:t>/a，其污染物主要为 COD</w:t>
            </w:r>
            <w:r>
              <w:rPr>
                <w:rFonts w:hint="eastAsia" w:ascii="Times New Roman" w:hAnsi="Times New Roman" w:eastAsia="宋体" w:cs="Times New Roman"/>
                <w:color w:val="auto"/>
                <w:spacing w:val="0"/>
                <w:sz w:val="24"/>
                <w:highlight w:val="none"/>
                <w:u w:val="none"/>
                <w:vertAlign w:val="subscript"/>
                <w:lang w:val="en-US" w:eastAsia="zh-CN"/>
              </w:rPr>
              <w:t>Cr</w:t>
            </w:r>
            <w:r>
              <w:rPr>
                <w:rFonts w:hint="eastAsia" w:ascii="Times New Roman" w:hAnsi="Times New Roman" w:eastAsia="宋体" w:cs="Times New Roman"/>
                <w:color w:val="auto"/>
                <w:spacing w:val="0"/>
                <w:sz w:val="24"/>
                <w:highlight w:val="none"/>
                <w:u w:val="none"/>
                <w:lang w:val="en-US" w:eastAsia="zh-CN"/>
              </w:rPr>
              <w:t>：350mg/L、BOD</w:t>
            </w:r>
            <w:r>
              <w:rPr>
                <w:rFonts w:hint="eastAsia" w:ascii="Times New Roman" w:hAnsi="Times New Roman" w:eastAsia="宋体" w:cs="Times New Roman"/>
                <w:color w:val="auto"/>
                <w:spacing w:val="0"/>
                <w:sz w:val="24"/>
                <w:highlight w:val="none"/>
                <w:u w:val="none"/>
                <w:vertAlign w:val="subscript"/>
                <w:lang w:val="en-US" w:eastAsia="zh-CN"/>
              </w:rPr>
              <w:t>5</w:t>
            </w:r>
            <w:r>
              <w:rPr>
                <w:rFonts w:hint="eastAsia" w:ascii="Times New Roman" w:hAnsi="Times New Roman" w:eastAsia="宋体" w:cs="Times New Roman"/>
                <w:color w:val="auto"/>
                <w:spacing w:val="0"/>
                <w:sz w:val="24"/>
                <w:highlight w:val="none"/>
                <w:u w:val="none"/>
                <w:lang w:val="en-US" w:eastAsia="zh-CN"/>
              </w:rPr>
              <w:t>：180mg/L、SS：250mg/L、总磷：4mg/L和NH</w:t>
            </w:r>
            <w:r>
              <w:rPr>
                <w:rFonts w:hint="eastAsia" w:ascii="Times New Roman" w:hAnsi="Times New Roman" w:eastAsia="宋体" w:cs="Times New Roman"/>
                <w:color w:val="auto"/>
                <w:spacing w:val="0"/>
                <w:sz w:val="24"/>
                <w:highlight w:val="none"/>
                <w:u w:val="none"/>
                <w:vertAlign w:val="subscript"/>
                <w:lang w:val="en-US" w:eastAsia="zh-CN"/>
              </w:rPr>
              <w:t>3</w:t>
            </w:r>
            <w:r>
              <w:rPr>
                <w:rFonts w:hint="eastAsia" w:ascii="Times New Roman" w:hAnsi="Times New Roman" w:eastAsia="宋体" w:cs="Times New Roman"/>
                <w:color w:val="auto"/>
                <w:spacing w:val="0"/>
                <w:sz w:val="24"/>
                <w:highlight w:val="none"/>
                <w:u w:val="none"/>
                <w:lang w:val="en-US" w:eastAsia="zh-CN"/>
              </w:rPr>
              <w:t>-N：30mg/L。生活污水经化粪池处理达到《污水综合排放标准》（GB8978-1996）三级标准</w:t>
            </w:r>
            <w:r>
              <w:rPr>
                <w:rFonts w:hint="eastAsia" w:cs="Times New Roman"/>
                <w:color w:val="auto"/>
                <w:spacing w:val="0"/>
                <w:sz w:val="24"/>
                <w:highlight w:val="none"/>
                <w:u w:val="none"/>
                <w:lang w:val="en-US" w:eastAsia="zh-CN"/>
              </w:rPr>
              <w:t>和污水处理厂接纳标准后</w:t>
            </w:r>
            <w:r>
              <w:rPr>
                <w:rFonts w:hint="eastAsia" w:ascii="Times New Roman" w:hAnsi="Times New Roman" w:eastAsia="宋体" w:cs="Times New Roman"/>
                <w:color w:val="auto"/>
                <w:spacing w:val="0"/>
                <w:sz w:val="24"/>
                <w:highlight w:val="none"/>
                <w:u w:val="none"/>
                <w:lang w:val="en-US" w:eastAsia="zh-CN"/>
              </w:rPr>
              <w:t>通过市政污水管网排入</w:t>
            </w:r>
            <w:r>
              <w:rPr>
                <w:rFonts w:hint="eastAsia" w:cs="Times New Roman"/>
                <w:color w:val="auto"/>
                <w:spacing w:val="0"/>
                <w:sz w:val="24"/>
                <w:highlight w:val="none"/>
                <w:u w:val="none"/>
                <w:lang w:val="en-US" w:eastAsia="zh-CN"/>
              </w:rPr>
              <w:t>祁阳白竹污水处理厂</w:t>
            </w:r>
            <w:r>
              <w:rPr>
                <w:rFonts w:hint="eastAsia" w:ascii="Times New Roman" w:hAnsi="Times New Roman" w:eastAsia="宋体" w:cs="Times New Roman"/>
                <w:color w:val="auto"/>
                <w:spacing w:val="0"/>
                <w:sz w:val="24"/>
                <w:highlight w:val="none"/>
                <w:u w:val="none"/>
                <w:lang w:val="en-US" w:eastAsia="zh-CN"/>
              </w:rPr>
              <w:t>。</w:t>
            </w:r>
          </w:p>
          <w:p w14:paraId="70113821">
            <w:pPr>
              <w:keepNext w:val="0"/>
              <w:keepLines w:val="0"/>
              <w:suppressLineNumbers w:val="0"/>
              <w:spacing w:before="0" w:beforeAutospacing="0" w:after="0" w:afterAutospacing="0" w:line="360" w:lineRule="auto"/>
              <w:ind w:left="0" w:right="0" w:firstLine="422" w:firstLineChars="200"/>
              <w:jc w:val="center"/>
              <w:rPr>
                <w:rFonts w:hint="default" w:ascii="Times New Roman" w:hAnsi="Times New Roman" w:cs="Times New Roman"/>
                <w:highlight w:val="none"/>
                <w:u w:val="none"/>
              </w:rPr>
            </w:pPr>
            <w:r>
              <w:rPr>
                <w:rFonts w:hint="default" w:ascii="Times New Roman" w:hAnsi="Times New Roman" w:cs="Times New Roman"/>
                <w:b/>
                <w:bCs/>
                <w:szCs w:val="21"/>
                <w:highlight w:val="none"/>
                <w:u w:val="none"/>
              </w:rPr>
              <w:t>表4-</w:t>
            </w:r>
            <w:r>
              <w:rPr>
                <w:rFonts w:hint="eastAsia" w:ascii="Times New Roman" w:hAnsi="Times New Roman" w:cs="Times New Roman"/>
                <w:b/>
                <w:bCs/>
                <w:szCs w:val="21"/>
                <w:highlight w:val="none"/>
                <w:u w:val="none"/>
                <w:lang w:val="en-US" w:eastAsia="zh-CN"/>
              </w:rPr>
              <w:t>1</w:t>
            </w:r>
            <w:r>
              <w:rPr>
                <w:rFonts w:hint="eastAsia" w:cs="Times New Roman"/>
                <w:b/>
                <w:bCs/>
                <w:szCs w:val="21"/>
                <w:highlight w:val="none"/>
                <w:u w:val="none"/>
                <w:lang w:val="en-US" w:eastAsia="zh-CN"/>
              </w:rPr>
              <w:t>0</w:t>
            </w:r>
            <w:r>
              <w:rPr>
                <w:rFonts w:hint="default" w:ascii="Times New Roman" w:hAnsi="Times New Roman" w:cs="Times New Roman"/>
                <w:b/>
                <w:bCs/>
                <w:szCs w:val="21"/>
                <w:highlight w:val="none"/>
                <w:u w:val="none"/>
              </w:rPr>
              <w:t xml:space="preserve">  </w:t>
            </w:r>
            <w:r>
              <w:rPr>
                <w:rFonts w:hint="eastAsia" w:ascii="Times New Roman" w:hAnsi="Times New Roman" w:cs="Times New Roman"/>
                <w:b/>
                <w:bCs/>
                <w:szCs w:val="21"/>
                <w:highlight w:val="none"/>
                <w:u w:val="none"/>
                <w:lang w:val="en-US" w:eastAsia="zh-CN"/>
              </w:rPr>
              <w:t>生活污水</w:t>
            </w:r>
            <w:r>
              <w:rPr>
                <w:rFonts w:hint="default" w:ascii="Times New Roman" w:hAnsi="Times New Roman" w:cs="Times New Roman"/>
                <w:b/>
                <w:bCs/>
                <w:szCs w:val="21"/>
                <w:highlight w:val="none"/>
                <w:u w:val="none"/>
              </w:rPr>
              <w:t>排放情况</w:t>
            </w:r>
          </w:p>
          <w:tbl>
            <w:tblPr>
              <w:tblStyle w:val="44"/>
              <w:tblW w:w="490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841"/>
              <w:gridCol w:w="717"/>
              <w:gridCol w:w="1173"/>
              <w:gridCol w:w="904"/>
              <w:gridCol w:w="849"/>
              <w:gridCol w:w="799"/>
              <w:gridCol w:w="1157"/>
              <w:gridCol w:w="904"/>
              <w:gridCol w:w="448"/>
            </w:tblGrid>
            <w:tr w14:paraId="6023A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restart"/>
                  <w:tcBorders>
                    <w:tl2br w:val="nil"/>
                    <w:tr2bl w:val="nil"/>
                  </w:tcBorders>
                  <w:noWrap w:val="0"/>
                  <w:vAlign w:val="center"/>
                </w:tcPr>
                <w:p w14:paraId="3FF0BA1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工序</w:t>
                  </w:r>
                </w:p>
              </w:tc>
              <w:tc>
                <w:tcPr>
                  <w:tcW w:w="505" w:type="pct"/>
                  <w:vMerge w:val="restart"/>
                  <w:tcBorders>
                    <w:tl2br w:val="nil"/>
                    <w:tr2bl w:val="nil"/>
                  </w:tcBorders>
                  <w:noWrap w:val="0"/>
                  <w:vAlign w:val="center"/>
                </w:tcPr>
                <w:p w14:paraId="1C6549D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污染物</w:t>
                  </w:r>
                </w:p>
              </w:tc>
              <w:tc>
                <w:tcPr>
                  <w:tcW w:w="431" w:type="pct"/>
                  <w:vMerge w:val="restart"/>
                  <w:tcBorders>
                    <w:tl2br w:val="nil"/>
                    <w:tr2bl w:val="nil"/>
                  </w:tcBorders>
                  <w:noWrap w:val="0"/>
                  <w:vAlign w:val="center"/>
                </w:tcPr>
                <w:p w14:paraId="107E60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废水量m</w:t>
                  </w:r>
                  <w:r>
                    <w:rPr>
                      <w:rFonts w:hint="default" w:ascii="Times New Roman" w:hAnsi="Times New Roman" w:eastAsia="宋体" w:cs="Times New Roman"/>
                      <w:b/>
                      <w:bCs/>
                      <w:color w:val="auto"/>
                      <w:kern w:val="0"/>
                      <w:sz w:val="21"/>
                      <w:szCs w:val="21"/>
                      <w:u w:val="none"/>
                      <w:lang w:val="en-US" w:eastAsia="zh-CN"/>
                    </w:rPr>
                    <w:t>³</w:t>
                  </w:r>
                  <w:r>
                    <w:rPr>
                      <w:rFonts w:hint="eastAsia" w:ascii="Times New Roman" w:hAnsi="Times New Roman" w:eastAsia="宋体" w:cs="Times New Roman"/>
                      <w:b/>
                      <w:bCs/>
                      <w:color w:val="auto"/>
                      <w:kern w:val="0"/>
                      <w:sz w:val="21"/>
                      <w:szCs w:val="21"/>
                      <w:u w:val="none"/>
                      <w:lang w:val="en-US" w:eastAsia="zh-CN"/>
                    </w:rPr>
                    <w:t>/a</w:t>
                  </w:r>
                </w:p>
              </w:tc>
              <w:tc>
                <w:tcPr>
                  <w:tcW w:w="1248" w:type="pct"/>
                  <w:gridSpan w:val="2"/>
                  <w:tcBorders>
                    <w:tl2br w:val="nil"/>
                    <w:tr2bl w:val="nil"/>
                  </w:tcBorders>
                  <w:noWrap w:val="0"/>
                  <w:vAlign w:val="center"/>
                </w:tcPr>
                <w:p w14:paraId="1DB68EDF">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污染物产生情况</w:t>
                  </w:r>
                </w:p>
              </w:tc>
              <w:tc>
                <w:tcPr>
                  <w:tcW w:w="990" w:type="pct"/>
                  <w:gridSpan w:val="2"/>
                  <w:tcBorders>
                    <w:tl2br w:val="nil"/>
                    <w:tr2bl w:val="nil"/>
                  </w:tcBorders>
                  <w:noWrap w:val="0"/>
                  <w:vAlign w:val="center"/>
                </w:tcPr>
                <w:p w14:paraId="5796183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治理措施</w:t>
                  </w:r>
                </w:p>
              </w:tc>
              <w:tc>
                <w:tcPr>
                  <w:tcW w:w="1507" w:type="pct"/>
                  <w:gridSpan w:val="3"/>
                  <w:tcBorders>
                    <w:tl2br w:val="nil"/>
                    <w:tr2bl w:val="nil"/>
                  </w:tcBorders>
                  <w:noWrap w:val="0"/>
                  <w:vAlign w:val="center"/>
                </w:tcPr>
                <w:p w14:paraId="496A1AC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污染物排放</w:t>
                  </w:r>
                </w:p>
              </w:tc>
            </w:tr>
            <w:tr w14:paraId="4164A0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continue"/>
                  <w:tcBorders>
                    <w:tl2br w:val="nil"/>
                    <w:tr2bl w:val="nil"/>
                  </w:tcBorders>
                  <w:noWrap w:val="0"/>
                  <w:vAlign w:val="center"/>
                </w:tcPr>
                <w:p w14:paraId="0DAA233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p>
              </w:tc>
              <w:tc>
                <w:tcPr>
                  <w:tcW w:w="505" w:type="pct"/>
                  <w:vMerge w:val="continue"/>
                  <w:tcBorders>
                    <w:tl2br w:val="nil"/>
                    <w:tr2bl w:val="nil"/>
                  </w:tcBorders>
                  <w:noWrap w:val="0"/>
                  <w:vAlign w:val="center"/>
                </w:tcPr>
                <w:p w14:paraId="71E987B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p>
              </w:tc>
              <w:tc>
                <w:tcPr>
                  <w:tcW w:w="431" w:type="pct"/>
                  <w:vMerge w:val="continue"/>
                  <w:tcBorders>
                    <w:tl2br w:val="nil"/>
                    <w:tr2bl w:val="nil"/>
                  </w:tcBorders>
                  <w:noWrap w:val="0"/>
                  <w:vAlign w:val="center"/>
                </w:tcPr>
                <w:p w14:paraId="3055B01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rPr>
                  </w:pPr>
                </w:p>
              </w:tc>
              <w:tc>
                <w:tcPr>
                  <w:tcW w:w="705" w:type="pct"/>
                  <w:tcBorders>
                    <w:tl2br w:val="nil"/>
                    <w:tr2bl w:val="nil"/>
                  </w:tcBorders>
                  <w:noWrap w:val="0"/>
                  <w:vAlign w:val="center"/>
                </w:tcPr>
                <w:p w14:paraId="24BCD2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bidi="ar-SA"/>
                    </w:rPr>
                  </w:pPr>
                  <w:r>
                    <w:rPr>
                      <w:rFonts w:hint="default" w:ascii="Times New Roman" w:hAnsi="Times New Roman" w:eastAsia="宋体" w:cs="Times New Roman"/>
                      <w:b/>
                      <w:bCs/>
                      <w:color w:val="auto"/>
                      <w:kern w:val="0"/>
                      <w:sz w:val="21"/>
                      <w:szCs w:val="21"/>
                      <w:u w:val="none"/>
                    </w:rPr>
                    <w:t>产生浓度（mg/L）</w:t>
                  </w:r>
                </w:p>
              </w:tc>
              <w:tc>
                <w:tcPr>
                  <w:tcW w:w="542" w:type="pct"/>
                  <w:tcBorders>
                    <w:tl2br w:val="nil"/>
                    <w:tr2bl w:val="nil"/>
                  </w:tcBorders>
                  <w:noWrap w:val="0"/>
                  <w:vAlign w:val="center"/>
                </w:tcPr>
                <w:p w14:paraId="38549F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bidi="ar-SA"/>
                    </w:rPr>
                  </w:pPr>
                  <w:r>
                    <w:rPr>
                      <w:rFonts w:hint="default" w:ascii="Times New Roman" w:hAnsi="Times New Roman" w:eastAsia="宋体" w:cs="Times New Roman"/>
                      <w:b/>
                      <w:bCs/>
                      <w:color w:val="auto"/>
                      <w:kern w:val="0"/>
                      <w:sz w:val="21"/>
                      <w:szCs w:val="21"/>
                      <w:u w:val="none"/>
                    </w:rPr>
                    <w:t>产生量（</w:t>
                  </w:r>
                  <w:r>
                    <w:rPr>
                      <w:rFonts w:hint="eastAsia" w:ascii="Times New Roman" w:hAnsi="Times New Roman" w:eastAsia="宋体" w:cs="Times New Roman"/>
                      <w:b/>
                      <w:bCs/>
                      <w:color w:val="auto"/>
                      <w:kern w:val="0"/>
                      <w:sz w:val="21"/>
                      <w:szCs w:val="21"/>
                      <w:u w:val="none"/>
                      <w:lang w:val="en-US" w:eastAsia="zh-CN"/>
                    </w:rPr>
                    <w:t>t/a</w:t>
                  </w:r>
                  <w:r>
                    <w:rPr>
                      <w:rFonts w:hint="default" w:ascii="Times New Roman" w:hAnsi="Times New Roman" w:eastAsia="宋体" w:cs="Times New Roman"/>
                      <w:b/>
                      <w:bCs/>
                      <w:color w:val="auto"/>
                      <w:kern w:val="0"/>
                      <w:sz w:val="21"/>
                      <w:szCs w:val="21"/>
                      <w:u w:val="none"/>
                    </w:rPr>
                    <w:t>）</w:t>
                  </w:r>
                </w:p>
              </w:tc>
              <w:tc>
                <w:tcPr>
                  <w:tcW w:w="510" w:type="pct"/>
                  <w:tcBorders>
                    <w:tl2br w:val="nil"/>
                    <w:tr2bl w:val="nil"/>
                  </w:tcBorders>
                  <w:noWrap w:val="0"/>
                  <w:vAlign w:val="center"/>
                </w:tcPr>
                <w:p w14:paraId="7E8C1FE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工艺</w:t>
                  </w:r>
                </w:p>
              </w:tc>
              <w:tc>
                <w:tcPr>
                  <w:tcW w:w="480" w:type="pct"/>
                  <w:tcBorders>
                    <w:tl2br w:val="nil"/>
                    <w:tr2bl w:val="nil"/>
                  </w:tcBorders>
                  <w:noWrap w:val="0"/>
                  <w:vAlign w:val="center"/>
                </w:tcPr>
                <w:p w14:paraId="5033DBA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rPr>
                  </w:pPr>
                  <w:r>
                    <w:rPr>
                      <w:rFonts w:hint="default" w:ascii="Times New Roman" w:hAnsi="Times New Roman" w:eastAsia="宋体" w:cs="Times New Roman"/>
                      <w:b/>
                      <w:bCs/>
                      <w:color w:val="auto"/>
                      <w:kern w:val="0"/>
                      <w:sz w:val="21"/>
                      <w:szCs w:val="21"/>
                      <w:u w:val="none"/>
                    </w:rPr>
                    <w:t>综合处理效率/%</w:t>
                  </w:r>
                </w:p>
              </w:tc>
              <w:tc>
                <w:tcPr>
                  <w:tcW w:w="695" w:type="pct"/>
                  <w:tcBorders>
                    <w:tl2br w:val="nil"/>
                    <w:tr2bl w:val="nil"/>
                  </w:tcBorders>
                  <w:noWrap w:val="0"/>
                  <w:vAlign w:val="center"/>
                </w:tcPr>
                <w:p w14:paraId="4D9AAF4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bidi="ar-SA"/>
                    </w:rPr>
                  </w:pPr>
                  <w:r>
                    <w:rPr>
                      <w:rFonts w:hint="eastAsia" w:ascii="Times New Roman" w:hAnsi="Times New Roman" w:eastAsia="宋体" w:cs="Times New Roman"/>
                      <w:b/>
                      <w:bCs/>
                      <w:color w:val="auto"/>
                      <w:kern w:val="0"/>
                      <w:sz w:val="21"/>
                      <w:szCs w:val="21"/>
                      <w:u w:val="none"/>
                      <w:lang w:val="en-US" w:eastAsia="zh-CN"/>
                    </w:rPr>
                    <w:t>处理后</w:t>
                  </w:r>
                  <w:r>
                    <w:rPr>
                      <w:rFonts w:hint="default" w:ascii="Times New Roman" w:hAnsi="Times New Roman" w:eastAsia="宋体" w:cs="Times New Roman"/>
                      <w:b/>
                      <w:bCs/>
                      <w:color w:val="auto"/>
                      <w:kern w:val="0"/>
                      <w:sz w:val="21"/>
                      <w:szCs w:val="21"/>
                      <w:u w:val="none"/>
                    </w:rPr>
                    <w:t>浓度（mg/L）</w:t>
                  </w:r>
                </w:p>
              </w:tc>
              <w:tc>
                <w:tcPr>
                  <w:tcW w:w="543" w:type="pct"/>
                  <w:tcBorders>
                    <w:tl2br w:val="nil"/>
                    <w:tr2bl w:val="nil"/>
                  </w:tcBorders>
                  <w:noWrap w:val="0"/>
                  <w:vAlign w:val="center"/>
                </w:tcPr>
                <w:p w14:paraId="36DDEE9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color w:val="auto"/>
                      <w:kern w:val="0"/>
                      <w:sz w:val="21"/>
                      <w:szCs w:val="21"/>
                      <w:u w:val="none"/>
                      <w:lang w:val="en-US" w:eastAsia="zh-CN" w:bidi="ar-SA"/>
                    </w:rPr>
                  </w:pPr>
                  <w:r>
                    <w:rPr>
                      <w:rFonts w:hint="eastAsia" w:ascii="Times New Roman" w:hAnsi="Times New Roman" w:eastAsia="宋体" w:cs="Times New Roman"/>
                      <w:b/>
                      <w:bCs/>
                      <w:color w:val="auto"/>
                      <w:kern w:val="0"/>
                      <w:sz w:val="21"/>
                      <w:szCs w:val="21"/>
                      <w:u w:val="none"/>
                      <w:lang w:val="en-US" w:eastAsia="zh-CN"/>
                    </w:rPr>
                    <w:t>处理后</w:t>
                  </w:r>
                  <w:r>
                    <w:rPr>
                      <w:rFonts w:hint="default" w:ascii="Times New Roman" w:hAnsi="Times New Roman" w:eastAsia="宋体" w:cs="Times New Roman"/>
                      <w:b/>
                      <w:bCs/>
                      <w:color w:val="auto"/>
                      <w:kern w:val="0"/>
                      <w:sz w:val="21"/>
                      <w:szCs w:val="21"/>
                      <w:u w:val="none"/>
                    </w:rPr>
                    <w:t>量（</w:t>
                  </w:r>
                  <w:r>
                    <w:rPr>
                      <w:rFonts w:hint="eastAsia" w:ascii="Times New Roman" w:hAnsi="Times New Roman" w:eastAsia="宋体" w:cs="Times New Roman"/>
                      <w:b/>
                      <w:bCs/>
                      <w:color w:val="auto"/>
                      <w:kern w:val="0"/>
                      <w:sz w:val="21"/>
                      <w:szCs w:val="21"/>
                      <w:u w:val="none"/>
                      <w:lang w:val="en-US" w:eastAsia="zh-CN"/>
                    </w:rPr>
                    <w:t>t/a</w:t>
                  </w:r>
                  <w:r>
                    <w:rPr>
                      <w:rFonts w:hint="default" w:ascii="Times New Roman" w:hAnsi="Times New Roman" w:eastAsia="宋体" w:cs="Times New Roman"/>
                      <w:b/>
                      <w:bCs/>
                      <w:color w:val="auto"/>
                      <w:kern w:val="0"/>
                      <w:sz w:val="21"/>
                      <w:szCs w:val="21"/>
                      <w:u w:val="none"/>
                    </w:rPr>
                    <w:t>）</w:t>
                  </w:r>
                </w:p>
              </w:tc>
              <w:tc>
                <w:tcPr>
                  <w:tcW w:w="268" w:type="pct"/>
                  <w:tcBorders>
                    <w:tl2br w:val="nil"/>
                    <w:tr2bl w:val="nil"/>
                  </w:tcBorders>
                  <w:noWrap w:val="0"/>
                  <w:vAlign w:val="center"/>
                </w:tcPr>
                <w:p w14:paraId="3CA290DA">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去向</w:t>
                  </w:r>
                </w:p>
              </w:tc>
            </w:tr>
            <w:tr w14:paraId="25457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restart"/>
                  <w:tcBorders>
                    <w:tl2br w:val="nil"/>
                    <w:tr2bl w:val="nil"/>
                  </w:tcBorders>
                  <w:noWrap w:val="0"/>
                  <w:vAlign w:val="center"/>
                </w:tcPr>
                <w:p w14:paraId="32C5FD0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员工生活</w:t>
                  </w:r>
                </w:p>
              </w:tc>
              <w:tc>
                <w:tcPr>
                  <w:tcW w:w="505" w:type="pct"/>
                  <w:tcBorders>
                    <w:tl2br w:val="nil"/>
                    <w:tr2bl w:val="nil"/>
                  </w:tcBorders>
                  <w:noWrap w:val="0"/>
                  <w:vAlign w:val="center"/>
                </w:tcPr>
                <w:p w14:paraId="2A42258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BOD</w:t>
                  </w:r>
                  <w:r>
                    <w:rPr>
                      <w:rFonts w:hint="eastAsia" w:ascii="Times New Roman" w:hAnsi="Times New Roman" w:eastAsia="宋体" w:cs="Times New Roman"/>
                      <w:color w:val="auto"/>
                      <w:kern w:val="0"/>
                      <w:sz w:val="21"/>
                      <w:szCs w:val="21"/>
                      <w:u w:val="none"/>
                      <w:vertAlign w:val="subscript"/>
                      <w:lang w:val="en-US" w:eastAsia="zh-CN"/>
                    </w:rPr>
                    <w:t>5</w:t>
                  </w:r>
                </w:p>
              </w:tc>
              <w:tc>
                <w:tcPr>
                  <w:tcW w:w="431" w:type="pct"/>
                  <w:vMerge w:val="restart"/>
                  <w:tcBorders>
                    <w:tl2br w:val="nil"/>
                    <w:tr2bl w:val="nil"/>
                  </w:tcBorders>
                  <w:noWrap w:val="0"/>
                  <w:vAlign w:val="center"/>
                </w:tcPr>
                <w:p w14:paraId="0CDAAD4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cs="Times New Roman"/>
                      <w:color w:val="auto"/>
                      <w:kern w:val="0"/>
                      <w:sz w:val="21"/>
                      <w:szCs w:val="21"/>
                      <w:u w:val="none"/>
                      <w:lang w:val="en-US" w:eastAsia="zh-CN"/>
                    </w:rPr>
                    <w:t>2128</w:t>
                  </w:r>
                </w:p>
              </w:tc>
              <w:tc>
                <w:tcPr>
                  <w:tcW w:w="705" w:type="pct"/>
                  <w:tcBorders>
                    <w:tl2br w:val="nil"/>
                    <w:tr2bl w:val="nil"/>
                  </w:tcBorders>
                  <w:noWrap w:val="0"/>
                  <w:vAlign w:val="center"/>
                </w:tcPr>
                <w:p w14:paraId="472BFF4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rPr>
                    <w:t>180</w:t>
                  </w:r>
                </w:p>
              </w:tc>
              <w:tc>
                <w:tcPr>
                  <w:tcW w:w="867" w:type="dxa"/>
                  <w:tcBorders>
                    <w:tl2br w:val="nil"/>
                    <w:tr2bl w:val="nil"/>
                  </w:tcBorders>
                  <w:noWrap w:val="0"/>
                  <w:vAlign w:val="center"/>
                </w:tcPr>
                <w:p w14:paraId="297D37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3.830 </w:t>
                  </w:r>
                </w:p>
              </w:tc>
              <w:tc>
                <w:tcPr>
                  <w:tcW w:w="510" w:type="pct"/>
                  <w:vMerge w:val="restart"/>
                  <w:tcBorders>
                    <w:tl2br w:val="nil"/>
                    <w:tr2bl w:val="nil"/>
                  </w:tcBorders>
                  <w:noWrap w:val="0"/>
                  <w:vAlign w:val="center"/>
                </w:tcPr>
                <w:p w14:paraId="7285014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化粪池</w:t>
                  </w:r>
                </w:p>
              </w:tc>
              <w:tc>
                <w:tcPr>
                  <w:tcW w:w="480" w:type="pct"/>
                  <w:tcBorders>
                    <w:tl2br w:val="nil"/>
                    <w:tr2bl w:val="nil"/>
                  </w:tcBorders>
                  <w:noWrap w:val="0"/>
                  <w:vAlign w:val="center"/>
                </w:tcPr>
                <w:p w14:paraId="33D8F6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33.3</w:t>
                  </w:r>
                </w:p>
              </w:tc>
              <w:tc>
                <w:tcPr>
                  <w:tcW w:w="695" w:type="pct"/>
                  <w:tcBorders>
                    <w:tl2br w:val="nil"/>
                    <w:tr2bl w:val="nil"/>
                  </w:tcBorders>
                  <w:noWrap w:val="0"/>
                  <w:vAlign w:val="center"/>
                </w:tcPr>
                <w:p w14:paraId="1F258F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bidi="ar-SA"/>
                    </w:rPr>
                    <w:t>120</w:t>
                  </w:r>
                </w:p>
              </w:tc>
              <w:tc>
                <w:tcPr>
                  <w:tcW w:w="868" w:type="dxa"/>
                  <w:tcBorders>
                    <w:tl2br w:val="nil"/>
                    <w:tr2bl w:val="nil"/>
                  </w:tcBorders>
                  <w:noWrap w:val="0"/>
                  <w:vAlign w:val="center"/>
                </w:tcPr>
                <w:p w14:paraId="3C12FC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0.255 </w:t>
                  </w:r>
                </w:p>
              </w:tc>
              <w:tc>
                <w:tcPr>
                  <w:tcW w:w="268" w:type="pct"/>
                  <w:vMerge w:val="restart"/>
                  <w:tcBorders>
                    <w:tl2br w:val="nil"/>
                    <w:tr2bl w:val="nil"/>
                  </w:tcBorders>
                  <w:noWrap w:val="0"/>
                  <w:vAlign w:val="center"/>
                </w:tcPr>
                <w:p w14:paraId="20737C5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园区污水管网</w:t>
                  </w:r>
                </w:p>
              </w:tc>
            </w:tr>
            <w:tr w14:paraId="091D19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continue"/>
                  <w:tcBorders>
                    <w:tl2br w:val="nil"/>
                    <w:tr2bl w:val="nil"/>
                  </w:tcBorders>
                  <w:noWrap w:val="0"/>
                  <w:vAlign w:val="center"/>
                </w:tcPr>
                <w:p w14:paraId="66A5F52A">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u w:val="none"/>
                      <w:lang w:val="en-US" w:eastAsia="zh-CN"/>
                    </w:rPr>
                  </w:pPr>
                </w:p>
              </w:tc>
              <w:tc>
                <w:tcPr>
                  <w:tcW w:w="505" w:type="pct"/>
                  <w:tcBorders>
                    <w:tl2br w:val="nil"/>
                    <w:tr2bl w:val="nil"/>
                  </w:tcBorders>
                  <w:noWrap w:val="0"/>
                  <w:vAlign w:val="center"/>
                </w:tcPr>
                <w:p w14:paraId="04E8F16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SS</w:t>
                  </w:r>
                </w:p>
              </w:tc>
              <w:tc>
                <w:tcPr>
                  <w:tcW w:w="431" w:type="pct"/>
                  <w:vMerge w:val="continue"/>
                  <w:tcBorders>
                    <w:tl2br w:val="nil"/>
                    <w:tr2bl w:val="nil"/>
                  </w:tcBorders>
                  <w:noWrap w:val="0"/>
                  <w:vAlign w:val="center"/>
                </w:tcPr>
                <w:p w14:paraId="6E1C55B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705" w:type="pct"/>
                  <w:tcBorders>
                    <w:tl2br w:val="nil"/>
                    <w:tr2bl w:val="nil"/>
                  </w:tcBorders>
                  <w:noWrap w:val="0"/>
                  <w:vAlign w:val="center"/>
                </w:tcPr>
                <w:p w14:paraId="5DF104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rPr>
                    <w:t>250</w:t>
                  </w:r>
                </w:p>
              </w:tc>
              <w:tc>
                <w:tcPr>
                  <w:tcW w:w="867" w:type="dxa"/>
                  <w:tcBorders>
                    <w:tl2br w:val="nil"/>
                    <w:tr2bl w:val="nil"/>
                  </w:tcBorders>
                  <w:noWrap w:val="0"/>
                  <w:vAlign w:val="center"/>
                </w:tcPr>
                <w:p w14:paraId="20F217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5.320 </w:t>
                  </w:r>
                </w:p>
              </w:tc>
              <w:tc>
                <w:tcPr>
                  <w:tcW w:w="510" w:type="pct"/>
                  <w:vMerge w:val="continue"/>
                  <w:tcBorders>
                    <w:tl2br w:val="nil"/>
                    <w:tr2bl w:val="nil"/>
                  </w:tcBorders>
                  <w:noWrap w:val="0"/>
                  <w:vAlign w:val="center"/>
                </w:tcPr>
                <w:p w14:paraId="268AD7A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480" w:type="pct"/>
                  <w:tcBorders>
                    <w:tl2br w:val="nil"/>
                    <w:tr2bl w:val="nil"/>
                  </w:tcBorders>
                  <w:noWrap w:val="0"/>
                  <w:vAlign w:val="center"/>
                </w:tcPr>
                <w:p w14:paraId="2C1CC14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20</w:t>
                  </w:r>
                </w:p>
              </w:tc>
              <w:tc>
                <w:tcPr>
                  <w:tcW w:w="695" w:type="pct"/>
                  <w:tcBorders>
                    <w:tl2br w:val="nil"/>
                    <w:tr2bl w:val="nil"/>
                  </w:tcBorders>
                  <w:noWrap w:val="0"/>
                  <w:vAlign w:val="center"/>
                </w:tcPr>
                <w:p w14:paraId="4E0B97A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bidi="ar-SA"/>
                    </w:rPr>
                    <w:t>200</w:t>
                  </w:r>
                </w:p>
              </w:tc>
              <w:tc>
                <w:tcPr>
                  <w:tcW w:w="868" w:type="dxa"/>
                  <w:tcBorders>
                    <w:tl2br w:val="nil"/>
                    <w:tr2bl w:val="nil"/>
                  </w:tcBorders>
                  <w:noWrap w:val="0"/>
                  <w:vAlign w:val="center"/>
                </w:tcPr>
                <w:p w14:paraId="60352A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0.426 </w:t>
                  </w:r>
                </w:p>
              </w:tc>
              <w:tc>
                <w:tcPr>
                  <w:tcW w:w="268" w:type="pct"/>
                  <w:vMerge w:val="continue"/>
                  <w:tcBorders>
                    <w:tl2br w:val="nil"/>
                    <w:tr2bl w:val="nil"/>
                  </w:tcBorders>
                  <w:noWrap w:val="0"/>
                  <w:vAlign w:val="center"/>
                </w:tcPr>
                <w:p w14:paraId="4B681A60">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u w:val="none"/>
                      <w:lang w:val="en-US" w:eastAsia="zh-CN"/>
                    </w:rPr>
                  </w:pPr>
                </w:p>
              </w:tc>
            </w:tr>
            <w:tr w14:paraId="2F8B0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continue"/>
                  <w:tcBorders>
                    <w:tl2br w:val="nil"/>
                    <w:tr2bl w:val="nil"/>
                  </w:tcBorders>
                  <w:noWrap w:val="0"/>
                  <w:vAlign w:val="center"/>
                </w:tcPr>
                <w:p w14:paraId="081022A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505" w:type="pct"/>
                  <w:tcBorders>
                    <w:tl2br w:val="nil"/>
                    <w:tr2bl w:val="nil"/>
                  </w:tcBorders>
                  <w:noWrap w:val="0"/>
                  <w:vAlign w:val="center"/>
                </w:tcPr>
                <w:p w14:paraId="50C669C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COD</w:t>
                  </w:r>
                </w:p>
              </w:tc>
              <w:tc>
                <w:tcPr>
                  <w:tcW w:w="431" w:type="pct"/>
                  <w:vMerge w:val="continue"/>
                  <w:tcBorders>
                    <w:tl2br w:val="nil"/>
                    <w:tr2bl w:val="nil"/>
                  </w:tcBorders>
                  <w:noWrap w:val="0"/>
                  <w:vAlign w:val="center"/>
                </w:tcPr>
                <w:p w14:paraId="638CF83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705" w:type="pct"/>
                  <w:tcBorders>
                    <w:tl2br w:val="nil"/>
                    <w:tr2bl w:val="nil"/>
                  </w:tcBorders>
                  <w:noWrap w:val="0"/>
                  <w:vAlign w:val="center"/>
                </w:tcPr>
                <w:p w14:paraId="39B3EE7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rPr>
                    <w:t>350</w:t>
                  </w:r>
                </w:p>
              </w:tc>
              <w:tc>
                <w:tcPr>
                  <w:tcW w:w="867" w:type="dxa"/>
                  <w:tcBorders>
                    <w:tl2br w:val="nil"/>
                    <w:tr2bl w:val="nil"/>
                  </w:tcBorders>
                  <w:noWrap w:val="0"/>
                  <w:vAlign w:val="center"/>
                </w:tcPr>
                <w:p w14:paraId="270B9B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7.448 </w:t>
                  </w:r>
                </w:p>
              </w:tc>
              <w:tc>
                <w:tcPr>
                  <w:tcW w:w="510" w:type="pct"/>
                  <w:vMerge w:val="continue"/>
                  <w:tcBorders>
                    <w:tl2br w:val="nil"/>
                    <w:tr2bl w:val="nil"/>
                  </w:tcBorders>
                  <w:noWrap w:val="0"/>
                  <w:vAlign w:val="center"/>
                </w:tcPr>
                <w:p w14:paraId="46B1E7F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480" w:type="pct"/>
                  <w:tcBorders>
                    <w:tl2br w:val="nil"/>
                    <w:tr2bl w:val="nil"/>
                  </w:tcBorders>
                  <w:noWrap w:val="0"/>
                  <w:vAlign w:val="center"/>
                </w:tcPr>
                <w:p w14:paraId="71B3678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42.8</w:t>
                  </w:r>
                </w:p>
              </w:tc>
              <w:tc>
                <w:tcPr>
                  <w:tcW w:w="695" w:type="pct"/>
                  <w:tcBorders>
                    <w:tl2br w:val="nil"/>
                    <w:tr2bl w:val="nil"/>
                  </w:tcBorders>
                  <w:noWrap w:val="0"/>
                  <w:vAlign w:val="center"/>
                </w:tcPr>
                <w:p w14:paraId="6CAF2D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bidi="ar-SA"/>
                    </w:rPr>
                    <w:t>200</w:t>
                  </w:r>
                </w:p>
              </w:tc>
              <w:tc>
                <w:tcPr>
                  <w:tcW w:w="868" w:type="dxa"/>
                  <w:tcBorders>
                    <w:tl2br w:val="nil"/>
                    <w:tr2bl w:val="nil"/>
                  </w:tcBorders>
                  <w:noWrap w:val="0"/>
                  <w:vAlign w:val="center"/>
                </w:tcPr>
                <w:p w14:paraId="68E91A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0.426 </w:t>
                  </w:r>
                </w:p>
              </w:tc>
              <w:tc>
                <w:tcPr>
                  <w:tcW w:w="268" w:type="pct"/>
                  <w:vMerge w:val="continue"/>
                  <w:tcBorders>
                    <w:tl2br w:val="nil"/>
                    <w:tr2bl w:val="nil"/>
                  </w:tcBorders>
                  <w:noWrap w:val="0"/>
                  <w:vAlign w:val="center"/>
                </w:tcPr>
                <w:p w14:paraId="66C033F6">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u w:val="none"/>
                      <w:lang w:val="en-US" w:eastAsia="zh-CN"/>
                    </w:rPr>
                  </w:pPr>
                </w:p>
              </w:tc>
            </w:tr>
            <w:tr w14:paraId="60E172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continue"/>
                  <w:tcBorders>
                    <w:tl2br w:val="nil"/>
                    <w:tr2bl w:val="nil"/>
                  </w:tcBorders>
                  <w:noWrap w:val="0"/>
                  <w:vAlign w:val="center"/>
                </w:tcPr>
                <w:p w14:paraId="46BC4AD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505" w:type="pct"/>
                  <w:tcBorders>
                    <w:tl2br w:val="nil"/>
                    <w:tr2bl w:val="nil"/>
                  </w:tcBorders>
                  <w:noWrap w:val="0"/>
                  <w:vAlign w:val="center"/>
                </w:tcPr>
                <w:p w14:paraId="6941E0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氨氮</w:t>
                  </w:r>
                </w:p>
              </w:tc>
              <w:tc>
                <w:tcPr>
                  <w:tcW w:w="431" w:type="pct"/>
                  <w:vMerge w:val="continue"/>
                  <w:tcBorders>
                    <w:tl2br w:val="nil"/>
                    <w:tr2bl w:val="nil"/>
                  </w:tcBorders>
                  <w:noWrap w:val="0"/>
                  <w:vAlign w:val="center"/>
                </w:tcPr>
                <w:p w14:paraId="7ACE70C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705" w:type="pct"/>
                  <w:tcBorders>
                    <w:tl2br w:val="nil"/>
                    <w:tr2bl w:val="nil"/>
                  </w:tcBorders>
                  <w:noWrap w:val="0"/>
                  <w:vAlign w:val="center"/>
                </w:tcPr>
                <w:p w14:paraId="7514616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rPr>
                    <w:t>30</w:t>
                  </w:r>
                </w:p>
              </w:tc>
              <w:tc>
                <w:tcPr>
                  <w:tcW w:w="867" w:type="dxa"/>
                  <w:tcBorders>
                    <w:tl2br w:val="nil"/>
                    <w:tr2bl w:val="nil"/>
                  </w:tcBorders>
                  <w:noWrap w:val="0"/>
                  <w:vAlign w:val="center"/>
                </w:tcPr>
                <w:p w14:paraId="50437B5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0.638 </w:t>
                  </w:r>
                </w:p>
              </w:tc>
              <w:tc>
                <w:tcPr>
                  <w:tcW w:w="510" w:type="pct"/>
                  <w:vMerge w:val="continue"/>
                  <w:tcBorders>
                    <w:tl2br w:val="nil"/>
                    <w:tr2bl w:val="nil"/>
                  </w:tcBorders>
                  <w:noWrap w:val="0"/>
                  <w:vAlign w:val="center"/>
                </w:tcPr>
                <w:p w14:paraId="236380F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480" w:type="pct"/>
                  <w:tcBorders>
                    <w:tl2br w:val="nil"/>
                    <w:tr2bl w:val="nil"/>
                  </w:tcBorders>
                  <w:noWrap w:val="0"/>
                  <w:vAlign w:val="center"/>
                </w:tcPr>
                <w:p w14:paraId="324656F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33.3</w:t>
                  </w:r>
                </w:p>
              </w:tc>
              <w:tc>
                <w:tcPr>
                  <w:tcW w:w="695" w:type="pct"/>
                  <w:tcBorders>
                    <w:tl2br w:val="nil"/>
                    <w:tr2bl w:val="nil"/>
                  </w:tcBorders>
                  <w:noWrap w:val="0"/>
                  <w:vAlign w:val="center"/>
                </w:tcPr>
                <w:p w14:paraId="0043D9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bidi="ar-SA"/>
                    </w:rPr>
                    <w:t>20</w:t>
                  </w:r>
                </w:p>
              </w:tc>
              <w:tc>
                <w:tcPr>
                  <w:tcW w:w="868" w:type="dxa"/>
                  <w:tcBorders>
                    <w:tl2br w:val="nil"/>
                    <w:tr2bl w:val="nil"/>
                  </w:tcBorders>
                  <w:noWrap w:val="0"/>
                  <w:vAlign w:val="center"/>
                </w:tcPr>
                <w:p w14:paraId="1D3B1A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0.043 </w:t>
                  </w:r>
                </w:p>
              </w:tc>
              <w:tc>
                <w:tcPr>
                  <w:tcW w:w="268" w:type="pct"/>
                  <w:vMerge w:val="continue"/>
                  <w:tcBorders>
                    <w:tl2br w:val="nil"/>
                    <w:tr2bl w:val="nil"/>
                  </w:tcBorders>
                  <w:noWrap w:val="0"/>
                  <w:vAlign w:val="center"/>
                </w:tcPr>
                <w:p w14:paraId="7706F85A">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u w:val="none"/>
                      <w:lang w:val="en-US" w:eastAsia="zh-CN"/>
                    </w:rPr>
                  </w:pPr>
                </w:p>
              </w:tc>
            </w:tr>
            <w:tr w14:paraId="3B7251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7" w:type="pct"/>
                  <w:vMerge w:val="continue"/>
                  <w:tcBorders>
                    <w:tl2br w:val="nil"/>
                    <w:tr2bl w:val="nil"/>
                  </w:tcBorders>
                  <w:noWrap w:val="0"/>
                  <w:vAlign w:val="center"/>
                </w:tcPr>
                <w:p w14:paraId="6A89E60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505" w:type="pct"/>
                  <w:tcBorders>
                    <w:tl2br w:val="nil"/>
                    <w:tr2bl w:val="nil"/>
                  </w:tcBorders>
                  <w:noWrap w:val="0"/>
                  <w:vAlign w:val="center"/>
                </w:tcPr>
                <w:p w14:paraId="76BB147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总磷</w:t>
                  </w:r>
                </w:p>
              </w:tc>
              <w:tc>
                <w:tcPr>
                  <w:tcW w:w="431" w:type="pct"/>
                  <w:vMerge w:val="continue"/>
                  <w:tcBorders>
                    <w:tl2br w:val="nil"/>
                    <w:tr2bl w:val="nil"/>
                  </w:tcBorders>
                  <w:noWrap w:val="0"/>
                  <w:vAlign w:val="center"/>
                </w:tcPr>
                <w:p w14:paraId="61B85C6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705" w:type="pct"/>
                  <w:tcBorders>
                    <w:tl2br w:val="nil"/>
                    <w:tr2bl w:val="nil"/>
                  </w:tcBorders>
                  <w:noWrap w:val="0"/>
                  <w:vAlign w:val="center"/>
                </w:tcPr>
                <w:p w14:paraId="2FEDCF6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4</w:t>
                  </w:r>
                </w:p>
              </w:tc>
              <w:tc>
                <w:tcPr>
                  <w:tcW w:w="867" w:type="dxa"/>
                  <w:tcBorders>
                    <w:tl2br w:val="nil"/>
                    <w:tr2bl w:val="nil"/>
                  </w:tcBorders>
                  <w:noWrap w:val="0"/>
                  <w:vAlign w:val="center"/>
                </w:tcPr>
                <w:p w14:paraId="7F19342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0.085 </w:t>
                  </w:r>
                </w:p>
              </w:tc>
              <w:tc>
                <w:tcPr>
                  <w:tcW w:w="510" w:type="pct"/>
                  <w:vMerge w:val="continue"/>
                  <w:tcBorders>
                    <w:tl2br w:val="nil"/>
                    <w:tr2bl w:val="nil"/>
                  </w:tcBorders>
                  <w:noWrap w:val="0"/>
                  <w:vAlign w:val="center"/>
                </w:tcPr>
                <w:p w14:paraId="6EAFEFD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rPr>
                  </w:pPr>
                </w:p>
              </w:tc>
              <w:tc>
                <w:tcPr>
                  <w:tcW w:w="480" w:type="pct"/>
                  <w:tcBorders>
                    <w:tl2br w:val="nil"/>
                    <w:tr2bl w:val="nil"/>
                  </w:tcBorders>
                  <w:noWrap w:val="0"/>
                  <w:vAlign w:val="center"/>
                </w:tcPr>
                <w:p w14:paraId="0025511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25</w:t>
                  </w:r>
                </w:p>
              </w:tc>
              <w:tc>
                <w:tcPr>
                  <w:tcW w:w="695" w:type="pct"/>
                  <w:tcBorders>
                    <w:tl2br w:val="nil"/>
                    <w:tr2bl w:val="nil"/>
                  </w:tcBorders>
                  <w:noWrap w:val="0"/>
                  <w:vAlign w:val="center"/>
                </w:tcPr>
                <w:p w14:paraId="5B8454D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bidi="ar-SA"/>
                    </w:rPr>
                    <w:t>3</w:t>
                  </w:r>
                </w:p>
              </w:tc>
              <w:tc>
                <w:tcPr>
                  <w:tcW w:w="868" w:type="dxa"/>
                  <w:tcBorders>
                    <w:tl2br w:val="nil"/>
                    <w:tr2bl w:val="nil"/>
                  </w:tcBorders>
                  <w:noWrap w:val="0"/>
                  <w:vAlign w:val="center"/>
                </w:tcPr>
                <w:p w14:paraId="241EE5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0.006 </w:t>
                  </w:r>
                </w:p>
              </w:tc>
              <w:tc>
                <w:tcPr>
                  <w:tcW w:w="268" w:type="pct"/>
                  <w:vMerge w:val="continue"/>
                  <w:tcBorders>
                    <w:tl2br w:val="nil"/>
                    <w:tr2bl w:val="nil"/>
                  </w:tcBorders>
                  <w:noWrap w:val="0"/>
                  <w:vAlign w:val="center"/>
                </w:tcPr>
                <w:p w14:paraId="3F6C9833">
                  <w:pPr>
                    <w:keepNext w:val="0"/>
                    <w:keepLines w:val="0"/>
                    <w:widowControl/>
                    <w:suppressLineNumbers w:val="0"/>
                    <w:spacing w:before="0" w:beforeAutospacing="0" w:after="0" w:afterAutospacing="0" w:line="240" w:lineRule="auto"/>
                    <w:ind w:left="0" w:right="0"/>
                    <w:jc w:val="center"/>
                    <w:rPr>
                      <w:rFonts w:hint="eastAsia" w:ascii="Times New Roman" w:hAnsi="Times New Roman" w:eastAsia="宋体" w:cs="Times New Roman"/>
                      <w:color w:val="auto"/>
                      <w:kern w:val="0"/>
                      <w:sz w:val="21"/>
                      <w:szCs w:val="21"/>
                      <w:u w:val="none"/>
                      <w:lang w:val="en-US" w:eastAsia="zh-CN"/>
                    </w:rPr>
                  </w:pPr>
                </w:p>
              </w:tc>
            </w:tr>
          </w:tbl>
          <w:p w14:paraId="40B3BE95">
            <w:pPr>
              <w:keepNext w:val="0"/>
              <w:keepLines w:val="0"/>
              <w:suppressLineNumbers w:val="0"/>
              <w:spacing w:before="0" w:beforeAutospacing="0" w:after="0" w:afterAutospacing="0" w:line="360" w:lineRule="auto"/>
              <w:ind w:left="0" w:right="0" w:firstLine="422" w:firstLineChars="200"/>
              <w:jc w:val="center"/>
              <w:rPr>
                <w:rFonts w:hint="default" w:ascii="Times New Roman" w:hAnsi="Times New Roman" w:eastAsia="宋体" w:cs="Times New Roman"/>
                <w:b/>
                <w:bCs/>
                <w:szCs w:val="21"/>
                <w:highlight w:val="none"/>
                <w:u w:val="none"/>
                <w:lang w:val="en-US" w:eastAsia="zh-CN"/>
              </w:rPr>
            </w:pPr>
            <w:r>
              <w:rPr>
                <w:rFonts w:hint="default" w:ascii="Times New Roman" w:hAnsi="Times New Roman" w:eastAsia="宋体" w:cs="Times New Roman"/>
                <w:b/>
                <w:bCs/>
                <w:szCs w:val="21"/>
                <w:highlight w:val="none"/>
                <w:u w:val="none"/>
                <w:lang w:val="en-US" w:eastAsia="zh-CN"/>
              </w:rPr>
              <w:t>表 4-</w:t>
            </w:r>
            <w:r>
              <w:rPr>
                <w:rFonts w:hint="eastAsia" w:ascii="Times New Roman" w:hAnsi="Times New Roman" w:eastAsia="宋体" w:cs="Times New Roman"/>
                <w:b/>
                <w:bCs/>
                <w:szCs w:val="21"/>
                <w:highlight w:val="none"/>
                <w:u w:val="none"/>
                <w:lang w:val="en-US" w:eastAsia="zh-CN"/>
              </w:rPr>
              <w:t>1</w:t>
            </w:r>
            <w:r>
              <w:rPr>
                <w:rFonts w:hint="eastAsia" w:cs="Times New Roman"/>
                <w:b/>
                <w:bCs/>
                <w:szCs w:val="21"/>
                <w:highlight w:val="none"/>
                <w:u w:val="none"/>
                <w:lang w:val="en-US" w:eastAsia="zh-CN"/>
              </w:rPr>
              <w:t>1</w:t>
            </w:r>
            <w:r>
              <w:rPr>
                <w:rFonts w:hint="default" w:ascii="Times New Roman" w:hAnsi="Times New Roman" w:eastAsia="宋体" w:cs="Times New Roman"/>
                <w:b/>
                <w:bCs/>
                <w:szCs w:val="21"/>
                <w:highlight w:val="none"/>
                <w:u w:val="none"/>
                <w:lang w:val="en-US" w:eastAsia="zh-CN"/>
              </w:rPr>
              <w:t xml:space="preserve"> 废水间接排放口基本情况表</w:t>
            </w:r>
          </w:p>
          <w:tbl>
            <w:tblPr>
              <w:tblStyle w:val="44"/>
              <w:tblW w:w="4995"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81"/>
              <w:gridCol w:w="757"/>
              <w:gridCol w:w="1551"/>
              <w:gridCol w:w="650"/>
              <w:gridCol w:w="1323"/>
              <w:gridCol w:w="750"/>
              <w:gridCol w:w="711"/>
              <w:gridCol w:w="1851"/>
            </w:tblGrid>
            <w:tr w14:paraId="7A6C14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9" w:type="pct"/>
                  <w:tcBorders>
                    <w:tl2br w:val="nil"/>
                    <w:tr2bl w:val="nil"/>
                  </w:tcBorders>
                  <w:noWrap w:val="0"/>
                  <w:vAlign w:val="center"/>
                </w:tcPr>
                <w:p w14:paraId="2BC1749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排放口</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编号</w:t>
                  </w:r>
                </w:p>
              </w:tc>
              <w:tc>
                <w:tcPr>
                  <w:tcW w:w="447" w:type="pct"/>
                  <w:tcBorders>
                    <w:tl2br w:val="nil"/>
                    <w:tr2bl w:val="nil"/>
                  </w:tcBorders>
                  <w:noWrap w:val="0"/>
                  <w:vAlign w:val="center"/>
                </w:tcPr>
                <w:p w14:paraId="66FC69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排放口名称</w:t>
                  </w:r>
                </w:p>
              </w:tc>
              <w:tc>
                <w:tcPr>
                  <w:tcW w:w="915" w:type="pct"/>
                  <w:tcBorders>
                    <w:tl2br w:val="nil"/>
                    <w:tr2bl w:val="nil"/>
                  </w:tcBorders>
                  <w:noWrap w:val="0"/>
                  <w:vAlign w:val="center"/>
                </w:tcPr>
                <w:p w14:paraId="65FB31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地理坐标</w:t>
                  </w:r>
                </w:p>
              </w:tc>
              <w:tc>
                <w:tcPr>
                  <w:tcW w:w="383" w:type="pct"/>
                  <w:tcBorders>
                    <w:tl2br w:val="nil"/>
                    <w:tr2bl w:val="nil"/>
                  </w:tcBorders>
                  <w:noWrap w:val="0"/>
                  <w:vAlign w:val="center"/>
                </w:tcPr>
                <w:p w14:paraId="03B8A6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方式</w:t>
                  </w:r>
                </w:p>
              </w:tc>
              <w:tc>
                <w:tcPr>
                  <w:tcW w:w="780" w:type="pct"/>
                  <w:tcBorders>
                    <w:tl2br w:val="nil"/>
                    <w:tr2bl w:val="nil"/>
                  </w:tcBorders>
                  <w:noWrap w:val="0"/>
                  <w:vAlign w:val="center"/>
                </w:tcPr>
                <w:p w14:paraId="2175A91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排放规律</w:t>
                  </w:r>
                </w:p>
              </w:tc>
              <w:tc>
                <w:tcPr>
                  <w:tcW w:w="442" w:type="pct"/>
                  <w:tcBorders>
                    <w:tl2br w:val="nil"/>
                    <w:tr2bl w:val="nil"/>
                  </w:tcBorders>
                  <w:noWrap w:val="0"/>
                  <w:vAlign w:val="center"/>
                </w:tcPr>
                <w:p w14:paraId="60ABA07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去向</w:t>
                  </w:r>
                </w:p>
              </w:tc>
              <w:tc>
                <w:tcPr>
                  <w:tcW w:w="419" w:type="pct"/>
                  <w:tcBorders>
                    <w:tl2br w:val="nil"/>
                    <w:tr2bl w:val="nil"/>
                  </w:tcBorders>
                  <w:noWrap w:val="0"/>
                  <w:vAlign w:val="center"/>
                </w:tcPr>
                <w:p w14:paraId="7DDCA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口类</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型</w:t>
                  </w:r>
                </w:p>
              </w:tc>
              <w:tc>
                <w:tcPr>
                  <w:tcW w:w="1091" w:type="pct"/>
                  <w:tcBorders>
                    <w:tl2br w:val="nil"/>
                    <w:tr2bl w:val="nil"/>
                  </w:tcBorders>
                  <w:noWrap w:val="0"/>
                  <w:vAlign w:val="center"/>
                </w:tcPr>
                <w:p w14:paraId="1FBDE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排放标准</w:t>
                  </w:r>
                </w:p>
              </w:tc>
            </w:tr>
            <w:tr w14:paraId="3FC2DB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519" w:type="pct"/>
                  <w:tcBorders>
                    <w:tl2br w:val="nil"/>
                    <w:tr2bl w:val="nil"/>
                  </w:tcBorders>
                  <w:noWrap w:val="0"/>
                  <w:vAlign w:val="center"/>
                </w:tcPr>
                <w:p w14:paraId="6A19EF0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DW001</w:t>
                  </w:r>
                </w:p>
              </w:tc>
              <w:tc>
                <w:tcPr>
                  <w:tcW w:w="447" w:type="pct"/>
                  <w:tcBorders>
                    <w:tl2br w:val="nil"/>
                    <w:tr2bl w:val="nil"/>
                  </w:tcBorders>
                  <w:noWrap w:val="0"/>
                  <w:vAlign w:val="center"/>
                </w:tcPr>
                <w:p w14:paraId="037404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生活污水排放口</w:t>
                  </w:r>
                </w:p>
              </w:tc>
              <w:tc>
                <w:tcPr>
                  <w:tcW w:w="915" w:type="pct"/>
                  <w:tcBorders>
                    <w:tl2br w:val="nil"/>
                    <w:tr2bl w:val="nil"/>
                  </w:tcBorders>
                  <w:noWrap w:val="0"/>
                  <w:vAlign w:val="center"/>
                </w:tcPr>
                <w:p w14:paraId="3FAD2E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p>
              </w:tc>
              <w:tc>
                <w:tcPr>
                  <w:tcW w:w="383" w:type="pct"/>
                  <w:tcBorders>
                    <w:tl2br w:val="nil"/>
                    <w:tr2bl w:val="nil"/>
                  </w:tcBorders>
                  <w:noWrap w:val="0"/>
                  <w:vAlign w:val="center"/>
                </w:tcPr>
                <w:p w14:paraId="4E10BE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间接</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排放</w:t>
                  </w:r>
                </w:p>
              </w:tc>
              <w:tc>
                <w:tcPr>
                  <w:tcW w:w="780" w:type="pct"/>
                  <w:tcBorders>
                    <w:tl2br w:val="nil"/>
                    <w:tr2bl w:val="nil"/>
                  </w:tcBorders>
                  <w:noWrap w:val="0"/>
                  <w:vAlign w:val="center"/>
                </w:tcPr>
                <w:p w14:paraId="7E0249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间断排放，排放期间流量不稳定且无规律，但不属于冲击型排放</w:t>
                  </w:r>
                </w:p>
              </w:tc>
              <w:tc>
                <w:tcPr>
                  <w:tcW w:w="442" w:type="pct"/>
                  <w:tcBorders>
                    <w:tl2br w:val="nil"/>
                    <w:tr2bl w:val="nil"/>
                  </w:tcBorders>
                  <w:noWrap w:val="0"/>
                  <w:vAlign w:val="center"/>
                </w:tcPr>
                <w:p w14:paraId="2FE9FAF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祁阳</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cs="Times New Roman"/>
                      <w:i w:val="0"/>
                      <w:iCs w:val="0"/>
                      <w:color w:val="000000"/>
                      <w:kern w:val="0"/>
                      <w:sz w:val="21"/>
                      <w:szCs w:val="21"/>
                      <w:u w:val="none"/>
                      <w:lang w:val="en-US" w:eastAsia="zh-CN" w:bidi="ar"/>
                    </w:rPr>
                    <w:t>白竹污</w:t>
                  </w:r>
                  <w:r>
                    <w:rPr>
                      <w:rFonts w:hint="default" w:ascii="Times New Roman" w:hAnsi="Times New Roman" w:eastAsia="宋体" w:cs="Times New Roman"/>
                      <w:i w:val="0"/>
                      <w:iCs w:val="0"/>
                      <w:color w:val="000000"/>
                      <w:kern w:val="0"/>
                      <w:sz w:val="21"/>
                      <w:szCs w:val="21"/>
                      <w:u w:val="none"/>
                      <w:lang w:val="en-US" w:eastAsia="zh-CN" w:bidi="ar"/>
                    </w:rPr>
                    <w:t>水处理厂</w:t>
                  </w:r>
                </w:p>
              </w:tc>
              <w:tc>
                <w:tcPr>
                  <w:tcW w:w="419" w:type="pct"/>
                  <w:tcBorders>
                    <w:tl2br w:val="nil"/>
                    <w:tr2bl w:val="nil"/>
                  </w:tcBorders>
                  <w:noWrap w:val="0"/>
                  <w:vAlign w:val="center"/>
                </w:tcPr>
                <w:p w14:paraId="0163CD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30405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一般</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排放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304050"/>
                      <w:kern w:val="0"/>
                      <w:sz w:val="21"/>
                      <w:szCs w:val="21"/>
                      <w:u w:val="none"/>
                      <w:lang w:val="en-US" w:eastAsia="zh-CN" w:bidi="ar"/>
                    </w:rPr>
                    <w:t>口</w:t>
                  </w:r>
                </w:p>
              </w:tc>
              <w:tc>
                <w:tcPr>
                  <w:tcW w:w="1091" w:type="pct"/>
                  <w:tcBorders>
                    <w:tl2br w:val="nil"/>
                    <w:tr2bl w:val="nil"/>
                  </w:tcBorders>
                  <w:noWrap w:val="0"/>
                  <w:vAlign w:val="center"/>
                </w:tcPr>
                <w:p w14:paraId="1E275A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《污水综合排放标准》(GB89</w:t>
                  </w:r>
                </w:p>
                <w:p w14:paraId="5AA56C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78-1996)中表4中三级标准，且需满足污水处理厂的进水水质要求</w:t>
                  </w:r>
                </w:p>
              </w:tc>
            </w:tr>
          </w:tbl>
          <w:p w14:paraId="6D13E9C3">
            <w:pPr>
              <w:keepNext w:val="0"/>
              <w:keepLines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spacing w:val="0"/>
                <w:sz w:val="24"/>
                <w:highlight w:val="none"/>
                <w:u w:val="none"/>
                <w:lang w:val="en-US" w:eastAsia="zh-CN"/>
              </w:rPr>
            </w:pPr>
            <w:r>
              <w:rPr>
                <w:rFonts w:hint="eastAsia" w:ascii="Times New Roman" w:hAnsi="Times New Roman" w:eastAsia="宋体" w:cs="Times New Roman"/>
                <w:color w:val="auto"/>
                <w:spacing w:val="0"/>
                <w:sz w:val="24"/>
                <w:highlight w:val="none"/>
                <w:u w:val="none"/>
                <w:lang w:val="en-US" w:eastAsia="zh-CN"/>
              </w:rPr>
              <w:t>（2）</w:t>
            </w:r>
            <w:r>
              <w:rPr>
                <w:rFonts w:hint="eastAsia" w:cs="Times New Roman"/>
                <w:color w:val="auto"/>
                <w:spacing w:val="0"/>
                <w:sz w:val="24"/>
                <w:highlight w:val="none"/>
                <w:u w:val="none"/>
                <w:lang w:val="en-US" w:eastAsia="zh-CN"/>
              </w:rPr>
              <w:t>冷却</w:t>
            </w:r>
            <w:r>
              <w:rPr>
                <w:rFonts w:hint="eastAsia" w:ascii="Times New Roman" w:hAnsi="Times New Roman" w:eastAsia="宋体" w:cs="Times New Roman"/>
                <w:color w:val="auto"/>
                <w:spacing w:val="0"/>
                <w:sz w:val="24"/>
                <w:highlight w:val="none"/>
                <w:u w:val="none"/>
                <w:lang w:val="en-US" w:eastAsia="zh-CN"/>
              </w:rPr>
              <w:t>废水</w:t>
            </w:r>
          </w:p>
          <w:p w14:paraId="7A4F386A">
            <w:pPr>
              <w:pStyle w:val="42"/>
              <w:keepNext w:val="0"/>
              <w:keepLines w:val="0"/>
              <w:pageBreakBefore w:val="0"/>
              <w:suppressLineNumbers w:val="0"/>
              <w:kinsoku/>
              <w:wordWrap/>
              <w:overflowPunct/>
              <w:topLinePunct w:val="0"/>
              <w:bidi w:val="0"/>
              <w:adjustRightInd w:val="0"/>
              <w:snapToGrid w:val="0"/>
              <w:spacing w:beforeAutospacing="0" w:after="0" w:afterAutospacing="0" w:line="360" w:lineRule="auto"/>
              <w:ind w:left="0" w:firstLine="480" w:firstLineChars="200"/>
              <w:textAlignment w:val="auto"/>
              <w:rPr>
                <w:rFonts w:hint="default" w:ascii="Times New Roman" w:hAnsi="Times New Roman" w:eastAsia="宋体" w:cs="Times New Roman"/>
                <w:color w:val="auto"/>
                <w:spacing w:val="0"/>
                <w:sz w:val="24"/>
                <w:highlight w:val="none"/>
                <w:u w:val="single"/>
                <w:lang w:val="en-US" w:eastAsia="zh-CN"/>
              </w:rPr>
            </w:pPr>
            <w:r>
              <w:rPr>
                <w:rFonts w:hint="eastAsia" w:hAnsi="Times New Roman" w:cs="Times New Roman"/>
                <w:color w:val="auto"/>
                <w:sz w:val="24"/>
                <w:u w:val="none"/>
                <w:lang w:val="en-US" w:eastAsia="zh-CN"/>
              </w:rPr>
              <w:t>凹版印刷机、干式复合机等生产设备需要用循环冷却水对设备进行间接冷却，总循环水量为150m</w:t>
            </w:r>
            <w:r>
              <w:rPr>
                <w:rFonts w:hint="eastAsia" w:hAnsi="Times New Roman" w:cs="Times New Roman"/>
                <w:color w:val="auto"/>
                <w:sz w:val="24"/>
                <w:u w:val="none"/>
                <w:vertAlign w:val="superscript"/>
                <w:lang w:val="en-US" w:eastAsia="zh-CN"/>
              </w:rPr>
              <w:t>3</w:t>
            </w:r>
            <w:r>
              <w:rPr>
                <w:rFonts w:hint="eastAsia" w:hAnsi="Times New Roman" w:cs="Times New Roman"/>
                <w:color w:val="auto"/>
                <w:sz w:val="24"/>
                <w:u w:val="none"/>
                <w:lang w:val="en-US" w:eastAsia="zh-CN"/>
              </w:rPr>
              <w:t>/d，因蒸发、损耗等，平均每天消耗新鲜水2m</w:t>
            </w:r>
            <w:r>
              <w:rPr>
                <w:rFonts w:hint="eastAsia" w:hAnsi="Times New Roman" w:cs="Times New Roman"/>
                <w:color w:val="auto"/>
                <w:sz w:val="24"/>
                <w:u w:val="none"/>
                <w:vertAlign w:val="superscript"/>
                <w:lang w:val="en-US" w:eastAsia="zh-CN"/>
              </w:rPr>
              <w:t>3</w:t>
            </w:r>
            <w:r>
              <w:rPr>
                <w:rFonts w:hint="eastAsia" w:hAnsi="Times New Roman" w:cs="Times New Roman"/>
                <w:color w:val="auto"/>
                <w:sz w:val="24"/>
                <w:u w:val="none"/>
                <w:lang w:val="en-US" w:eastAsia="zh-CN"/>
              </w:rPr>
              <w:t>/d，项目采用闭式循环，根据多年实际运行情况，无循环冷却水外排</w:t>
            </w:r>
            <w:r>
              <w:rPr>
                <w:rFonts w:hint="eastAsia" w:ascii="Times New Roman" w:hAnsi="Times New Roman" w:eastAsia="宋体" w:cs="Times New Roman"/>
                <w:color w:val="auto"/>
                <w:spacing w:val="0"/>
                <w:sz w:val="24"/>
                <w:highlight w:val="none"/>
                <w:u w:val="none"/>
                <w:vertAlign w:val="baseline"/>
                <w:lang w:val="en-US" w:eastAsia="zh-CN"/>
              </w:rPr>
              <w:t>。</w:t>
            </w:r>
          </w:p>
          <w:p w14:paraId="294D4540">
            <w:pPr>
              <w:pStyle w:val="2"/>
              <w:keepNext w:val="0"/>
              <w:keepLines w:val="0"/>
              <w:pageBreakBefore w:val="0"/>
              <w:suppressLineNumbers w:val="0"/>
              <w:kinsoku/>
              <w:overflowPunct/>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cs="Times New Roman"/>
                <w:b/>
                <w:bCs/>
                <w:color w:val="auto"/>
                <w:spacing w:val="0"/>
                <w:sz w:val="24"/>
                <w:szCs w:val="24"/>
                <w:highlight w:val="none"/>
                <w:u w:val="none"/>
                <w:lang w:eastAsia="zh-CN"/>
              </w:rPr>
            </w:pPr>
            <w:r>
              <w:rPr>
                <w:rFonts w:hint="eastAsia" w:ascii="Times New Roman" w:hAnsi="Times New Roman" w:cs="Times New Roman"/>
                <w:b/>
                <w:bCs/>
                <w:color w:val="auto"/>
                <w:spacing w:val="0"/>
                <w:sz w:val="24"/>
                <w:szCs w:val="24"/>
                <w:highlight w:val="none"/>
                <w:u w:val="none"/>
                <w:lang w:eastAsia="zh-CN"/>
              </w:rPr>
              <w:t>2.</w:t>
            </w:r>
            <w:r>
              <w:rPr>
                <w:rFonts w:hint="eastAsia" w:ascii="Times New Roman" w:hAnsi="Times New Roman" w:cs="Times New Roman"/>
                <w:b/>
                <w:bCs/>
                <w:color w:val="auto"/>
                <w:spacing w:val="0"/>
                <w:sz w:val="24"/>
                <w:szCs w:val="24"/>
                <w:highlight w:val="none"/>
                <w:u w:val="none"/>
                <w:lang w:val="en-US" w:eastAsia="zh-CN"/>
              </w:rPr>
              <w:t>2</w:t>
            </w:r>
            <w:r>
              <w:rPr>
                <w:rFonts w:hint="eastAsia" w:ascii="Times New Roman" w:hAnsi="Times New Roman" w:cs="Times New Roman"/>
                <w:b/>
                <w:bCs/>
                <w:color w:val="auto"/>
                <w:spacing w:val="0"/>
                <w:sz w:val="24"/>
                <w:szCs w:val="24"/>
                <w:highlight w:val="none"/>
                <w:u w:val="none"/>
                <w:lang w:eastAsia="zh-CN"/>
              </w:rPr>
              <w:t>、废水处理措施可行性分析</w:t>
            </w:r>
          </w:p>
          <w:p w14:paraId="4D529E28">
            <w:pPr>
              <w:pStyle w:val="2"/>
              <w:keepNext w:val="0"/>
              <w:keepLines w:val="0"/>
              <w:pageBreakBefore w:val="0"/>
              <w:suppressLineNumbers w:val="0"/>
              <w:kinsoku/>
              <w:overflowPunct/>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cs="Times New Roman"/>
                <w:color w:val="auto"/>
                <w:spacing w:val="0"/>
                <w:sz w:val="24"/>
                <w:szCs w:val="24"/>
                <w:highlight w:val="none"/>
                <w:u w:val="none"/>
                <w:lang w:eastAsia="zh-CN"/>
              </w:rPr>
            </w:pPr>
            <w:r>
              <w:rPr>
                <w:rFonts w:hint="eastAsia" w:ascii="Times New Roman" w:hAnsi="Times New Roman" w:cs="Times New Roman"/>
                <w:color w:val="auto"/>
                <w:spacing w:val="0"/>
                <w:sz w:val="24"/>
                <w:szCs w:val="24"/>
                <w:highlight w:val="none"/>
                <w:u w:val="none"/>
                <w:lang w:eastAsia="zh-CN"/>
              </w:rPr>
              <w:t>（1）生活污水依托</w:t>
            </w:r>
            <w:r>
              <w:rPr>
                <w:rFonts w:hint="eastAsia" w:cs="Times New Roman"/>
                <w:color w:val="auto"/>
                <w:spacing w:val="0"/>
                <w:sz w:val="24"/>
                <w:highlight w:val="none"/>
                <w:u w:val="none"/>
                <w:lang w:val="en-US" w:eastAsia="zh-CN"/>
              </w:rPr>
              <w:t>祁阳白竹污水处理厂</w:t>
            </w:r>
            <w:r>
              <w:rPr>
                <w:rFonts w:hint="eastAsia" w:ascii="Times New Roman" w:hAnsi="Times New Roman" w:cs="Times New Roman"/>
                <w:color w:val="auto"/>
                <w:spacing w:val="0"/>
                <w:sz w:val="24"/>
                <w:szCs w:val="24"/>
                <w:highlight w:val="none"/>
                <w:u w:val="none"/>
                <w:lang w:eastAsia="zh-CN"/>
              </w:rPr>
              <w:t>可行性分析</w:t>
            </w:r>
          </w:p>
          <w:p w14:paraId="3EB3649D">
            <w:pPr>
              <w:keepNext w:val="0"/>
              <w:keepLines w:val="0"/>
              <w:suppressLineNumbers w:val="0"/>
              <w:autoSpaceDE w:val="0"/>
              <w:autoSpaceDN w:val="0"/>
              <w:spacing w:before="0" w:beforeAutospacing="0" w:after="0" w:afterAutospacing="0" w:line="360" w:lineRule="auto"/>
              <w:ind w:left="0" w:right="0" w:firstLine="480" w:firstLineChars="200"/>
              <w:rPr>
                <w:rFonts w:hint="eastAsia" w:ascii="Times New Roman" w:hAnsi="Times New Roman" w:eastAsia="宋体" w:cs="Times New Roman"/>
                <w:sz w:val="24"/>
                <w:u w:val="none"/>
                <w:lang w:val="en-US" w:eastAsia="zh-CN"/>
              </w:rPr>
            </w:pPr>
            <w:r>
              <w:rPr>
                <w:rFonts w:hint="eastAsia" w:ascii="Times New Roman" w:hAnsi="Times New Roman" w:eastAsia="宋体" w:cs="Times New Roman"/>
                <w:sz w:val="24"/>
                <w:u w:val="none"/>
                <w:lang w:val="en-US" w:eastAsia="zh-CN"/>
              </w:rPr>
              <w:t>本项目营运期生活污水经化粪池处理达到标准后通过市政污水管网排入</w:t>
            </w:r>
            <w:r>
              <w:rPr>
                <w:rFonts w:hint="eastAsia" w:cs="Times New Roman"/>
                <w:sz w:val="24"/>
                <w:u w:val="none"/>
                <w:lang w:val="en-US" w:eastAsia="zh-CN"/>
              </w:rPr>
              <w:t>祁阳白竹污水处理厂</w:t>
            </w:r>
            <w:r>
              <w:rPr>
                <w:rFonts w:hint="eastAsia" w:ascii="Times New Roman" w:hAnsi="Times New Roman" w:eastAsia="宋体" w:cs="Times New Roman"/>
                <w:sz w:val="24"/>
                <w:u w:val="none"/>
                <w:lang w:val="en-US" w:eastAsia="zh-CN"/>
              </w:rPr>
              <w:t>，同时满足</w:t>
            </w:r>
            <w:r>
              <w:rPr>
                <w:rFonts w:hint="eastAsia" w:cs="Times New Roman"/>
                <w:sz w:val="24"/>
                <w:u w:val="none"/>
                <w:lang w:val="en-US" w:eastAsia="zh-CN"/>
              </w:rPr>
              <w:t>祁阳白竹污水处理厂</w:t>
            </w:r>
            <w:r>
              <w:rPr>
                <w:rFonts w:hint="eastAsia" w:ascii="Times New Roman" w:hAnsi="Times New Roman" w:eastAsia="宋体" w:cs="Times New Roman"/>
                <w:sz w:val="24"/>
                <w:u w:val="none"/>
                <w:lang w:val="en-US" w:eastAsia="zh-CN"/>
              </w:rPr>
              <w:t>进水水质要求。</w:t>
            </w:r>
          </w:p>
          <w:p w14:paraId="516CF0B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Times New Roman" w:hAnsi="Times New Roman" w:cs="Times New Roman"/>
                <w:color w:val="000000"/>
                <w:sz w:val="24"/>
                <w:szCs w:val="24"/>
                <w:highlight w:val="none"/>
                <w:u w:val="none" w:color="auto"/>
                <w:lang w:eastAsia="zh-CN"/>
              </w:rPr>
            </w:pPr>
            <w:r>
              <w:rPr>
                <w:rFonts w:hint="default" w:ascii="Times New Roman" w:hAnsi="Times New Roman" w:cs="Times New Roman"/>
                <w:color w:val="000000"/>
                <w:sz w:val="24"/>
                <w:szCs w:val="24"/>
                <w:highlight w:val="none"/>
                <w:u w:val="none" w:color="auto"/>
              </w:rPr>
              <w:t>祁阳</w:t>
            </w:r>
            <w:r>
              <w:rPr>
                <w:rFonts w:hint="default" w:ascii="Times New Roman" w:hAnsi="Times New Roman" w:cs="Times New Roman"/>
                <w:color w:val="000000"/>
                <w:sz w:val="24"/>
                <w:szCs w:val="24"/>
                <w:highlight w:val="none"/>
                <w:u w:val="none" w:color="auto"/>
                <w:lang w:eastAsia="zh-CN"/>
              </w:rPr>
              <w:t>白竹</w:t>
            </w:r>
            <w:r>
              <w:rPr>
                <w:rFonts w:hint="default" w:ascii="Times New Roman" w:hAnsi="Times New Roman" w:cs="Times New Roman"/>
                <w:color w:val="000000"/>
                <w:sz w:val="24"/>
                <w:szCs w:val="24"/>
                <w:highlight w:val="none"/>
                <w:u w:val="none" w:color="auto"/>
              </w:rPr>
              <w:t>污水处理厂位于祁阳县城南区观音滩白竹村1组、8组，总面积为81311m</w:t>
            </w:r>
            <w:r>
              <w:rPr>
                <w:rFonts w:hint="default" w:ascii="Times New Roman" w:hAnsi="Times New Roman" w:cs="Times New Roman"/>
                <w:color w:val="000000"/>
                <w:sz w:val="24"/>
                <w:szCs w:val="24"/>
                <w:highlight w:val="none"/>
                <w:u w:val="none" w:color="auto"/>
                <w:vertAlign w:val="superscript"/>
              </w:rPr>
              <w:t>2</w:t>
            </w:r>
            <w:r>
              <w:rPr>
                <w:rFonts w:hint="default" w:ascii="Times New Roman" w:hAnsi="Times New Roman" w:cs="Times New Roman"/>
                <w:color w:val="000000"/>
                <w:sz w:val="24"/>
                <w:szCs w:val="24"/>
                <w:highlight w:val="none"/>
                <w:u w:val="none" w:color="auto"/>
              </w:rPr>
              <w:t>，其中近期建设用地面积为38092m</w:t>
            </w:r>
            <w:r>
              <w:rPr>
                <w:rFonts w:hint="default" w:ascii="Times New Roman" w:hAnsi="Times New Roman" w:cs="Times New Roman"/>
                <w:color w:val="000000"/>
                <w:sz w:val="24"/>
                <w:szCs w:val="24"/>
                <w:highlight w:val="none"/>
                <w:u w:val="none" w:color="auto"/>
                <w:vertAlign w:val="superscript"/>
              </w:rPr>
              <w:t>2</w:t>
            </w:r>
            <w:r>
              <w:rPr>
                <w:rFonts w:hint="default" w:ascii="Times New Roman" w:hAnsi="Times New Roman" w:cs="Times New Roman"/>
                <w:color w:val="000000"/>
                <w:sz w:val="24"/>
                <w:szCs w:val="24"/>
                <w:highlight w:val="none"/>
                <w:u w:val="none" w:color="auto"/>
              </w:rPr>
              <w:t>，根据《祁阳县白竹污水处理工程环境影响报告表》可知，</w:t>
            </w:r>
            <w:r>
              <w:rPr>
                <w:rFonts w:hint="default" w:ascii="Times New Roman" w:hAnsi="Times New Roman" w:cs="Times New Roman"/>
                <w:color w:val="000000"/>
                <w:sz w:val="24"/>
                <w:szCs w:val="24"/>
                <w:highlight w:val="none"/>
                <w:u w:val="none" w:color="auto"/>
                <w:lang w:eastAsia="zh-CN"/>
              </w:rPr>
              <w:t>白竹</w:t>
            </w:r>
            <w:r>
              <w:rPr>
                <w:rFonts w:hint="default" w:ascii="Times New Roman" w:hAnsi="Times New Roman" w:cs="Times New Roman"/>
                <w:color w:val="000000"/>
                <w:sz w:val="24"/>
                <w:szCs w:val="24"/>
                <w:highlight w:val="none"/>
                <w:u w:val="none" w:color="auto"/>
              </w:rPr>
              <w:t>污水处理厂</w:t>
            </w:r>
            <w:r>
              <w:rPr>
                <w:rFonts w:hint="eastAsia" w:ascii="Times New Roman" w:hAnsi="Times New Roman" w:cs="Times New Roman"/>
                <w:color w:val="000000"/>
                <w:sz w:val="24"/>
                <w:szCs w:val="24"/>
                <w:highlight w:val="none"/>
                <w:u w:val="none" w:color="auto"/>
                <w:lang w:val="en-US" w:eastAsia="zh-CN"/>
              </w:rPr>
              <w:t>目前污水处理规模为</w:t>
            </w:r>
            <w:r>
              <w:rPr>
                <w:rFonts w:hint="default" w:ascii="Times New Roman" w:hAnsi="Times New Roman" w:cs="Times New Roman"/>
                <w:color w:val="000000"/>
                <w:sz w:val="24"/>
                <w:szCs w:val="24"/>
                <w:highlight w:val="none"/>
                <w:u w:val="none" w:color="auto"/>
              </w:rPr>
              <w:t>2.5×10</w:t>
            </w:r>
            <w:r>
              <w:rPr>
                <w:rFonts w:hint="default" w:ascii="Times New Roman" w:hAnsi="Times New Roman" w:cs="Times New Roman"/>
                <w:color w:val="000000"/>
                <w:sz w:val="24"/>
                <w:szCs w:val="24"/>
                <w:highlight w:val="none"/>
                <w:u w:val="none" w:color="auto"/>
                <w:vertAlign w:val="superscript"/>
              </w:rPr>
              <w:t>4</w:t>
            </w:r>
            <w:r>
              <w:rPr>
                <w:rFonts w:hint="default" w:ascii="Times New Roman" w:hAnsi="Times New Roman" w:cs="Times New Roman"/>
                <w:color w:val="000000"/>
                <w:sz w:val="24"/>
                <w:szCs w:val="24"/>
                <w:highlight w:val="none"/>
                <w:u w:val="none" w:color="auto"/>
              </w:rPr>
              <w:t>m</w:t>
            </w:r>
            <w:r>
              <w:rPr>
                <w:rFonts w:hint="default" w:ascii="Times New Roman" w:hAnsi="Times New Roman" w:cs="Times New Roman"/>
                <w:color w:val="000000"/>
                <w:sz w:val="24"/>
                <w:szCs w:val="24"/>
                <w:highlight w:val="none"/>
                <w:u w:val="none" w:color="auto"/>
                <w:vertAlign w:val="superscript"/>
              </w:rPr>
              <w:t>3</w:t>
            </w:r>
            <w:r>
              <w:rPr>
                <w:rFonts w:hint="default" w:ascii="Times New Roman" w:hAnsi="Times New Roman" w:cs="Times New Roman"/>
                <w:color w:val="000000"/>
                <w:sz w:val="24"/>
                <w:szCs w:val="24"/>
                <w:highlight w:val="none"/>
                <w:u w:val="none" w:color="auto"/>
              </w:rPr>
              <w:t>/d；近期工程污水管道总长度68926m，纳污范围为：城南和东江规划区范围，总面积为28.15km</w:t>
            </w:r>
            <w:r>
              <w:rPr>
                <w:rFonts w:hint="default" w:ascii="Times New Roman" w:hAnsi="Times New Roman" w:cs="Times New Roman"/>
                <w:color w:val="000000"/>
                <w:sz w:val="24"/>
                <w:szCs w:val="24"/>
                <w:highlight w:val="none"/>
                <w:u w:val="none" w:color="auto"/>
                <w:vertAlign w:val="superscript"/>
              </w:rPr>
              <w:t>2</w:t>
            </w:r>
            <w:r>
              <w:rPr>
                <w:rFonts w:hint="default" w:ascii="Times New Roman" w:hAnsi="Times New Roman" w:cs="Times New Roman"/>
                <w:color w:val="000000"/>
                <w:sz w:val="24"/>
                <w:szCs w:val="24"/>
                <w:highlight w:val="none"/>
                <w:u w:val="none" w:color="auto"/>
              </w:rPr>
              <w:t>，服务范围内既有生活污水，也有少量工业污水。</w:t>
            </w:r>
            <w:r>
              <w:rPr>
                <w:rFonts w:hint="default" w:ascii="Times New Roman" w:hAnsi="Times New Roman" w:cs="Times New Roman"/>
                <w:color w:val="000000"/>
                <w:sz w:val="24"/>
                <w:szCs w:val="24"/>
                <w:highlight w:val="none"/>
                <w:u w:val="none" w:color="auto"/>
                <w:lang w:val="en-US" w:eastAsia="zh-CN"/>
              </w:rPr>
              <w:t>本项目位于</w:t>
            </w:r>
            <w:r>
              <w:rPr>
                <w:rFonts w:hint="default" w:ascii="Times New Roman" w:hAnsi="Times New Roman" w:cs="Times New Roman"/>
                <w:color w:val="000000"/>
                <w:sz w:val="24"/>
                <w:szCs w:val="24"/>
                <w:highlight w:val="none"/>
                <w:u w:val="none" w:color="auto"/>
                <w:lang w:eastAsia="zh-CN"/>
              </w:rPr>
              <w:t>祁阳高新技术产业开发区</w:t>
            </w:r>
            <w:r>
              <w:rPr>
                <w:rFonts w:hint="default" w:ascii="Times New Roman" w:hAnsi="Times New Roman" w:cs="Times New Roman"/>
                <w:color w:val="000000"/>
                <w:sz w:val="24"/>
                <w:szCs w:val="24"/>
                <w:highlight w:val="none"/>
                <w:u w:val="none" w:color="auto"/>
                <w:lang w:val="en-US" w:eastAsia="zh-CN"/>
              </w:rPr>
              <w:t>，在其</w:t>
            </w:r>
            <w:r>
              <w:rPr>
                <w:rFonts w:hint="default" w:ascii="Times New Roman" w:hAnsi="Times New Roman" w:cs="Times New Roman"/>
                <w:color w:val="000000"/>
                <w:sz w:val="24"/>
                <w:szCs w:val="24"/>
                <w:highlight w:val="none"/>
                <w:u w:val="none" w:color="auto"/>
              </w:rPr>
              <w:t>服务范围内</w:t>
            </w:r>
            <w:r>
              <w:rPr>
                <w:rFonts w:hint="default" w:ascii="Times New Roman" w:hAnsi="Times New Roman" w:cs="Times New Roman"/>
                <w:color w:val="000000"/>
                <w:sz w:val="24"/>
                <w:szCs w:val="24"/>
                <w:highlight w:val="none"/>
                <w:u w:val="none" w:color="auto"/>
                <w:lang w:eastAsia="zh-CN"/>
              </w:rPr>
              <w:t>。</w:t>
            </w:r>
          </w:p>
          <w:p w14:paraId="01420909">
            <w:pPr>
              <w:pStyle w:val="153"/>
              <w:keepNext w:val="0"/>
              <w:keepLines w:val="0"/>
              <w:pageBreakBefore w:val="0"/>
              <w:suppressLineNumbers w:val="0"/>
              <w:kinsoku/>
              <w:wordWrap/>
              <w:overflowPunct/>
              <w:topLinePunct w:val="0"/>
              <w:autoSpaceDE/>
              <w:autoSpaceDN/>
              <w:bidi w:val="0"/>
              <w:spacing w:before="0" w:beforeAutospacing="0" w:after="0" w:afterAutospacing="0"/>
              <w:ind w:left="0" w:right="0" w:firstLine="420"/>
              <w:jc w:val="left"/>
              <w:textAlignment w:val="auto"/>
              <w:rPr>
                <w:rFonts w:hint="default" w:ascii="Times New Roman" w:hAnsi="Times New Roman" w:eastAsia="宋体" w:cs="Times New Roman"/>
                <w:color w:val="000000"/>
                <w:sz w:val="24"/>
                <w:szCs w:val="24"/>
                <w:highlight w:val="none"/>
                <w:u w:val="none" w:color="auto"/>
                <w:lang w:eastAsia="zh-CN"/>
              </w:rPr>
            </w:pPr>
            <w:r>
              <w:rPr>
                <w:rFonts w:hint="default" w:ascii="Times New Roman" w:hAnsi="Times New Roman" w:cs="Times New Roman"/>
                <w:color w:val="000000"/>
                <w:sz w:val="24"/>
                <w:szCs w:val="24"/>
                <w:highlight w:val="none"/>
                <w:u w:val="none" w:color="auto"/>
              </w:rPr>
              <w:t>污水处理厂采用</w:t>
            </w:r>
            <w:r>
              <w:rPr>
                <w:rFonts w:hint="default" w:ascii="Times New Roman" w:hAnsi="Times New Roman" w:cs="Times New Roman"/>
                <w:color w:val="000000"/>
                <w:sz w:val="24"/>
                <w:szCs w:val="24"/>
                <w:highlight w:val="none"/>
                <w:u w:val="none" w:color="auto"/>
                <w:lang w:eastAsia="zh-CN"/>
              </w:rPr>
              <w:t>“</w:t>
            </w:r>
            <w:r>
              <w:rPr>
                <w:rFonts w:hint="default" w:ascii="Times New Roman" w:hAnsi="Times New Roman" w:cs="Times New Roman"/>
                <w:color w:val="000000"/>
                <w:sz w:val="24"/>
                <w:szCs w:val="24"/>
                <w:highlight w:val="none"/>
                <w:u w:val="none" w:color="auto"/>
              </w:rPr>
              <w:t>事故调节池+水解酸化池+BDP生物池+高效沉淀池+高效纤维滤池及反冲洗间+二氧化氯消毒</w:t>
            </w:r>
            <w:r>
              <w:rPr>
                <w:rFonts w:hint="default" w:ascii="Times New Roman" w:hAnsi="Times New Roman" w:cs="Times New Roman"/>
                <w:color w:val="000000"/>
                <w:sz w:val="24"/>
                <w:szCs w:val="24"/>
                <w:highlight w:val="none"/>
                <w:u w:val="none" w:color="auto"/>
                <w:lang w:eastAsia="zh-CN"/>
              </w:rPr>
              <w:t>”</w:t>
            </w:r>
            <w:r>
              <w:rPr>
                <w:rFonts w:hint="default" w:ascii="Times New Roman" w:hAnsi="Times New Roman" w:cs="Times New Roman"/>
                <w:color w:val="000000"/>
                <w:sz w:val="24"/>
                <w:szCs w:val="24"/>
                <w:highlight w:val="none"/>
                <w:u w:val="none" w:color="auto"/>
              </w:rPr>
              <w:t>工艺对污水进行处理。污水处理厂排放水质</w:t>
            </w:r>
            <w:r>
              <w:rPr>
                <w:rFonts w:hint="default" w:ascii="Times New Roman" w:hAnsi="Times New Roman" w:cs="Times New Roman"/>
                <w:color w:val="000000"/>
                <w:sz w:val="24"/>
                <w:szCs w:val="24"/>
                <w:highlight w:val="none"/>
                <w:u w:val="none" w:color="auto"/>
                <w:lang w:eastAsia="zh-CN"/>
              </w:rPr>
              <w:t>执行</w:t>
            </w:r>
            <w:r>
              <w:rPr>
                <w:rFonts w:hint="default" w:ascii="Times New Roman" w:hAnsi="Times New Roman" w:cs="Times New Roman"/>
                <w:color w:val="000000"/>
                <w:sz w:val="24"/>
                <w:szCs w:val="24"/>
                <w:highlight w:val="none"/>
                <w:u w:val="none" w:color="auto"/>
              </w:rPr>
              <w:t>《城镇污水处理厂污染物排放标准》</w:t>
            </w:r>
            <w:r>
              <w:rPr>
                <w:rFonts w:hint="default" w:ascii="Times New Roman" w:hAnsi="Times New Roman" w:cs="Times New Roman"/>
                <w:color w:val="000000"/>
                <w:sz w:val="24"/>
                <w:szCs w:val="24"/>
                <w:highlight w:val="none"/>
                <w:u w:val="none" w:color="auto"/>
                <w:lang w:eastAsia="zh-CN"/>
              </w:rPr>
              <w:t>(</w:t>
            </w:r>
            <w:r>
              <w:rPr>
                <w:rFonts w:hint="default" w:ascii="Times New Roman" w:hAnsi="Times New Roman" w:cs="Times New Roman"/>
                <w:color w:val="000000"/>
                <w:sz w:val="24"/>
                <w:szCs w:val="24"/>
                <w:highlight w:val="none"/>
                <w:u w:val="none" w:color="auto"/>
              </w:rPr>
              <w:t>GB18918-2002</w:t>
            </w:r>
            <w:r>
              <w:rPr>
                <w:rFonts w:hint="default" w:ascii="Times New Roman" w:hAnsi="Times New Roman" w:cs="Times New Roman"/>
                <w:color w:val="000000"/>
                <w:sz w:val="24"/>
                <w:szCs w:val="24"/>
                <w:highlight w:val="none"/>
                <w:u w:val="none" w:color="auto"/>
                <w:lang w:eastAsia="zh-CN"/>
              </w:rPr>
              <w:t>)</w:t>
            </w:r>
            <w:r>
              <w:rPr>
                <w:rFonts w:hint="default" w:ascii="Times New Roman" w:hAnsi="Times New Roman" w:cs="Times New Roman"/>
                <w:color w:val="000000"/>
                <w:sz w:val="24"/>
                <w:szCs w:val="24"/>
                <w:highlight w:val="none"/>
                <w:u w:val="none" w:color="auto"/>
              </w:rPr>
              <w:t>中一级</w:t>
            </w:r>
            <w:r>
              <w:rPr>
                <w:rFonts w:hint="default" w:ascii="Times New Roman" w:hAnsi="Times New Roman" w:cs="Times New Roman"/>
                <w:color w:val="000000"/>
                <w:sz w:val="24"/>
                <w:szCs w:val="24"/>
                <w:highlight w:val="none"/>
                <w:u w:val="none" w:color="auto"/>
                <w:lang w:val="en-US" w:eastAsia="zh-CN"/>
              </w:rPr>
              <w:t>A</w:t>
            </w:r>
            <w:r>
              <w:rPr>
                <w:rFonts w:hint="default" w:ascii="Times New Roman" w:hAnsi="Times New Roman" w:cs="Times New Roman"/>
                <w:color w:val="000000"/>
                <w:sz w:val="24"/>
                <w:szCs w:val="24"/>
                <w:highlight w:val="none"/>
                <w:u w:val="none" w:color="auto"/>
              </w:rPr>
              <w:t>排放标准后排入湘江。目前污水处理厂已正式投入运行，</w:t>
            </w:r>
            <w:r>
              <w:rPr>
                <w:rFonts w:hint="default" w:ascii="Times New Roman" w:hAnsi="Times New Roman" w:cs="Times New Roman"/>
                <w:color w:val="000000"/>
                <w:sz w:val="24"/>
                <w:szCs w:val="24"/>
                <w:highlight w:val="none"/>
                <w:u w:val="none" w:color="auto"/>
                <w:lang w:eastAsia="zh-CN"/>
              </w:rPr>
              <w:t>本项目</w:t>
            </w:r>
            <w:r>
              <w:rPr>
                <w:rFonts w:hint="default" w:ascii="Times New Roman" w:hAnsi="Times New Roman" w:cs="Times New Roman"/>
                <w:color w:val="000000"/>
                <w:sz w:val="24"/>
                <w:szCs w:val="24"/>
                <w:highlight w:val="none"/>
                <w:u w:val="none" w:color="auto"/>
                <w:lang w:val="en-US" w:eastAsia="zh-CN"/>
              </w:rPr>
              <w:t>污水</w:t>
            </w:r>
            <w:r>
              <w:rPr>
                <w:rFonts w:hint="default" w:ascii="Times New Roman" w:hAnsi="Times New Roman" w:cs="Times New Roman"/>
                <w:color w:val="000000"/>
                <w:sz w:val="24"/>
                <w:szCs w:val="24"/>
                <w:highlight w:val="none"/>
                <w:u w:val="none" w:color="auto"/>
                <w:lang w:eastAsia="zh-CN"/>
              </w:rPr>
              <w:t>进</w:t>
            </w:r>
            <w:r>
              <w:rPr>
                <w:rFonts w:hint="default" w:ascii="Times New Roman" w:hAnsi="Times New Roman" w:cs="Times New Roman"/>
                <w:color w:val="000000"/>
                <w:sz w:val="24"/>
                <w:szCs w:val="24"/>
                <w:highlight w:val="none"/>
                <w:u w:val="none" w:color="auto"/>
                <w:lang w:val="en-US" w:eastAsia="zh-CN"/>
              </w:rPr>
              <w:t>入</w:t>
            </w:r>
            <w:r>
              <w:rPr>
                <w:rFonts w:hint="default" w:ascii="Times New Roman" w:hAnsi="Times New Roman" w:cs="Times New Roman"/>
                <w:color w:val="000000"/>
                <w:sz w:val="24"/>
                <w:szCs w:val="24"/>
                <w:highlight w:val="none"/>
                <w:u w:val="none" w:color="auto"/>
                <w:lang w:eastAsia="zh-CN"/>
              </w:rPr>
              <w:t>污水处理厂的配套管网</w:t>
            </w:r>
            <w:r>
              <w:rPr>
                <w:rFonts w:hint="default" w:ascii="Times New Roman" w:hAnsi="Times New Roman" w:cs="Times New Roman"/>
                <w:color w:val="000000"/>
                <w:sz w:val="24"/>
                <w:szCs w:val="24"/>
                <w:highlight w:val="none"/>
                <w:u w:val="none" w:color="auto"/>
                <w:lang w:val="en-US" w:eastAsia="zh-CN"/>
              </w:rPr>
              <w:t>也</w:t>
            </w:r>
            <w:r>
              <w:rPr>
                <w:rFonts w:hint="default" w:ascii="Times New Roman" w:hAnsi="Times New Roman" w:cs="Times New Roman"/>
                <w:color w:val="000000"/>
                <w:sz w:val="24"/>
                <w:szCs w:val="24"/>
                <w:highlight w:val="none"/>
                <w:u w:val="none" w:color="auto"/>
                <w:lang w:eastAsia="zh-CN"/>
              </w:rPr>
              <w:t>建设完成，</w:t>
            </w:r>
            <w:r>
              <w:rPr>
                <w:rFonts w:hint="default" w:ascii="Times New Roman" w:hAnsi="Times New Roman" w:cs="Times New Roman"/>
                <w:color w:val="000000"/>
                <w:sz w:val="24"/>
                <w:szCs w:val="24"/>
                <w:highlight w:val="none"/>
                <w:u w:val="none" w:color="auto"/>
              </w:rPr>
              <w:t>本项目建成后污水可</w:t>
            </w:r>
            <w:r>
              <w:rPr>
                <w:rFonts w:hint="default" w:ascii="Times New Roman" w:hAnsi="Times New Roman" w:cs="Times New Roman"/>
                <w:color w:val="000000"/>
                <w:sz w:val="24"/>
                <w:szCs w:val="24"/>
                <w:highlight w:val="none"/>
                <w:u w:val="none" w:color="auto"/>
                <w:lang w:val="en-US" w:eastAsia="zh-CN"/>
              </w:rPr>
              <w:t>顺利</w:t>
            </w:r>
            <w:r>
              <w:rPr>
                <w:rFonts w:hint="default" w:ascii="Times New Roman" w:hAnsi="Times New Roman" w:cs="Times New Roman"/>
                <w:color w:val="000000"/>
                <w:sz w:val="24"/>
                <w:szCs w:val="24"/>
                <w:highlight w:val="none"/>
                <w:u w:val="none" w:color="auto"/>
              </w:rPr>
              <w:t>接入</w:t>
            </w:r>
            <w:r>
              <w:rPr>
                <w:rFonts w:hint="default" w:ascii="Times New Roman" w:hAnsi="Times New Roman" w:cs="Times New Roman"/>
                <w:color w:val="000000"/>
                <w:sz w:val="24"/>
                <w:szCs w:val="24"/>
                <w:highlight w:val="none"/>
                <w:u w:val="none" w:color="auto"/>
                <w:lang w:eastAsia="zh-CN"/>
              </w:rPr>
              <w:t>白竹</w:t>
            </w:r>
            <w:r>
              <w:rPr>
                <w:rFonts w:hint="default" w:ascii="Times New Roman" w:hAnsi="Times New Roman" w:cs="Times New Roman"/>
                <w:color w:val="000000"/>
                <w:sz w:val="24"/>
                <w:szCs w:val="24"/>
                <w:highlight w:val="none"/>
                <w:u w:val="none" w:color="auto"/>
              </w:rPr>
              <w:t>污水处理厂</w:t>
            </w:r>
            <w:r>
              <w:rPr>
                <w:rFonts w:hint="default" w:ascii="Times New Roman" w:hAnsi="Times New Roman" w:cs="Times New Roman"/>
                <w:color w:val="000000"/>
                <w:sz w:val="24"/>
                <w:szCs w:val="24"/>
                <w:highlight w:val="none"/>
                <w:u w:val="none" w:color="auto"/>
                <w:lang w:eastAsia="zh-CN"/>
              </w:rPr>
              <w:t>。</w:t>
            </w:r>
          </w:p>
          <w:p w14:paraId="5549F7C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000000"/>
                <w:kern w:val="0"/>
                <w:sz w:val="24"/>
                <w:szCs w:val="24"/>
                <w:highlight w:val="none"/>
                <w:u w:val="none" w:color="auto"/>
                <w:lang w:bidi="ar"/>
              </w:rPr>
            </w:pPr>
            <w:r>
              <w:rPr>
                <w:rFonts w:hint="default" w:ascii="Times New Roman" w:hAnsi="Times New Roman" w:eastAsia="宋体" w:cs="Times New Roman"/>
                <w:bCs/>
                <w:color w:val="000000"/>
                <w:kern w:val="0"/>
                <w:sz w:val="24"/>
                <w:szCs w:val="24"/>
                <w:highlight w:val="none"/>
                <w:u w:val="none" w:color="auto"/>
                <w:lang w:bidi="ar"/>
              </w:rPr>
              <w:t>祁阳</w:t>
            </w:r>
            <w:r>
              <w:rPr>
                <w:rFonts w:hint="default" w:ascii="Times New Roman" w:hAnsi="Times New Roman" w:eastAsia="宋体" w:cs="Times New Roman"/>
                <w:bCs/>
                <w:color w:val="000000"/>
                <w:kern w:val="0"/>
                <w:sz w:val="24"/>
                <w:szCs w:val="24"/>
                <w:highlight w:val="none"/>
                <w:u w:val="none" w:color="auto"/>
                <w:lang w:eastAsia="zh-CN" w:bidi="ar"/>
              </w:rPr>
              <w:t>市白竹</w:t>
            </w:r>
            <w:r>
              <w:rPr>
                <w:rFonts w:hint="default" w:ascii="Times New Roman" w:hAnsi="Times New Roman" w:eastAsia="宋体" w:cs="Times New Roman"/>
                <w:bCs/>
                <w:color w:val="000000"/>
                <w:kern w:val="0"/>
                <w:sz w:val="24"/>
                <w:szCs w:val="24"/>
                <w:highlight w:val="none"/>
                <w:u w:val="none" w:color="auto"/>
                <w:lang w:bidi="ar"/>
              </w:rPr>
              <w:t>污水处理厂是规划环评中设置的专门处理新区工业废水和生活污水的，采用工艺为常用的成熟工艺，处理效果稳定，实际运行效果可满足《城镇污水处理厂污染物排放标准》</w:t>
            </w:r>
            <w:r>
              <w:rPr>
                <w:rFonts w:hint="default" w:ascii="Times New Roman" w:hAnsi="Times New Roman" w:eastAsia="宋体" w:cs="Times New Roman"/>
                <w:bCs/>
                <w:color w:val="000000"/>
                <w:kern w:val="0"/>
                <w:sz w:val="24"/>
                <w:szCs w:val="24"/>
                <w:highlight w:val="none"/>
                <w:u w:val="none" w:color="auto"/>
                <w:lang w:eastAsia="zh-CN" w:bidi="ar"/>
              </w:rPr>
              <w:t>(</w:t>
            </w:r>
            <w:r>
              <w:rPr>
                <w:rFonts w:hint="default" w:ascii="Times New Roman" w:hAnsi="Times New Roman" w:eastAsia="宋体" w:cs="Times New Roman"/>
                <w:bCs/>
                <w:color w:val="000000"/>
                <w:kern w:val="0"/>
                <w:sz w:val="24"/>
                <w:szCs w:val="24"/>
                <w:highlight w:val="none"/>
                <w:u w:val="none" w:color="auto"/>
                <w:lang w:bidi="ar"/>
              </w:rPr>
              <w:t>GB18918-2002</w:t>
            </w:r>
            <w:r>
              <w:rPr>
                <w:rFonts w:hint="default" w:ascii="Times New Roman" w:hAnsi="Times New Roman" w:eastAsia="宋体" w:cs="Times New Roman"/>
                <w:bCs/>
                <w:color w:val="000000"/>
                <w:kern w:val="0"/>
                <w:sz w:val="24"/>
                <w:szCs w:val="24"/>
                <w:highlight w:val="none"/>
                <w:u w:val="none" w:color="auto"/>
                <w:lang w:eastAsia="zh-CN" w:bidi="ar"/>
              </w:rPr>
              <w:t>)</w:t>
            </w:r>
            <w:r>
              <w:rPr>
                <w:rFonts w:hint="default" w:ascii="Times New Roman" w:hAnsi="Times New Roman" w:eastAsia="宋体" w:cs="Times New Roman"/>
                <w:bCs/>
                <w:color w:val="000000"/>
                <w:kern w:val="0"/>
                <w:sz w:val="24"/>
                <w:szCs w:val="24"/>
                <w:highlight w:val="none"/>
                <w:u w:val="none" w:color="auto"/>
                <w:lang w:bidi="ar"/>
              </w:rPr>
              <w:t>中一级A标准，确保对受纳水体湘江的影响在可接受范围内。</w:t>
            </w:r>
          </w:p>
          <w:p w14:paraId="0A8B7A8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000000"/>
                <w:kern w:val="0"/>
                <w:sz w:val="24"/>
                <w:szCs w:val="24"/>
                <w:highlight w:val="none"/>
                <w:u w:val="none" w:color="auto"/>
                <w:lang w:bidi="ar"/>
              </w:rPr>
            </w:pPr>
            <w:r>
              <w:rPr>
                <w:rFonts w:hint="default" w:ascii="Times New Roman" w:hAnsi="Times New Roman" w:cs="Times New Roman"/>
                <w:color w:val="000000"/>
                <w:sz w:val="24"/>
                <w:szCs w:val="24"/>
                <w:highlight w:val="none"/>
                <w:u w:val="none" w:color="auto"/>
                <w:lang w:eastAsia="zh-CN"/>
              </w:rPr>
              <w:t>白竹</w:t>
            </w:r>
            <w:r>
              <w:rPr>
                <w:rFonts w:hint="default" w:ascii="Times New Roman" w:hAnsi="Times New Roman" w:cs="Times New Roman"/>
                <w:color w:val="000000"/>
                <w:sz w:val="24"/>
                <w:szCs w:val="24"/>
                <w:highlight w:val="none"/>
                <w:u w:val="none" w:color="auto"/>
              </w:rPr>
              <w:t>污水处理厂</w:t>
            </w:r>
            <w:r>
              <w:rPr>
                <w:rFonts w:hint="eastAsia" w:ascii="Times New Roman" w:hAnsi="Times New Roman" w:cs="Times New Roman"/>
                <w:color w:val="000000"/>
                <w:sz w:val="24"/>
                <w:szCs w:val="24"/>
                <w:highlight w:val="none"/>
                <w:u w:val="none" w:color="auto"/>
                <w:lang w:val="en-US" w:eastAsia="zh-CN"/>
              </w:rPr>
              <w:t>目前污水处理规模为</w:t>
            </w:r>
            <w:r>
              <w:rPr>
                <w:rFonts w:hint="default" w:ascii="Times New Roman" w:hAnsi="Times New Roman" w:cs="Times New Roman"/>
                <w:color w:val="000000"/>
                <w:sz w:val="24"/>
                <w:szCs w:val="24"/>
                <w:highlight w:val="none"/>
                <w:u w:val="none" w:color="auto"/>
              </w:rPr>
              <w:t>2.5×10</w:t>
            </w:r>
            <w:r>
              <w:rPr>
                <w:rFonts w:hint="default" w:ascii="Times New Roman" w:hAnsi="Times New Roman" w:cs="Times New Roman"/>
                <w:color w:val="000000"/>
                <w:sz w:val="24"/>
                <w:szCs w:val="24"/>
                <w:highlight w:val="none"/>
                <w:u w:val="none" w:color="auto"/>
                <w:vertAlign w:val="superscript"/>
              </w:rPr>
              <w:t>4</w:t>
            </w:r>
            <w:r>
              <w:rPr>
                <w:rFonts w:hint="default" w:ascii="Times New Roman" w:hAnsi="Times New Roman" w:cs="Times New Roman"/>
                <w:color w:val="000000"/>
                <w:sz w:val="24"/>
                <w:szCs w:val="24"/>
                <w:highlight w:val="none"/>
                <w:u w:val="none" w:color="auto"/>
              </w:rPr>
              <w:t>m</w:t>
            </w:r>
            <w:r>
              <w:rPr>
                <w:rFonts w:hint="default" w:ascii="Times New Roman" w:hAnsi="Times New Roman" w:cs="Times New Roman"/>
                <w:color w:val="000000"/>
                <w:sz w:val="24"/>
                <w:szCs w:val="24"/>
                <w:highlight w:val="none"/>
                <w:u w:val="none" w:color="auto"/>
                <w:vertAlign w:val="superscript"/>
              </w:rPr>
              <w:t>3</w:t>
            </w:r>
            <w:r>
              <w:rPr>
                <w:rFonts w:hint="default" w:ascii="Times New Roman" w:hAnsi="Times New Roman" w:cs="Times New Roman"/>
                <w:color w:val="000000"/>
                <w:sz w:val="24"/>
                <w:szCs w:val="24"/>
                <w:highlight w:val="none"/>
                <w:u w:val="none" w:color="auto"/>
              </w:rPr>
              <w:t>/d</w:t>
            </w:r>
            <w:r>
              <w:rPr>
                <w:rFonts w:hint="eastAsia" w:ascii="Times New Roman" w:hAnsi="Times New Roman" w:cs="Times New Roman"/>
                <w:color w:val="000000"/>
                <w:sz w:val="24"/>
                <w:szCs w:val="24"/>
                <w:highlight w:val="none"/>
                <w:u w:val="none" w:color="auto"/>
                <w:lang w:eastAsia="zh-CN"/>
              </w:rPr>
              <w:t>，</w:t>
            </w:r>
            <w:r>
              <w:rPr>
                <w:rFonts w:hint="eastAsia" w:ascii="Times New Roman" w:hAnsi="Times New Roman" w:cs="Times New Roman"/>
                <w:color w:val="000000"/>
                <w:sz w:val="24"/>
                <w:szCs w:val="24"/>
                <w:highlight w:val="none"/>
                <w:u w:val="none" w:color="auto"/>
                <w:lang w:val="en-US" w:eastAsia="zh-CN"/>
              </w:rPr>
              <w:t>远期规划处理规模为5</w:t>
            </w:r>
            <w:r>
              <w:rPr>
                <w:rFonts w:hint="default" w:ascii="Times New Roman" w:hAnsi="Times New Roman" w:cs="Times New Roman"/>
                <w:color w:val="000000"/>
                <w:sz w:val="24"/>
                <w:szCs w:val="24"/>
                <w:highlight w:val="none"/>
                <w:u w:val="none" w:color="auto"/>
              </w:rPr>
              <w:t>×10</w:t>
            </w:r>
            <w:r>
              <w:rPr>
                <w:rFonts w:hint="default" w:ascii="Times New Roman" w:hAnsi="Times New Roman" w:cs="Times New Roman"/>
                <w:color w:val="000000"/>
                <w:sz w:val="24"/>
                <w:szCs w:val="24"/>
                <w:highlight w:val="none"/>
                <w:u w:val="none" w:color="auto"/>
                <w:vertAlign w:val="superscript"/>
              </w:rPr>
              <w:t>4</w:t>
            </w:r>
            <w:r>
              <w:rPr>
                <w:rFonts w:hint="default" w:ascii="Times New Roman" w:hAnsi="Times New Roman" w:cs="Times New Roman"/>
                <w:color w:val="000000"/>
                <w:sz w:val="24"/>
                <w:szCs w:val="24"/>
                <w:highlight w:val="none"/>
                <w:u w:val="none" w:color="auto"/>
              </w:rPr>
              <w:t>m</w:t>
            </w:r>
            <w:r>
              <w:rPr>
                <w:rFonts w:hint="default" w:ascii="Times New Roman" w:hAnsi="Times New Roman" w:cs="Times New Roman"/>
                <w:color w:val="000000"/>
                <w:sz w:val="24"/>
                <w:szCs w:val="24"/>
                <w:highlight w:val="none"/>
                <w:u w:val="none" w:color="auto"/>
                <w:vertAlign w:val="superscript"/>
              </w:rPr>
              <w:t>3</w:t>
            </w:r>
            <w:r>
              <w:rPr>
                <w:rFonts w:hint="default" w:ascii="Times New Roman" w:hAnsi="Times New Roman" w:cs="Times New Roman"/>
                <w:color w:val="000000"/>
                <w:sz w:val="24"/>
                <w:szCs w:val="24"/>
                <w:highlight w:val="none"/>
                <w:u w:val="none" w:color="auto"/>
              </w:rPr>
              <w:t>/d</w:t>
            </w:r>
            <w:r>
              <w:rPr>
                <w:rFonts w:hint="eastAsia" w:ascii="Times New Roman" w:hAnsi="Times New Roman" w:cs="Times New Roman"/>
                <w:color w:val="000000"/>
                <w:sz w:val="24"/>
                <w:szCs w:val="24"/>
                <w:highlight w:val="none"/>
                <w:u w:val="none" w:color="auto"/>
                <w:lang w:eastAsia="zh-CN"/>
              </w:rPr>
              <w:t>；</w:t>
            </w:r>
            <w:r>
              <w:rPr>
                <w:rFonts w:hint="eastAsia" w:ascii="Times New Roman" w:hAnsi="Times New Roman" w:cs="Times New Roman"/>
                <w:color w:val="000000"/>
                <w:sz w:val="24"/>
                <w:szCs w:val="24"/>
                <w:highlight w:val="none"/>
                <w:u w:val="none" w:color="auto"/>
                <w:lang w:val="en-US" w:eastAsia="zh-CN"/>
              </w:rPr>
              <w:t>现状实际污水处理量为17000</w:t>
            </w:r>
            <w:r>
              <w:rPr>
                <w:rFonts w:hint="default" w:ascii="Times New Roman" w:hAnsi="Times New Roman" w:cs="Times New Roman"/>
                <w:color w:val="000000"/>
                <w:sz w:val="24"/>
                <w:szCs w:val="24"/>
                <w:highlight w:val="none"/>
                <w:u w:val="none" w:color="auto"/>
              </w:rPr>
              <w:t>m</w:t>
            </w:r>
            <w:r>
              <w:rPr>
                <w:rFonts w:hint="default" w:ascii="Times New Roman" w:hAnsi="Times New Roman" w:cs="Times New Roman"/>
                <w:color w:val="000000"/>
                <w:sz w:val="24"/>
                <w:szCs w:val="24"/>
                <w:highlight w:val="none"/>
                <w:u w:val="none" w:color="auto"/>
                <w:vertAlign w:val="superscript"/>
              </w:rPr>
              <w:t>3</w:t>
            </w:r>
            <w:r>
              <w:rPr>
                <w:rFonts w:hint="default" w:ascii="Times New Roman" w:hAnsi="Times New Roman" w:cs="Times New Roman"/>
                <w:color w:val="000000"/>
                <w:sz w:val="24"/>
                <w:szCs w:val="24"/>
                <w:highlight w:val="none"/>
                <w:u w:val="none" w:color="auto"/>
              </w:rPr>
              <w:t>/d</w:t>
            </w:r>
            <w:r>
              <w:rPr>
                <w:rFonts w:hint="eastAsia" w:ascii="Times New Roman" w:hAnsi="Times New Roman" w:cs="Times New Roman"/>
                <w:color w:val="000000"/>
                <w:sz w:val="24"/>
                <w:szCs w:val="24"/>
                <w:highlight w:val="none"/>
                <w:u w:val="none" w:color="auto"/>
                <w:lang w:val="en-US" w:eastAsia="zh-CN"/>
              </w:rPr>
              <w:t>，约8000</w:t>
            </w:r>
            <w:r>
              <w:rPr>
                <w:rFonts w:hint="default" w:ascii="Times New Roman" w:hAnsi="Times New Roman" w:cs="Times New Roman"/>
                <w:color w:val="000000"/>
                <w:sz w:val="24"/>
                <w:szCs w:val="24"/>
                <w:highlight w:val="none"/>
                <w:u w:val="none" w:color="auto"/>
              </w:rPr>
              <w:t>m</w:t>
            </w:r>
            <w:r>
              <w:rPr>
                <w:rFonts w:hint="default" w:ascii="Times New Roman" w:hAnsi="Times New Roman" w:cs="Times New Roman"/>
                <w:color w:val="000000"/>
                <w:sz w:val="24"/>
                <w:szCs w:val="24"/>
                <w:highlight w:val="none"/>
                <w:u w:val="none" w:color="auto"/>
                <w:vertAlign w:val="superscript"/>
              </w:rPr>
              <w:t>3</w:t>
            </w:r>
            <w:r>
              <w:rPr>
                <w:rFonts w:hint="default" w:ascii="Times New Roman" w:hAnsi="Times New Roman" w:cs="Times New Roman"/>
                <w:color w:val="000000"/>
                <w:sz w:val="24"/>
                <w:szCs w:val="24"/>
                <w:highlight w:val="none"/>
                <w:u w:val="none" w:color="auto"/>
              </w:rPr>
              <w:t>/d</w:t>
            </w:r>
            <w:r>
              <w:rPr>
                <w:rFonts w:hint="eastAsia" w:ascii="Times New Roman" w:hAnsi="Times New Roman" w:cs="Times New Roman"/>
                <w:color w:val="000000"/>
                <w:sz w:val="24"/>
                <w:szCs w:val="24"/>
                <w:highlight w:val="none"/>
                <w:u w:val="none" w:color="auto"/>
                <w:lang w:val="en-US" w:eastAsia="zh-CN"/>
              </w:rPr>
              <w:t>的废水处理余量。本项目生活污水外排量为</w:t>
            </w:r>
            <w:r>
              <w:rPr>
                <w:rFonts w:hint="eastAsia" w:cs="Times New Roman"/>
                <w:color w:val="000000" w:themeColor="text1"/>
                <w:sz w:val="24"/>
                <w:szCs w:val="24"/>
                <w:highlight w:val="none"/>
                <w:u w:val="none" w:color="auto"/>
                <w:lang w:val="en-US" w:eastAsia="zh-CN"/>
                <w14:textFill>
                  <w14:solidFill>
                    <w14:schemeClr w14:val="tx1"/>
                  </w14:solidFill>
                </w14:textFill>
              </w:rPr>
              <w:t>2126</w:t>
            </w:r>
            <w:r>
              <w:rPr>
                <w:rFonts w:hint="default" w:ascii="Times New Roman" w:hAnsi="Times New Roman" w:cs="Times New Roman"/>
                <w:color w:val="000000" w:themeColor="text1"/>
                <w:sz w:val="24"/>
                <w:szCs w:val="24"/>
                <w:highlight w:val="none"/>
                <w:u w:val="none" w:color="auto"/>
                <w14:textFill>
                  <w14:solidFill>
                    <w14:schemeClr w14:val="tx1"/>
                  </w14:solidFill>
                </w14:textFill>
              </w:rPr>
              <w:t>m</w:t>
            </w:r>
            <w:r>
              <w:rPr>
                <w:rFonts w:hint="default" w:ascii="Times New Roman" w:hAnsi="Times New Roman" w:cs="Times New Roman"/>
                <w:color w:val="000000" w:themeColor="text1"/>
                <w:sz w:val="24"/>
                <w:szCs w:val="24"/>
                <w:highlight w:val="none"/>
                <w:u w:val="none" w:color="auto"/>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u w:val="none" w:color="auto"/>
                <w14:textFill>
                  <w14:solidFill>
                    <w14:schemeClr w14:val="tx1"/>
                  </w14:solidFill>
                </w14:textFill>
              </w:rPr>
              <w:t>/</w:t>
            </w:r>
            <w:r>
              <w:rPr>
                <w:rFonts w:hint="eastAsia" w:cs="Times New Roman"/>
                <w:color w:val="000000" w:themeColor="text1"/>
                <w:sz w:val="24"/>
                <w:szCs w:val="24"/>
                <w:highlight w:val="none"/>
                <w:u w:val="none" w:color="auto"/>
                <w:lang w:val="en-US" w:eastAsia="zh-CN"/>
                <w14:textFill>
                  <w14:solidFill>
                    <w14:schemeClr w14:val="tx1"/>
                  </w14:solidFill>
                </w14:textFill>
              </w:rPr>
              <w:t>a</w:t>
            </w:r>
            <w:r>
              <w:rPr>
                <w:rFonts w:hint="eastAsia" w:ascii="Times New Roman" w:hAnsi="Times New Roman" w:cs="Times New Roman"/>
                <w:color w:val="000000"/>
                <w:sz w:val="24"/>
                <w:szCs w:val="24"/>
                <w:highlight w:val="none"/>
                <w:u w:val="none" w:color="auto"/>
                <w:lang w:eastAsia="zh-CN"/>
              </w:rPr>
              <w:t>，</w:t>
            </w:r>
            <w:r>
              <w:rPr>
                <w:rFonts w:hint="eastAsia" w:ascii="Times New Roman" w:hAnsi="Times New Roman" w:cs="Times New Roman"/>
                <w:color w:val="000000"/>
                <w:sz w:val="24"/>
                <w:szCs w:val="24"/>
                <w:highlight w:val="none"/>
                <w:u w:val="none" w:color="auto"/>
                <w:lang w:val="en-US" w:eastAsia="zh-CN"/>
              </w:rPr>
              <w:t>本项目外排废水</w:t>
            </w:r>
            <w:r>
              <w:rPr>
                <w:rFonts w:hint="default" w:ascii="Times New Roman" w:hAnsi="Times New Roman" w:cs="Times New Roman"/>
                <w:color w:val="000000"/>
                <w:sz w:val="24"/>
                <w:szCs w:val="24"/>
                <w:highlight w:val="none"/>
                <w:u w:val="none" w:color="auto"/>
              </w:rPr>
              <w:t>水质简单，</w:t>
            </w:r>
            <w:r>
              <w:rPr>
                <w:rFonts w:hint="eastAsia" w:ascii="Times New Roman" w:hAnsi="Times New Roman" w:cs="Times New Roman"/>
                <w:color w:val="000000"/>
                <w:sz w:val="24"/>
                <w:szCs w:val="24"/>
                <w:highlight w:val="none"/>
                <w:u w:val="none" w:color="auto"/>
                <w:lang w:val="en-US" w:eastAsia="zh-CN"/>
              </w:rPr>
              <w:t>不含重金属和难降解有机物，经预处理后满足</w:t>
            </w:r>
            <w:r>
              <w:rPr>
                <w:rFonts w:hint="default" w:ascii="Times New Roman" w:hAnsi="Times New Roman" w:cs="Times New Roman"/>
                <w:color w:val="000000"/>
                <w:sz w:val="24"/>
                <w:szCs w:val="24"/>
                <w:highlight w:val="none"/>
                <w:u w:val="none" w:color="auto"/>
                <w:lang w:eastAsia="zh-CN"/>
              </w:rPr>
              <w:t>祁阳市白竹污水处理厂</w:t>
            </w:r>
            <w:r>
              <w:rPr>
                <w:rFonts w:hint="eastAsia" w:ascii="Times New Roman" w:hAnsi="Times New Roman" w:cs="Times New Roman"/>
                <w:color w:val="000000"/>
                <w:sz w:val="24"/>
                <w:szCs w:val="24"/>
                <w:highlight w:val="none"/>
                <w:u w:val="none" w:color="auto"/>
                <w:lang w:val="en-US" w:eastAsia="zh-CN"/>
              </w:rPr>
              <w:t>进水水质，</w:t>
            </w:r>
            <w:r>
              <w:rPr>
                <w:rFonts w:hint="default" w:ascii="Times New Roman" w:hAnsi="Times New Roman" w:eastAsia="宋体" w:cs="Times New Roman"/>
                <w:bCs/>
                <w:color w:val="000000"/>
                <w:kern w:val="0"/>
                <w:sz w:val="24"/>
                <w:szCs w:val="24"/>
                <w:highlight w:val="none"/>
                <w:u w:val="none" w:color="auto"/>
                <w:lang w:bidi="ar"/>
              </w:rPr>
              <w:t>在污水处理厂可接纳范围内，不会对</w:t>
            </w:r>
            <w:r>
              <w:rPr>
                <w:rFonts w:hint="eastAsia" w:cs="Times New Roman"/>
                <w:bCs/>
                <w:color w:val="000000"/>
                <w:kern w:val="0"/>
                <w:sz w:val="24"/>
                <w:szCs w:val="24"/>
                <w:highlight w:val="none"/>
                <w:u w:val="none" w:color="auto"/>
                <w:lang w:eastAsia="zh-CN" w:bidi="ar"/>
              </w:rPr>
              <w:t>污水处理厂</w:t>
            </w:r>
            <w:r>
              <w:rPr>
                <w:rFonts w:hint="default" w:ascii="Times New Roman" w:hAnsi="Times New Roman" w:eastAsia="宋体" w:cs="Times New Roman"/>
                <w:bCs/>
                <w:color w:val="000000"/>
                <w:kern w:val="0"/>
                <w:sz w:val="24"/>
                <w:szCs w:val="24"/>
                <w:highlight w:val="none"/>
                <w:u w:val="none" w:color="auto"/>
                <w:lang w:bidi="ar"/>
              </w:rPr>
              <w:t>造成冲击，</w:t>
            </w:r>
            <w:r>
              <w:rPr>
                <w:rFonts w:hint="default" w:ascii="Times New Roman" w:hAnsi="Times New Roman" w:cs="Times New Roman"/>
                <w:color w:val="000000"/>
                <w:sz w:val="24"/>
                <w:szCs w:val="24"/>
                <w:highlight w:val="none"/>
                <w:u w:val="none" w:color="auto"/>
              </w:rPr>
              <w:t>经</w:t>
            </w:r>
            <w:r>
              <w:rPr>
                <w:rFonts w:hint="default" w:ascii="Times New Roman" w:hAnsi="Times New Roman" w:cs="Times New Roman"/>
                <w:color w:val="000000"/>
                <w:sz w:val="24"/>
                <w:szCs w:val="24"/>
                <w:highlight w:val="none"/>
                <w:u w:val="none" w:color="auto"/>
                <w:lang w:eastAsia="zh-CN"/>
              </w:rPr>
              <w:t>祁阳市白竹污水处理厂</w:t>
            </w:r>
            <w:r>
              <w:rPr>
                <w:rFonts w:hint="eastAsia" w:cs="Times New Roman"/>
                <w:color w:val="000000"/>
                <w:sz w:val="24"/>
                <w:szCs w:val="24"/>
                <w:highlight w:val="none"/>
                <w:u w:val="none" w:color="auto"/>
                <w:lang w:val="en-US" w:eastAsia="zh-CN"/>
              </w:rPr>
              <w:t>集中</w:t>
            </w:r>
            <w:r>
              <w:rPr>
                <w:rFonts w:hint="default" w:ascii="Times New Roman" w:hAnsi="Times New Roman" w:cs="Times New Roman"/>
                <w:color w:val="000000"/>
                <w:sz w:val="24"/>
                <w:szCs w:val="24"/>
                <w:highlight w:val="none"/>
                <w:u w:val="none" w:color="auto"/>
              </w:rPr>
              <w:t>处理</w:t>
            </w:r>
            <w:r>
              <w:rPr>
                <w:rFonts w:hint="eastAsia" w:ascii="Times New Roman" w:hAnsi="Times New Roman" w:cs="Times New Roman"/>
                <w:color w:val="000000"/>
                <w:sz w:val="24"/>
                <w:szCs w:val="24"/>
                <w:highlight w:val="none"/>
                <w:u w:val="none" w:color="auto"/>
                <w:lang w:val="en-US" w:eastAsia="zh-CN"/>
              </w:rPr>
              <w:t>后可</w:t>
            </w:r>
            <w:r>
              <w:rPr>
                <w:rFonts w:hint="default" w:ascii="Times New Roman" w:hAnsi="Times New Roman" w:cs="Times New Roman"/>
                <w:color w:val="000000"/>
                <w:sz w:val="24"/>
                <w:szCs w:val="24"/>
                <w:highlight w:val="none"/>
                <w:u w:val="none" w:color="auto"/>
              </w:rPr>
              <w:t>达标排放</w:t>
            </w:r>
            <w:r>
              <w:rPr>
                <w:rFonts w:hint="eastAsia" w:ascii="Times New Roman" w:hAnsi="Times New Roman" w:cs="Times New Roman"/>
                <w:color w:val="000000"/>
                <w:sz w:val="24"/>
                <w:szCs w:val="24"/>
                <w:highlight w:val="none"/>
                <w:u w:val="none" w:color="auto"/>
                <w:lang w:eastAsia="zh-CN"/>
              </w:rPr>
              <w:t>。</w:t>
            </w:r>
            <w:r>
              <w:rPr>
                <w:rFonts w:hint="eastAsia" w:ascii="Times New Roman" w:hAnsi="Times New Roman" w:cs="Times New Roman"/>
                <w:color w:val="000000"/>
                <w:sz w:val="24"/>
                <w:szCs w:val="24"/>
                <w:highlight w:val="none"/>
                <w:u w:val="none" w:color="auto"/>
                <w:lang w:val="en-US" w:eastAsia="zh-CN"/>
              </w:rPr>
              <w:t>因此</w:t>
            </w:r>
            <w:r>
              <w:rPr>
                <w:rFonts w:hint="default" w:ascii="Times New Roman" w:hAnsi="Times New Roman" w:eastAsia="宋体" w:cs="Times New Roman"/>
                <w:bCs/>
                <w:color w:val="000000"/>
                <w:kern w:val="0"/>
                <w:sz w:val="24"/>
                <w:szCs w:val="24"/>
                <w:highlight w:val="none"/>
                <w:u w:val="none" w:color="auto"/>
                <w:lang w:bidi="ar"/>
              </w:rPr>
              <w:t>项目污水纳入祁阳</w:t>
            </w:r>
            <w:r>
              <w:rPr>
                <w:rFonts w:hint="default" w:ascii="Times New Roman" w:hAnsi="Times New Roman" w:eastAsia="宋体" w:cs="Times New Roman"/>
                <w:bCs/>
                <w:color w:val="000000"/>
                <w:kern w:val="0"/>
                <w:sz w:val="24"/>
                <w:szCs w:val="24"/>
                <w:highlight w:val="none"/>
                <w:u w:val="none" w:color="auto"/>
                <w:lang w:eastAsia="zh-CN" w:bidi="ar"/>
              </w:rPr>
              <w:t>市白竹</w:t>
            </w:r>
            <w:r>
              <w:rPr>
                <w:rFonts w:hint="default" w:ascii="Times New Roman" w:hAnsi="Times New Roman" w:eastAsia="宋体" w:cs="Times New Roman"/>
                <w:bCs/>
                <w:color w:val="000000"/>
                <w:kern w:val="0"/>
                <w:sz w:val="24"/>
                <w:szCs w:val="24"/>
                <w:highlight w:val="none"/>
                <w:u w:val="none" w:color="auto"/>
                <w:lang w:bidi="ar"/>
              </w:rPr>
              <w:t>污水处理厂处理是可行的</w:t>
            </w:r>
            <w:r>
              <w:rPr>
                <w:rFonts w:hint="default" w:ascii="Times New Roman" w:hAnsi="Times New Roman" w:eastAsia="宋体" w:cs="Times New Roman"/>
                <w:bCs/>
                <w:color w:val="000000"/>
                <w:kern w:val="0"/>
                <w:sz w:val="24"/>
                <w:szCs w:val="24"/>
                <w:highlight w:val="none"/>
                <w:u w:val="none" w:color="auto"/>
                <w:lang w:eastAsia="zh-CN" w:bidi="ar"/>
              </w:rPr>
              <w:t>，</w:t>
            </w:r>
            <w:r>
              <w:rPr>
                <w:rFonts w:hint="default" w:ascii="Times New Roman" w:hAnsi="Times New Roman" w:cs="Times New Roman"/>
                <w:color w:val="000000"/>
                <w:sz w:val="24"/>
                <w:szCs w:val="24"/>
                <w:highlight w:val="none"/>
                <w:u w:val="none" w:color="auto"/>
              </w:rPr>
              <w:t>对湘江水质影响很小。</w:t>
            </w:r>
          </w:p>
          <w:p w14:paraId="5AEE467D">
            <w:pPr>
              <w:keepNext w:val="0"/>
              <w:keepLines w:val="0"/>
              <w:suppressLineNumbers w:val="0"/>
              <w:autoSpaceDE w:val="0"/>
              <w:autoSpaceDN w:val="0"/>
              <w:spacing w:before="0" w:beforeAutospacing="0" w:after="0" w:afterAutospacing="0" w:line="360" w:lineRule="auto"/>
              <w:ind w:left="0" w:right="0" w:firstLine="480" w:firstLineChars="200"/>
              <w:rPr>
                <w:rFonts w:hint="eastAsia" w:ascii="Times New Roman" w:hAnsi="Times New Roman" w:eastAsia="宋体" w:cs="Times New Roman"/>
                <w:sz w:val="24"/>
                <w:u w:val="none"/>
                <w:lang w:val="en-US" w:eastAsia="zh-CN"/>
              </w:rPr>
            </w:pPr>
            <w:r>
              <w:rPr>
                <w:rFonts w:hint="default" w:ascii="Times New Roman" w:hAnsi="Times New Roman" w:eastAsia="宋体" w:cs="Times New Roman"/>
                <w:bCs/>
                <w:color w:val="000000"/>
                <w:kern w:val="0"/>
                <w:sz w:val="24"/>
                <w:szCs w:val="24"/>
                <w:highlight w:val="none"/>
                <w:u w:val="none" w:color="auto"/>
                <w:lang w:bidi="ar"/>
              </w:rPr>
              <w:t>综上，项目水污染控制和水环境影响减缓措施有效可行，地表水环境影响评价结论为可接受</w:t>
            </w:r>
            <w:r>
              <w:rPr>
                <w:rFonts w:hint="default" w:ascii="Times New Roman" w:hAnsi="Times New Roman" w:cs="Times New Roman"/>
                <w:color w:val="000000"/>
                <w:sz w:val="24"/>
                <w:szCs w:val="24"/>
                <w:highlight w:val="none"/>
                <w:u w:val="none" w:color="auto"/>
              </w:rPr>
              <w:t>。因此，本项目依托</w:t>
            </w:r>
            <w:r>
              <w:rPr>
                <w:rFonts w:hint="default" w:ascii="Times New Roman" w:hAnsi="Times New Roman" w:cs="Times New Roman"/>
                <w:color w:val="000000"/>
                <w:sz w:val="24"/>
                <w:szCs w:val="24"/>
                <w:highlight w:val="none"/>
                <w:u w:val="none" w:color="auto"/>
                <w:lang w:eastAsia="zh-CN"/>
              </w:rPr>
              <w:t>祁阳市白竹污水处理厂</w:t>
            </w:r>
            <w:r>
              <w:rPr>
                <w:rFonts w:hint="default" w:ascii="Times New Roman" w:hAnsi="Times New Roman" w:cs="Times New Roman"/>
                <w:color w:val="000000"/>
                <w:sz w:val="24"/>
                <w:szCs w:val="24"/>
                <w:highlight w:val="none"/>
                <w:u w:val="none" w:color="auto"/>
              </w:rPr>
              <w:t>污水处理设施具有环境可行性</w:t>
            </w:r>
            <w:r>
              <w:rPr>
                <w:rFonts w:hint="default" w:ascii="Times New Roman" w:hAnsi="Times New Roman" w:cs="Times New Roman"/>
                <w:color w:val="000000"/>
                <w:sz w:val="24"/>
                <w:szCs w:val="24"/>
                <w:highlight w:val="none"/>
                <w:u w:val="none" w:color="auto"/>
                <w:lang w:bidi="ar"/>
              </w:rPr>
              <w:t>。</w:t>
            </w:r>
            <w:r>
              <w:rPr>
                <w:rFonts w:hint="default" w:ascii="Times New Roman" w:hAnsi="Times New Roman" w:cs="Times New Roman"/>
                <w:color w:val="000000"/>
                <w:sz w:val="24"/>
                <w:szCs w:val="24"/>
                <w:highlight w:val="none"/>
                <w:u w:val="none" w:color="auto"/>
                <w:lang w:eastAsia="zh-CN" w:bidi="ar"/>
              </w:rPr>
              <w:t>祁阳市白竹污水处理厂</w:t>
            </w:r>
            <w:r>
              <w:rPr>
                <w:rFonts w:hint="default" w:ascii="Times New Roman" w:hAnsi="Times New Roman" w:cs="Times New Roman"/>
                <w:color w:val="000000"/>
                <w:sz w:val="24"/>
                <w:szCs w:val="24"/>
                <w:highlight w:val="none"/>
                <w:u w:val="none" w:color="auto"/>
                <w:lang w:bidi="ar"/>
              </w:rPr>
              <w:t>正常排放情况下，对</w:t>
            </w:r>
            <w:r>
              <w:rPr>
                <w:rFonts w:hint="default" w:ascii="Times New Roman" w:hAnsi="Times New Roman" w:cs="Times New Roman"/>
                <w:color w:val="000000"/>
                <w:sz w:val="24"/>
                <w:szCs w:val="24"/>
                <w:highlight w:val="none"/>
                <w:u w:val="none" w:color="auto"/>
                <w:lang w:eastAsia="zh-CN"/>
              </w:rPr>
              <w:t>湘江</w:t>
            </w:r>
            <w:r>
              <w:rPr>
                <w:rFonts w:hint="default" w:ascii="Times New Roman" w:hAnsi="Times New Roman" w:cs="Times New Roman"/>
                <w:color w:val="000000"/>
                <w:sz w:val="24"/>
                <w:szCs w:val="24"/>
                <w:highlight w:val="none"/>
                <w:u w:val="none" w:color="auto"/>
                <w:lang w:bidi="ar"/>
              </w:rPr>
              <w:t>水质的影响不大</w:t>
            </w:r>
            <w:r>
              <w:rPr>
                <w:rFonts w:hint="eastAsia" w:ascii="Times New Roman" w:hAnsi="Times New Roman" w:eastAsia="宋体" w:cs="Times New Roman"/>
                <w:sz w:val="24"/>
                <w:u w:val="none"/>
                <w:lang w:val="en-US" w:eastAsia="zh-CN"/>
              </w:rPr>
              <w:t>。</w:t>
            </w:r>
          </w:p>
          <w:p w14:paraId="289BDA86">
            <w:pPr>
              <w:keepNext w:val="0"/>
              <w:keepLines w:val="0"/>
              <w:suppressLineNumbers w:val="0"/>
              <w:autoSpaceDE w:val="0"/>
              <w:autoSpaceDN w:val="0"/>
              <w:spacing w:before="0" w:beforeAutospacing="0" w:after="0" w:afterAutospacing="0" w:line="360" w:lineRule="auto"/>
              <w:ind w:left="0" w:right="0" w:firstLine="482" w:firstLineChars="200"/>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z w:val="24"/>
                <w:szCs w:val="24"/>
                <w:lang w:val="en-US" w:eastAsia="zh-CN"/>
              </w:rPr>
              <w:t>2.</w:t>
            </w:r>
            <w:r>
              <w:rPr>
                <w:rFonts w:hint="eastAsia" w:ascii="Times New Roman" w:hAnsi="Times New Roman" w:cs="Times New Roman"/>
                <w:b/>
                <w:bCs/>
                <w:color w:val="auto"/>
                <w:sz w:val="24"/>
                <w:szCs w:val="24"/>
                <w:lang w:val="en-US" w:eastAsia="zh-CN"/>
              </w:rPr>
              <w:t>3、</w:t>
            </w:r>
            <w:r>
              <w:rPr>
                <w:rFonts w:hint="default" w:ascii="Times New Roman" w:hAnsi="Times New Roman" w:eastAsia="宋体" w:cs="Times New Roman"/>
                <w:b/>
                <w:bCs/>
                <w:color w:val="auto"/>
                <w:spacing w:val="0"/>
                <w:sz w:val="24"/>
                <w:szCs w:val="24"/>
              </w:rPr>
              <w:t>监测要求</w:t>
            </w:r>
          </w:p>
          <w:p w14:paraId="67A421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pacing w:val="0"/>
                <w:sz w:val="24"/>
                <w:szCs w:val="24"/>
                <w:u w:val="none"/>
                <w:lang w:eastAsia="zh-CN"/>
              </w:rPr>
            </w:pPr>
            <w:r>
              <w:rPr>
                <w:rFonts w:hint="eastAsia" w:ascii="Times New Roman" w:hAnsi="Times New Roman" w:eastAsia="宋体" w:cs="Times New Roman"/>
                <w:color w:val="auto"/>
                <w:spacing w:val="0"/>
                <w:sz w:val="24"/>
                <w:szCs w:val="24"/>
                <w:u w:val="none"/>
                <w:lang w:eastAsia="zh-CN"/>
              </w:rPr>
              <w:t>参照《固定污染源排污许可分类管理名录（2019 年版）》、《排污许可证申请与核发技术规范 总则》（HJ942-2018）、《排污单位自行监测技术指南</w:t>
            </w:r>
            <w:r>
              <w:rPr>
                <w:rFonts w:hint="eastAsia" w:ascii="Times New Roman" w:hAnsi="Times New Roman" w:eastAsia="宋体" w:cs="Times New Roman"/>
                <w:color w:val="auto"/>
                <w:spacing w:val="0"/>
                <w:sz w:val="24"/>
                <w:szCs w:val="24"/>
                <w:u w:val="none"/>
                <w:lang w:val="en-US" w:eastAsia="zh-CN"/>
              </w:rPr>
              <w:t xml:space="preserve">  </w:t>
            </w:r>
            <w:r>
              <w:rPr>
                <w:rFonts w:hint="eastAsia" w:ascii="Times New Roman" w:hAnsi="Times New Roman" w:eastAsia="宋体" w:cs="Times New Roman"/>
                <w:color w:val="auto"/>
                <w:spacing w:val="0"/>
                <w:sz w:val="24"/>
                <w:szCs w:val="24"/>
                <w:u w:val="none"/>
                <w:lang w:eastAsia="zh-CN"/>
              </w:rPr>
              <w:t>总则》（HJ 819-2017)</w:t>
            </w:r>
            <w:r>
              <w:rPr>
                <w:rFonts w:hint="eastAsia" w:ascii="Times New Roman" w:hAnsi="Times New Roman" w:eastAsia="宋体" w:cs="Times New Roman"/>
                <w:color w:val="auto"/>
                <w:spacing w:val="0"/>
                <w:sz w:val="24"/>
                <w:szCs w:val="24"/>
                <w:u w:val="none"/>
                <w:lang w:val="en-US" w:eastAsia="zh-CN"/>
              </w:rPr>
              <w:t>和《排污许可证申请与核发技术规范 印刷工业》（HJ 1066-2019）</w:t>
            </w:r>
            <w:r>
              <w:rPr>
                <w:rFonts w:hint="eastAsia" w:ascii="Times New Roman" w:hAnsi="Times New Roman" w:eastAsia="宋体" w:cs="Times New Roman"/>
                <w:color w:val="auto"/>
                <w:spacing w:val="0"/>
                <w:sz w:val="24"/>
                <w:szCs w:val="24"/>
                <w:u w:val="none"/>
                <w:lang w:eastAsia="zh-CN"/>
              </w:rPr>
              <w:t>，单独排入城镇集中污水处理设施的生活污水不需监测</w:t>
            </w:r>
            <w:r>
              <w:rPr>
                <w:rFonts w:hint="eastAsia" w:cs="Times New Roman"/>
                <w:color w:val="auto"/>
                <w:spacing w:val="0"/>
                <w:sz w:val="24"/>
                <w:szCs w:val="24"/>
                <w:u w:val="none"/>
                <w:lang w:eastAsia="zh-CN"/>
              </w:rPr>
              <w:t>。</w:t>
            </w:r>
            <w:r>
              <w:rPr>
                <w:rFonts w:hint="eastAsia" w:ascii="Times New Roman" w:hAnsi="Times New Roman" w:eastAsia="宋体" w:cs="Times New Roman"/>
                <w:color w:val="auto"/>
                <w:spacing w:val="0"/>
                <w:sz w:val="24"/>
                <w:szCs w:val="24"/>
                <w:u w:val="none"/>
                <w:lang w:eastAsia="zh-CN"/>
              </w:rPr>
              <w:t>本项目无</w:t>
            </w:r>
            <w:r>
              <w:rPr>
                <w:rFonts w:hint="eastAsia" w:ascii="Times New Roman" w:hAnsi="Times New Roman" w:eastAsia="宋体" w:cs="Times New Roman"/>
                <w:color w:val="auto"/>
                <w:spacing w:val="0"/>
                <w:sz w:val="24"/>
                <w:szCs w:val="24"/>
                <w:u w:val="none"/>
                <w:lang w:val="en-US" w:eastAsia="zh-CN"/>
              </w:rPr>
              <w:t>生产</w:t>
            </w:r>
            <w:r>
              <w:rPr>
                <w:rFonts w:hint="eastAsia" w:ascii="Times New Roman" w:hAnsi="Times New Roman" w:eastAsia="宋体" w:cs="Times New Roman"/>
                <w:color w:val="auto"/>
                <w:spacing w:val="0"/>
                <w:sz w:val="24"/>
                <w:szCs w:val="24"/>
                <w:u w:val="none"/>
                <w:lang w:eastAsia="zh-CN"/>
              </w:rPr>
              <w:t>废水排放，生活污水经化粪池预处理后进入</w:t>
            </w:r>
            <w:r>
              <w:rPr>
                <w:rFonts w:hint="default" w:ascii="Times New Roman" w:hAnsi="Times New Roman" w:cs="Times New Roman"/>
                <w:color w:val="000000"/>
                <w:sz w:val="24"/>
                <w:szCs w:val="24"/>
                <w:highlight w:val="none"/>
                <w:u w:val="none" w:color="auto"/>
                <w:lang w:eastAsia="zh-CN" w:bidi="ar"/>
              </w:rPr>
              <w:t>祁阳市白竹污水处理厂</w:t>
            </w:r>
            <w:r>
              <w:rPr>
                <w:rFonts w:hint="eastAsia" w:ascii="Times New Roman" w:hAnsi="Times New Roman" w:eastAsia="宋体" w:cs="Times New Roman"/>
                <w:color w:val="auto"/>
                <w:spacing w:val="0"/>
                <w:sz w:val="24"/>
                <w:szCs w:val="24"/>
                <w:u w:val="none"/>
                <w:lang w:eastAsia="zh-CN"/>
              </w:rPr>
              <w:t>，因此无需进行监测。</w:t>
            </w:r>
          </w:p>
          <w:p w14:paraId="4E6AC1ED">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pacing w:val="0"/>
                <w:sz w:val="24"/>
              </w:rPr>
            </w:pPr>
            <w:r>
              <w:rPr>
                <w:rFonts w:hint="default" w:ascii="Times New Roman" w:hAnsi="Times New Roman" w:cs="Times New Roman"/>
                <w:b/>
                <w:bCs/>
                <w:color w:val="auto"/>
                <w:spacing w:val="0"/>
                <w:sz w:val="24"/>
              </w:rPr>
              <w:t>2</w:t>
            </w:r>
            <w:r>
              <w:rPr>
                <w:rFonts w:hint="eastAsia" w:ascii="Times New Roman" w:hAnsi="Times New Roman" w:cs="Times New Roman"/>
                <w:b/>
                <w:bCs/>
                <w:color w:val="auto"/>
                <w:spacing w:val="0"/>
                <w:sz w:val="24"/>
                <w:lang w:val="en-US" w:eastAsia="zh-CN"/>
              </w:rPr>
              <w:t>.4 、</w:t>
            </w:r>
            <w:r>
              <w:rPr>
                <w:rFonts w:hint="default" w:ascii="Times New Roman" w:hAnsi="Times New Roman" w:cs="Times New Roman"/>
                <w:b/>
                <w:bCs/>
                <w:color w:val="auto"/>
                <w:spacing w:val="0"/>
                <w:sz w:val="24"/>
              </w:rPr>
              <w:t>水环境影响分析</w:t>
            </w:r>
          </w:p>
          <w:p w14:paraId="1CFEFF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u w:val="none"/>
                <w:lang w:eastAsia="zh-CN"/>
              </w:rPr>
            </w:pPr>
            <w:r>
              <w:rPr>
                <w:rFonts w:hint="default" w:ascii="Times New Roman" w:hAnsi="Times New Roman" w:eastAsia="宋体" w:cs="Times New Roman"/>
                <w:color w:val="auto"/>
                <w:sz w:val="24"/>
                <w:szCs w:val="24"/>
                <w:u w:val="none"/>
                <w:lang w:val="en-US" w:eastAsia="zh-CN"/>
              </w:rPr>
              <w:t>根据分析可知，</w:t>
            </w:r>
            <w:r>
              <w:rPr>
                <w:rFonts w:hint="default" w:ascii="Times New Roman" w:hAnsi="Times New Roman" w:cs="Times New Roman"/>
                <w:color w:val="auto"/>
                <w:sz w:val="24"/>
                <w:szCs w:val="24"/>
                <w:highlight w:val="none"/>
              </w:rPr>
              <w:t>项目生活污水经化粪池处理后</w:t>
            </w:r>
            <w:r>
              <w:rPr>
                <w:rFonts w:hint="eastAsia" w:ascii="Times New Roman" w:hAnsi="Times New Roman" w:eastAsia="宋体" w:cs="Times New Roman"/>
                <w:color w:val="auto"/>
                <w:spacing w:val="0"/>
                <w:sz w:val="24"/>
                <w:szCs w:val="24"/>
                <w:u w:val="none"/>
                <w:lang w:eastAsia="zh-CN"/>
              </w:rPr>
              <w:t>进入</w:t>
            </w:r>
            <w:r>
              <w:rPr>
                <w:rFonts w:hint="eastAsia" w:cs="Times New Roman"/>
                <w:color w:val="auto"/>
                <w:spacing w:val="0"/>
                <w:sz w:val="24"/>
                <w:szCs w:val="24"/>
                <w:u w:val="none"/>
                <w:lang w:eastAsia="zh-CN"/>
              </w:rPr>
              <w:t>祁阳白竹污水处理厂</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冷却</w:t>
            </w:r>
            <w:r>
              <w:rPr>
                <w:rFonts w:hint="eastAsia" w:ascii="Times New Roman" w:hAnsi="Times New Roman" w:cs="Times New Roman"/>
                <w:color w:val="auto"/>
                <w:sz w:val="24"/>
                <w:szCs w:val="24"/>
                <w:highlight w:val="none"/>
                <w:lang w:val="en-US" w:eastAsia="zh-CN"/>
              </w:rPr>
              <w:t>废水循环使用，不外排</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u w:val="none"/>
                <w:lang w:val="en-US" w:eastAsia="zh-CN"/>
              </w:rPr>
              <w:t>本项目不会对当地地表水环境产生不利影响，地表水影响可接受。</w:t>
            </w:r>
          </w:p>
          <w:p w14:paraId="7B2C568A">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color w:val="auto"/>
                <w:sz w:val="24"/>
                <w:szCs w:val="24"/>
                <w:highlight w:val="none"/>
                <w:u w:val="none"/>
              </w:rPr>
            </w:pPr>
            <w:r>
              <w:rPr>
                <w:rFonts w:hint="default" w:ascii="Times New Roman" w:hAnsi="Times New Roman" w:cs="Times New Roman"/>
                <w:b/>
                <w:color w:val="auto"/>
                <w:sz w:val="24"/>
                <w:szCs w:val="24"/>
                <w:highlight w:val="none"/>
                <w:u w:val="none"/>
              </w:rPr>
              <w:t>3、噪声</w:t>
            </w:r>
          </w:p>
          <w:p w14:paraId="1D661A89">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3.1、噪声源</w:t>
            </w:r>
          </w:p>
          <w:p w14:paraId="7A0C1D70">
            <w:pPr>
              <w:keepNext w:val="0"/>
              <w:keepLines w:val="0"/>
              <w:suppressLineNumbers w:val="0"/>
              <w:spacing w:before="0" w:beforeAutospacing="0" w:after="0" w:afterAutospacing="0" w:line="360" w:lineRule="auto"/>
              <w:ind w:left="0" w:right="0" w:firstLine="480" w:firstLineChars="200"/>
              <w:textAlignment w:val="center"/>
              <w:rPr>
                <w:rFonts w:hint="eastAsia" w:ascii="Times New Roman" w:hAnsi="Times New Roman" w:eastAsia="宋体" w:cs="Times New Roman"/>
                <w:color w:val="auto"/>
                <w:sz w:val="24"/>
                <w:u w:val="none"/>
                <w:lang w:eastAsia="zh-CN"/>
              </w:rPr>
            </w:pPr>
            <w:r>
              <w:rPr>
                <w:rFonts w:hint="default" w:ascii="Times New Roman" w:hAnsi="Times New Roman" w:eastAsia="宋体" w:cs="Times New Roman"/>
                <w:color w:val="auto"/>
                <w:sz w:val="24"/>
                <w:u w:val="none"/>
              </w:rPr>
              <w:t>运营期噪声主要来自设备运行时产生的机械噪声及运输车辆噪声，如</w:t>
            </w:r>
            <w:r>
              <w:rPr>
                <w:rFonts w:hint="eastAsia" w:cs="Times New Roman"/>
                <w:color w:val="auto"/>
                <w:sz w:val="24"/>
                <w:u w:val="none"/>
                <w:lang w:val="en-US" w:eastAsia="zh-CN"/>
              </w:rPr>
              <w:t>印刷</w:t>
            </w:r>
            <w:r>
              <w:rPr>
                <w:rFonts w:hint="default" w:ascii="Times New Roman" w:hAnsi="Times New Roman" w:eastAsia="宋体" w:cs="Times New Roman"/>
                <w:color w:val="auto"/>
                <w:sz w:val="24"/>
                <w:u w:val="none"/>
              </w:rPr>
              <w:t>机、</w:t>
            </w:r>
            <w:r>
              <w:rPr>
                <w:rFonts w:hint="eastAsia" w:cs="Times New Roman"/>
                <w:color w:val="auto"/>
                <w:sz w:val="24"/>
                <w:u w:val="none"/>
                <w:lang w:val="en-US" w:eastAsia="zh-CN"/>
              </w:rPr>
              <w:t>复合</w:t>
            </w:r>
            <w:r>
              <w:rPr>
                <w:rFonts w:hint="default" w:ascii="Times New Roman" w:hAnsi="Times New Roman" w:eastAsia="宋体" w:cs="Times New Roman"/>
                <w:color w:val="auto"/>
                <w:sz w:val="24"/>
                <w:u w:val="none"/>
              </w:rPr>
              <w:t>机、</w:t>
            </w:r>
            <w:r>
              <w:rPr>
                <w:rFonts w:hint="eastAsia" w:cs="Times New Roman"/>
                <w:color w:val="auto"/>
                <w:sz w:val="24"/>
                <w:u w:val="none"/>
                <w:lang w:val="en-US" w:eastAsia="zh-CN"/>
              </w:rPr>
              <w:t>分切</w:t>
            </w:r>
            <w:r>
              <w:rPr>
                <w:rFonts w:hint="eastAsia" w:ascii="Times New Roman" w:hAnsi="Times New Roman" w:eastAsia="宋体" w:cs="Times New Roman"/>
                <w:color w:val="auto"/>
                <w:sz w:val="24"/>
                <w:u w:val="none"/>
                <w:lang w:val="en-US" w:eastAsia="zh-CN"/>
              </w:rPr>
              <w:t>筛</w:t>
            </w:r>
            <w:r>
              <w:rPr>
                <w:rFonts w:hint="eastAsia" w:ascii="Times New Roman" w:hAnsi="Times New Roman" w:eastAsia="宋体" w:cs="Times New Roman"/>
                <w:color w:val="auto"/>
                <w:sz w:val="24"/>
                <w:u w:val="none"/>
                <w:lang w:eastAsia="zh-CN"/>
              </w:rPr>
              <w:t>、</w:t>
            </w:r>
            <w:r>
              <w:rPr>
                <w:rFonts w:hint="eastAsia" w:cs="Times New Roman"/>
                <w:color w:val="auto"/>
                <w:sz w:val="24"/>
                <w:u w:val="none"/>
                <w:lang w:val="en-US" w:eastAsia="zh-CN"/>
              </w:rPr>
              <w:t>倒卷</w:t>
            </w:r>
            <w:r>
              <w:rPr>
                <w:rFonts w:hint="eastAsia" w:ascii="Times New Roman" w:hAnsi="Times New Roman" w:eastAsia="宋体" w:cs="Times New Roman"/>
                <w:color w:val="auto"/>
                <w:sz w:val="24"/>
                <w:u w:val="none"/>
                <w:lang w:eastAsia="zh-CN"/>
              </w:rPr>
              <w:t>机</w:t>
            </w:r>
            <w:r>
              <w:rPr>
                <w:rFonts w:hint="eastAsia" w:cs="Times New Roman"/>
                <w:color w:val="auto"/>
                <w:sz w:val="24"/>
                <w:u w:val="none"/>
                <w:lang w:eastAsia="zh-CN"/>
              </w:rPr>
              <w:t>、</w:t>
            </w:r>
            <w:r>
              <w:rPr>
                <w:rFonts w:hint="eastAsia" w:cs="Times New Roman"/>
                <w:color w:val="auto"/>
                <w:sz w:val="24"/>
                <w:u w:val="none"/>
                <w:lang w:val="en-US" w:eastAsia="zh-CN"/>
              </w:rPr>
              <w:t>制袋机、吹膜机、粉碎机</w:t>
            </w:r>
            <w:r>
              <w:rPr>
                <w:rFonts w:hint="default" w:ascii="Times New Roman" w:hAnsi="Times New Roman" w:eastAsia="宋体" w:cs="Times New Roman"/>
                <w:color w:val="auto"/>
                <w:sz w:val="24"/>
                <w:u w:val="none"/>
              </w:rPr>
              <w:t>等</w:t>
            </w:r>
            <w:r>
              <w:rPr>
                <w:rFonts w:hint="eastAsia" w:ascii="Times New Roman" w:hAnsi="Times New Roman" w:eastAsia="宋体" w:cs="Times New Roman"/>
                <w:color w:val="auto"/>
                <w:sz w:val="24"/>
                <w:u w:val="none"/>
                <w:lang w:eastAsia="zh-CN"/>
              </w:rPr>
              <w:t>，</w:t>
            </w:r>
            <w:r>
              <w:rPr>
                <w:rFonts w:hint="default" w:ascii="Times New Roman" w:hAnsi="Times New Roman" w:eastAsia="宋体" w:cs="Times New Roman"/>
                <w:color w:val="auto"/>
                <w:sz w:val="24"/>
                <w:u w:val="none"/>
              </w:rPr>
              <w:t>噪声级范围在7</w:t>
            </w:r>
            <w:r>
              <w:rPr>
                <w:rFonts w:hint="eastAsia" w:cs="Times New Roman"/>
                <w:color w:val="auto"/>
                <w:sz w:val="24"/>
                <w:u w:val="none"/>
                <w:lang w:val="en-US" w:eastAsia="zh-CN"/>
              </w:rPr>
              <w:t>0</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9</w:t>
            </w:r>
            <w:r>
              <w:rPr>
                <w:rFonts w:hint="eastAsia" w:ascii="Times New Roman" w:hAnsi="Times New Roman" w:eastAsia="宋体" w:cs="Times New Roman"/>
                <w:color w:val="auto"/>
                <w:sz w:val="24"/>
                <w:u w:val="none"/>
                <w:lang w:val="en-US" w:eastAsia="zh-CN"/>
              </w:rPr>
              <w:t>5</w:t>
            </w:r>
            <w:r>
              <w:rPr>
                <w:rFonts w:hint="default" w:ascii="Times New Roman" w:hAnsi="Times New Roman" w:eastAsia="宋体" w:cs="Times New Roman"/>
                <w:color w:val="auto"/>
                <w:sz w:val="24"/>
                <w:u w:val="none"/>
              </w:rPr>
              <w:t>dB（A）之间</w:t>
            </w:r>
            <w:r>
              <w:rPr>
                <w:rFonts w:hint="eastAsia" w:ascii="Times New Roman" w:hAnsi="Times New Roman" w:eastAsia="宋体" w:cs="Times New Roman"/>
                <w:color w:val="auto"/>
                <w:sz w:val="24"/>
                <w:u w:val="none"/>
                <w:lang w:eastAsia="zh-CN"/>
              </w:rPr>
              <w:t>。</w:t>
            </w:r>
          </w:p>
          <w:p w14:paraId="3759AF3F">
            <w:pPr>
              <w:pStyle w:val="10"/>
              <w:suppressLineNumbers w:val="0"/>
              <w:spacing w:beforeAutospacing="0" w:afterAutospacing="0"/>
              <w:ind w:left="0" w:right="0"/>
              <w:rPr>
                <w:rFonts w:hint="default" w:cs="Times New Roman"/>
                <w:b w:val="0"/>
                <w:bCs w:val="0"/>
                <w:u w:val="none"/>
                <w:lang w:val="en-US" w:eastAsia="zh-CN"/>
              </w:rPr>
            </w:pPr>
            <w:r>
              <w:rPr>
                <w:rFonts w:hint="eastAsia" w:eastAsia="宋体" w:cs="Times New Roman"/>
                <w:b w:val="0"/>
                <w:bCs w:val="0"/>
                <w:color w:val="auto"/>
                <w:sz w:val="24"/>
                <w:u w:val="none"/>
                <w:lang w:val="en-US" w:eastAsia="zh-CN"/>
              </w:rPr>
              <w:t>本项目噪声源强调查如下，相同设备噪声源强已叠加表示：</w:t>
            </w:r>
          </w:p>
          <w:p w14:paraId="35E08A21">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b/>
                <w:color w:val="000000"/>
                <w:szCs w:val="21"/>
                <w:u w:val="none"/>
              </w:rPr>
            </w:pPr>
            <w:r>
              <w:rPr>
                <w:rFonts w:hint="default" w:ascii="Times New Roman" w:hAnsi="Times New Roman" w:cs="Times New Roman"/>
                <w:b/>
                <w:color w:val="000000"/>
                <w:szCs w:val="21"/>
                <w:u w:val="none"/>
              </w:rPr>
              <w:t>表</w:t>
            </w:r>
            <w:r>
              <w:rPr>
                <w:rFonts w:hint="eastAsia" w:ascii="Times New Roman" w:hAnsi="Times New Roman" w:cs="Times New Roman"/>
                <w:b/>
                <w:color w:val="000000"/>
                <w:szCs w:val="21"/>
                <w:u w:val="none"/>
              </w:rPr>
              <w:t>4-</w:t>
            </w:r>
            <w:r>
              <w:rPr>
                <w:rFonts w:hint="eastAsia" w:ascii="Times New Roman" w:hAnsi="Times New Roman" w:cs="Times New Roman"/>
                <w:b/>
                <w:color w:val="000000"/>
                <w:szCs w:val="21"/>
                <w:u w:val="none"/>
                <w:lang w:val="en-US" w:eastAsia="zh-CN"/>
              </w:rPr>
              <w:t>1</w:t>
            </w:r>
            <w:r>
              <w:rPr>
                <w:rFonts w:hint="eastAsia" w:cs="Times New Roman"/>
                <w:b/>
                <w:color w:val="000000"/>
                <w:szCs w:val="21"/>
                <w:u w:val="none"/>
                <w:lang w:val="en-US" w:eastAsia="zh-CN"/>
              </w:rPr>
              <w:t>2</w:t>
            </w:r>
            <w:r>
              <w:rPr>
                <w:rFonts w:hint="default" w:ascii="Times New Roman" w:hAnsi="Times New Roman" w:cs="Times New Roman"/>
                <w:b/>
                <w:color w:val="000000"/>
                <w:szCs w:val="21"/>
                <w:u w:val="none"/>
              </w:rPr>
              <w:t xml:space="preserve"> </w:t>
            </w:r>
            <w:r>
              <w:rPr>
                <w:rFonts w:hint="eastAsia" w:ascii="Times New Roman" w:hAnsi="Times New Roman" w:cs="Times New Roman"/>
                <w:b/>
                <w:color w:val="000000"/>
                <w:szCs w:val="21"/>
                <w:u w:val="none"/>
              </w:rPr>
              <w:t xml:space="preserve"> 工业企业噪声源强调查清单（室内声源）</w:t>
            </w:r>
          </w:p>
          <w:tbl>
            <w:tblPr>
              <w:tblStyle w:val="126"/>
              <w:tblW w:w="4945"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99"/>
              <w:gridCol w:w="443"/>
              <w:gridCol w:w="474"/>
              <w:gridCol w:w="1003"/>
              <w:gridCol w:w="445"/>
              <w:gridCol w:w="301"/>
              <w:gridCol w:w="408"/>
              <w:gridCol w:w="257"/>
              <w:gridCol w:w="284"/>
              <w:gridCol w:w="390"/>
              <w:gridCol w:w="1003"/>
              <w:gridCol w:w="616"/>
              <w:gridCol w:w="1003"/>
              <w:gridCol w:w="1003"/>
              <w:gridCol w:w="460"/>
            </w:tblGrid>
            <w:tr w14:paraId="2F89574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3" w:hRule="atLeast"/>
              </w:trPr>
              <w:tc>
                <w:tcPr>
                  <w:tcW w:w="178" w:type="pct"/>
                  <w:vMerge w:val="restart"/>
                  <w:tcBorders>
                    <w:tl2br w:val="nil"/>
                    <w:tr2bl w:val="nil"/>
                  </w:tcBorders>
                  <w:noWrap w:val="0"/>
                  <w:vAlign w:val="center"/>
                </w:tcPr>
                <w:p w14:paraId="57351141">
                  <w:pPr>
                    <w:jc w:val="center"/>
                    <w:rPr>
                      <w:u w:val="none"/>
                    </w:rPr>
                  </w:pPr>
                  <w:r>
                    <w:rPr>
                      <w:u w:val="none"/>
                    </w:rPr>
                    <w:t>序号</w:t>
                  </w:r>
                </w:p>
              </w:tc>
              <w:tc>
                <w:tcPr>
                  <w:tcW w:w="264" w:type="pct"/>
                  <w:vMerge w:val="restart"/>
                  <w:tcBorders>
                    <w:tl2br w:val="nil"/>
                    <w:tr2bl w:val="nil"/>
                  </w:tcBorders>
                  <w:noWrap w:val="0"/>
                  <w:vAlign w:val="center"/>
                </w:tcPr>
                <w:p w14:paraId="12A4BB31">
                  <w:pPr>
                    <w:jc w:val="center"/>
                    <w:rPr>
                      <w:u w:val="none"/>
                    </w:rPr>
                  </w:pPr>
                </w:p>
                <w:p w14:paraId="2B7E1E2A">
                  <w:pPr>
                    <w:jc w:val="center"/>
                    <w:rPr>
                      <w:u w:val="none"/>
                    </w:rPr>
                  </w:pPr>
                  <w:r>
                    <w:rPr>
                      <w:u w:val="none"/>
                    </w:rPr>
                    <w:t>建筑物名 称</w:t>
                  </w:r>
                </w:p>
              </w:tc>
              <w:tc>
                <w:tcPr>
                  <w:tcW w:w="282" w:type="pct"/>
                  <w:vMerge w:val="restart"/>
                  <w:tcBorders>
                    <w:tl2br w:val="nil"/>
                    <w:tr2bl w:val="nil"/>
                  </w:tcBorders>
                  <w:noWrap w:val="0"/>
                  <w:vAlign w:val="center"/>
                </w:tcPr>
                <w:p w14:paraId="05F95582">
                  <w:pPr>
                    <w:jc w:val="center"/>
                    <w:rPr>
                      <w:u w:val="none"/>
                    </w:rPr>
                  </w:pPr>
                </w:p>
                <w:p w14:paraId="72BDCC1F">
                  <w:pPr>
                    <w:jc w:val="center"/>
                    <w:rPr>
                      <w:u w:val="none"/>
                    </w:rPr>
                  </w:pPr>
                </w:p>
                <w:p w14:paraId="150F4F5A">
                  <w:pPr>
                    <w:jc w:val="center"/>
                    <w:rPr>
                      <w:u w:val="none"/>
                    </w:rPr>
                  </w:pPr>
                  <w:r>
                    <w:rPr>
                      <w:u w:val="none"/>
                    </w:rPr>
                    <w:t>声源名称</w:t>
                  </w:r>
                </w:p>
              </w:tc>
              <w:tc>
                <w:tcPr>
                  <w:tcW w:w="597" w:type="pct"/>
                  <w:tcBorders>
                    <w:tl2br w:val="nil"/>
                    <w:tr2bl w:val="nil"/>
                  </w:tcBorders>
                  <w:noWrap w:val="0"/>
                  <w:vAlign w:val="center"/>
                </w:tcPr>
                <w:p w14:paraId="769BE46A">
                  <w:pPr>
                    <w:jc w:val="center"/>
                    <w:rPr>
                      <w:u w:val="none"/>
                    </w:rPr>
                  </w:pPr>
                  <w:r>
                    <w:rPr>
                      <w:u w:val="none"/>
                    </w:rPr>
                    <w:t>声源源强</w:t>
                  </w:r>
                </w:p>
              </w:tc>
              <w:tc>
                <w:tcPr>
                  <w:tcW w:w="265" w:type="pct"/>
                  <w:vMerge w:val="restart"/>
                  <w:tcBorders>
                    <w:tl2br w:val="nil"/>
                    <w:tr2bl w:val="nil"/>
                  </w:tcBorders>
                  <w:noWrap w:val="0"/>
                  <w:vAlign w:val="center"/>
                </w:tcPr>
                <w:p w14:paraId="36C3FABF">
                  <w:pPr>
                    <w:jc w:val="center"/>
                    <w:rPr>
                      <w:u w:val="none"/>
                    </w:rPr>
                  </w:pPr>
                  <w:r>
                    <w:rPr>
                      <w:u w:val="none"/>
                    </w:rPr>
                    <w:t>声源控制措施</w:t>
                  </w:r>
                </w:p>
              </w:tc>
              <w:tc>
                <w:tcPr>
                  <w:tcW w:w="575" w:type="pct"/>
                  <w:gridSpan w:val="3"/>
                  <w:tcBorders>
                    <w:tl2br w:val="nil"/>
                    <w:tr2bl w:val="nil"/>
                  </w:tcBorders>
                  <w:noWrap w:val="0"/>
                  <w:vAlign w:val="center"/>
                </w:tcPr>
                <w:p w14:paraId="745FD4F3">
                  <w:pPr>
                    <w:jc w:val="center"/>
                    <w:rPr>
                      <w:u w:val="none"/>
                    </w:rPr>
                  </w:pPr>
                  <w:r>
                    <w:rPr>
                      <w:u w:val="none"/>
                    </w:rPr>
                    <w:t>空间相对位置/m</w:t>
                  </w:r>
                </w:p>
              </w:tc>
              <w:tc>
                <w:tcPr>
                  <w:tcW w:w="401" w:type="pct"/>
                  <w:gridSpan w:val="2"/>
                  <w:vMerge w:val="restart"/>
                  <w:tcBorders>
                    <w:tl2br w:val="nil"/>
                    <w:tr2bl w:val="nil"/>
                  </w:tcBorders>
                  <w:noWrap w:val="0"/>
                  <w:vAlign w:val="center"/>
                </w:tcPr>
                <w:p w14:paraId="71B1E332">
                  <w:pPr>
                    <w:jc w:val="center"/>
                    <w:rPr>
                      <w:u w:val="none"/>
                    </w:rPr>
                  </w:pPr>
                </w:p>
                <w:p w14:paraId="2BAB4B89">
                  <w:pPr>
                    <w:jc w:val="center"/>
                    <w:rPr>
                      <w:u w:val="none"/>
                    </w:rPr>
                  </w:pPr>
                  <w:r>
                    <w:rPr>
                      <w:u w:val="none"/>
                    </w:rPr>
                    <w:t>距室内边界距离/m</w:t>
                  </w:r>
                </w:p>
              </w:tc>
              <w:tc>
                <w:tcPr>
                  <w:tcW w:w="597" w:type="pct"/>
                  <w:vMerge w:val="restart"/>
                  <w:tcBorders>
                    <w:tl2br w:val="nil"/>
                    <w:tr2bl w:val="nil"/>
                  </w:tcBorders>
                  <w:noWrap w:val="0"/>
                  <w:vAlign w:val="center"/>
                </w:tcPr>
                <w:p w14:paraId="205AEB00">
                  <w:pPr>
                    <w:jc w:val="center"/>
                    <w:rPr>
                      <w:rFonts w:hint="default" w:ascii="Times New Roman" w:hAnsi="Times New Roman" w:cs="Times New Roman"/>
                      <w:sz w:val="21"/>
                      <w:szCs w:val="21"/>
                      <w:u w:val="none"/>
                    </w:rPr>
                  </w:pPr>
                </w:p>
                <w:p w14:paraId="6A2BDBA5">
                  <w:pPr>
                    <w:jc w:val="center"/>
                    <w:rPr>
                      <w:rFonts w:hint="default" w:ascii="Times New Roman" w:hAnsi="Times New Roman" w:cs="Times New Roman"/>
                      <w:sz w:val="21"/>
                      <w:szCs w:val="21"/>
                      <w:u w:val="none"/>
                    </w:rPr>
                  </w:pPr>
                  <w:r>
                    <w:rPr>
                      <w:rFonts w:hint="default" w:ascii="Times New Roman" w:hAnsi="Times New Roman" w:cs="Times New Roman"/>
                      <w:sz w:val="21"/>
                      <w:szCs w:val="21"/>
                      <w:u w:val="none"/>
                    </w:rPr>
                    <w:t>室内边界声级/（dB(A)）</w:t>
                  </w:r>
                </w:p>
              </w:tc>
              <w:tc>
                <w:tcPr>
                  <w:tcW w:w="367" w:type="pct"/>
                  <w:vMerge w:val="restart"/>
                  <w:tcBorders>
                    <w:tl2br w:val="nil"/>
                    <w:tr2bl w:val="nil"/>
                  </w:tcBorders>
                  <w:noWrap w:val="0"/>
                  <w:vAlign w:val="center"/>
                </w:tcPr>
                <w:p w14:paraId="731541FE">
                  <w:pPr>
                    <w:jc w:val="center"/>
                    <w:rPr>
                      <w:u w:val="none"/>
                    </w:rPr>
                  </w:pPr>
                </w:p>
                <w:p w14:paraId="6EF228A5">
                  <w:pPr>
                    <w:jc w:val="center"/>
                    <w:rPr>
                      <w:u w:val="none"/>
                    </w:rPr>
                  </w:pPr>
                </w:p>
                <w:p w14:paraId="6A22EB34">
                  <w:pPr>
                    <w:jc w:val="center"/>
                    <w:rPr>
                      <w:u w:val="none"/>
                    </w:rPr>
                  </w:pPr>
                  <w:r>
                    <w:rPr>
                      <w:u w:val="none"/>
                    </w:rPr>
                    <w:t>运行时段</w:t>
                  </w:r>
                </w:p>
              </w:tc>
              <w:tc>
                <w:tcPr>
                  <w:tcW w:w="597" w:type="pct"/>
                  <w:vMerge w:val="restart"/>
                  <w:tcBorders>
                    <w:tl2br w:val="nil"/>
                    <w:tr2bl w:val="nil"/>
                  </w:tcBorders>
                  <w:noWrap w:val="0"/>
                  <w:vAlign w:val="center"/>
                </w:tcPr>
                <w:p w14:paraId="613AC605">
                  <w:pPr>
                    <w:jc w:val="center"/>
                    <w:rPr>
                      <w:u w:val="none"/>
                    </w:rPr>
                  </w:pPr>
                </w:p>
                <w:p w14:paraId="2833D982">
                  <w:pPr>
                    <w:jc w:val="center"/>
                    <w:rPr>
                      <w:u w:val="none"/>
                    </w:rPr>
                  </w:pPr>
                  <w:r>
                    <w:rPr>
                      <w:u w:val="none"/>
                    </w:rPr>
                    <w:t>建筑物插入损失/（dB(A)）</w:t>
                  </w:r>
                </w:p>
              </w:tc>
              <w:tc>
                <w:tcPr>
                  <w:tcW w:w="871" w:type="pct"/>
                  <w:gridSpan w:val="2"/>
                  <w:tcBorders>
                    <w:tl2br w:val="nil"/>
                    <w:tr2bl w:val="nil"/>
                  </w:tcBorders>
                  <w:noWrap w:val="0"/>
                  <w:vAlign w:val="center"/>
                </w:tcPr>
                <w:p w14:paraId="20C000FA">
                  <w:pPr>
                    <w:jc w:val="center"/>
                    <w:rPr>
                      <w:u w:val="none"/>
                    </w:rPr>
                  </w:pPr>
                  <w:r>
                    <w:rPr>
                      <w:u w:val="none"/>
                    </w:rPr>
                    <w:t>建筑物外噪声</w:t>
                  </w:r>
                </w:p>
              </w:tc>
            </w:tr>
            <w:tr w14:paraId="67E5424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28" w:hRule="atLeast"/>
              </w:trPr>
              <w:tc>
                <w:tcPr>
                  <w:tcW w:w="178" w:type="pct"/>
                  <w:vMerge w:val="continue"/>
                  <w:tcBorders>
                    <w:tl2br w:val="nil"/>
                    <w:tr2bl w:val="nil"/>
                  </w:tcBorders>
                  <w:noWrap w:val="0"/>
                  <w:vAlign w:val="center"/>
                </w:tcPr>
                <w:p w14:paraId="4F8CB955">
                  <w:pPr>
                    <w:jc w:val="center"/>
                    <w:rPr>
                      <w:u w:val="none"/>
                    </w:rPr>
                  </w:pPr>
                </w:p>
              </w:tc>
              <w:tc>
                <w:tcPr>
                  <w:tcW w:w="264" w:type="pct"/>
                  <w:vMerge w:val="continue"/>
                  <w:tcBorders>
                    <w:tl2br w:val="nil"/>
                    <w:tr2bl w:val="nil"/>
                  </w:tcBorders>
                  <w:noWrap w:val="0"/>
                  <w:vAlign w:val="center"/>
                </w:tcPr>
                <w:p w14:paraId="2A35022D">
                  <w:pPr>
                    <w:jc w:val="center"/>
                    <w:rPr>
                      <w:u w:val="none"/>
                    </w:rPr>
                  </w:pPr>
                </w:p>
              </w:tc>
              <w:tc>
                <w:tcPr>
                  <w:tcW w:w="282" w:type="pct"/>
                  <w:vMerge w:val="continue"/>
                  <w:tcBorders>
                    <w:tl2br w:val="nil"/>
                    <w:tr2bl w:val="nil"/>
                  </w:tcBorders>
                  <w:noWrap w:val="0"/>
                  <w:vAlign w:val="center"/>
                </w:tcPr>
                <w:p w14:paraId="52AF7D34">
                  <w:pPr>
                    <w:jc w:val="center"/>
                    <w:rPr>
                      <w:u w:val="none"/>
                    </w:rPr>
                  </w:pPr>
                </w:p>
              </w:tc>
              <w:tc>
                <w:tcPr>
                  <w:tcW w:w="597" w:type="pct"/>
                  <w:tcBorders>
                    <w:tl2br w:val="nil"/>
                    <w:tr2bl w:val="nil"/>
                  </w:tcBorders>
                  <w:noWrap w:val="0"/>
                  <w:vAlign w:val="center"/>
                </w:tcPr>
                <w:p w14:paraId="26197292">
                  <w:pPr>
                    <w:jc w:val="center"/>
                    <w:rPr>
                      <w:u w:val="none"/>
                    </w:rPr>
                  </w:pPr>
                  <w:r>
                    <w:rPr>
                      <w:u w:val="none"/>
                    </w:rPr>
                    <w:t>声压级/距 声源距离 /(dB(A))/m</w:t>
                  </w:r>
                </w:p>
              </w:tc>
              <w:tc>
                <w:tcPr>
                  <w:tcW w:w="265" w:type="pct"/>
                  <w:vMerge w:val="continue"/>
                  <w:tcBorders>
                    <w:tl2br w:val="nil"/>
                    <w:tr2bl w:val="nil"/>
                  </w:tcBorders>
                  <w:noWrap w:val="0"/>
                  <w:vAlign w:val="center"/>
                </w:tcPr>
                <w:p w14:paraId="6873640A">
                  <w:pPr>
                    <w:jc w:val="center"/>
                    <w:rPr>
                      <w:u w:val="none"/>
                    </w:rPr>
                  </w:pPr>
                </w:p>
              </w:tc>
              <w:tc>
                <w:tcPr>
                  <w:tcW w:w="179" w:type="pct"/>
                  <w:tcBorders>
                    <w:tl2br w:val="nil"/>
                    <w:tr2bl w:val="nil"/>
                  </w:tcBorders>
                  <w:noWrap w:val="0"/>
                  <w:vAlign w:val="center"/>
                </w:tcPr>
                <w:p w14:paraId="3C78BF6C">
                  <w:pPr>
                    <w:jc w:val="center"/>
                    <w:rPr>
                      <w:u w:val="none"/>
                    </w:rPr>
                  </w:pPr>
                </w:p>
                <w:p w14:paraId="5F3A84D3">
                  <w:pPr>
                    <w:jc w:val="center"/>
                    <w:rPr>
                      <w:u w:val="none"/>
                    </w:rPr>
                  </w:pPr>
                  <w:r>
                    <w:rPr>
                      <w:u w:val="none"/>
                    </w:rPr>
                    <w:t>X</w:t>
                  </w:r>
                </w:p>
              </w:tc>
              <w:tc>
                <w:tcPr>
                  <w:tcW w:w="243" w:type="pct"/>
                  <w:tcBorders>
                    <w:tl2br w:val="nil"/>
                    <w:tr2bl w:val="nil"/>
                  </w:tcBorders>
                  <w:noWrap w:val="0"/>
                  <w:vAlign w:val="center"/>
                </w:tcPr>
                <w:p w14:paraId="2DFA33A6">
                  <w:pPr>
                    <w:jc w:val="center"/>
                    <w:rPr>
                      <w:u w:val="none"/>
                    </w:rPr>
                  </w:pPr>
                </w:p>
                <w:p w14:paraId="7DA02466">
                  <w:pPr>
                    <w:jc w:val="center"/>
                    <w:rPr>
                      <w:u w:val="none"/>
                    </w:rPr>
                  </w:pPr>
                  <w:r>
                    <w:rPr>
                      <w:u w:val="none"/>
                    </w:rPr>
                    <w:t>Y</w:t>
                  </w:r>
                </w:p>
              </w:tc>
              <w:tc>
                <w:tcPr>
                  <w:tcW w:w="153" w:type="pct"/>
                  <w:tcBorders>
                    <w:tl2br w:val="nil"/>
                    <w:tr2bl w:val="nil"/>
                  </w:tcBorders>
                  <w:noWrap w:val="0"/>
                  <w:vAlign w:val="center"/>
                </w:tcPr>
                <w:p w14:paraId="46780CB1">
                  <w:pPr>
                    <w:jc w:val="center"/>
                    <w:rPr>
                      <w:u w:val="none"/>
                    </w:rPr>
                  </w:pPr>
                </w:p>
                <w:p w14:paraId="1FE48853">
                  <w:pPr>
                    <w:jc w:val="center"/>
                    <w:rPr>
                      <w:u w:val="none"/>
                    </w:rPr>
                  </w:pPr>
                  <w:r>
                    <w:rPr>
                      <w:u w:val="none"/>
                    </w:rPr>
                    <w:t>Z</w:t>
                  </w:r>
                </w:p>
              </w:tc>
              <w:tc>
                <w:tcPr>
                  <w:tcW w:w="401" w:type="pct"/>
                  <w:gridSpan w:val="2"/>
                  <w:vMerge w:val="continue"/>
                  <w:tcBorders>
                    <w:tl2br w:val="nil"/>
                    <w:tr2bl w:val="nil"/>
                  </w:tcBorders>
                  <w:noWrap w:val="0"/>
                  <w:vAlign w:val="center"/>
                </w:tcPr>
                <w:p w14:paraId="5FBB3F62">
                  <w:pPr>
                    <w:jc w:val="center"/>
                    <w:rPr>
                      <w:u w:val="none"/>
                    </w:rPr>
                  </w:pPr>
                </w:p>
              </w:tc>
              <w:tc>
                <w:tcPr>
                  <w:tcW w:w="597" w:type="pct"/>
                  <w:vMerge w:val="continue"/>
                  <w:tcBorders>
                    <w:tl2br w:val="nil"/>
                    <w:tr2bl w:val="nil"/>
                  </w:tcBorders>
                  <w:noWrap w:val="0"/>
                  <w:vAlign w:val="center"/>
                </w:tcPr>
                <w:p w14:paraId="364CCE61">
                  <w:pPr>
                    <w:jc w:val="center"/>
                    <w:rPr>
                      <w:rFonts w:hint="default" w:ascii="Times New Roman" w:hAnsi="Times New Roman" w:cs="Times New Roman"/>
                      <w:sz w:val="21"/>
                      <w:szCs w:val="21"/>
                      <w:u w:val="none"/>
                    </w:rPr>
                  </w:pPr>
                </w:p>
              </w:tc>
              <w:tc>
                <w:tcPr>
                  <w:tcW w:w="367" w:type="pct"/>
                  <w:vMerge w:val="continue"/>
                  <w:tcBorders>
                    <w:tl2br w:val="nil"/>
                    <w:tr2bl w:val="nil"/>
                  </w:tcBorders>
                  <w:noWrap w:val="0"/>
                  <w:vAlign w:val="center"/>
                </w:tcPr>
                <w:p w14:paraId="1B036E5C">
                  <w:pPr>
                    <w:jc w:val="center"/>
                    <w:rPr>
                      <w:u w:val="none"/>
                    </w:rPr>
                  </w:pPr>
                </w:p>
              </w:tc>
              <w:tc>
                <w:tcPr>
                  <w:tcW w:w="597" w:type="pct"/>
                  <w:vMerge w:val="continue"/>
                  <w:tcBorders>
                    <w:tl2br w:val="nil"/>
                    <w:tr2bl w:val="nil"/>
                  </w:tcBorders>
                  <w:noWrap w:val="0"/>
                  <w:vAlign w:val="center"/>
                </w:tcPr>
                <w:p w14:paraId="700D8DC6">
                  <w:pPr>
                    <w:jc w:val="center"/>
                    <w:rPr>
                      <w:u w:val="none"/>
                    </w:rPr>
                  </w:pPr>
                </w:p>
              </w:tc>
              <w:tc>
                <w:tcPr>
                  <w:tcW w:w="597" w:type="pct"/>
                  <w:tcBorders>
                    <w:tl2br w:val="nil"/>
                    <w:tr2bl w:val="nil"/>
                  </w:tcBorders>
                  <w:noWrap w:val="0"/>
                  <w:vAlign w:val="center"/>
                </w:tcPr>
                <w:p w14:paraId="0306B85E">
                  <w:pPr>
                    <w:jc w:val="center"/>
                    <w:rPr>
                      <w:u w:val="none"/>
                    </w:rPr>
                  </w:pPr>
                  <w:r>
                    <w:rPr>
                      <w:u w:val="none"/>
                    </w:rPr>
                    <w:t>声压级/   （dB(A)）</w:t>
                  </w:r>
                </w:p>
              </w:tc>
              <w:tc>
                <w:tcPr>
                  <w:tcW w:w="274" w:type="pct"/>
                  <w:tcBorders>
                    <w:tl2br w:val="nil"/>
                    <w:tr2bl w:val="nil"/>
                  </w:tcBorders>
                  <w:noWrap w:val="0"/>
                  <w:vAlign w:val="center"/>
                </w:tcPr>
                <w:p w14:paraId="50F34D5A">
                  <w:pPr>
                    <w:jc w:val="center"/>
                    <w:rPr>
                      <w:u w:val="none"/>
                    </w:rPr>
                  </w:pPr>
                  <w:r>
                    <w:rPr>
                      <w:u w:val="none"/>
                    </w:rPr>
                    <w:t>建筑物外距离</w:t>
                  </w:r>
                </w:p>
              </w:tc>
            </w:tr>
            <w:tr w14:paraId="66FDB29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restart"/>
                  <w:tcBorders>
                    <w:tl2br w:val="nil"/>
                    <w:tr2bl w:val="nil"/>
                  </w:tcBorders>
                  <w:noWrap w:val="0"/>
                  <w:vAlign w:val="center"/>
                </w:tcPr>
                <w:p w14:paraId="5772F6E5">
                  <w:pPr>
                    <w:jc w:val="center"/>
                    <w:rPr>
                      <w:u w:val="none"/>
                    </w:rPr>
                  </w:pPr>
                  <w:r>
                    <w:rPr>
                      <w:u w:val="none"/>
                    </w:rPr>
                    <w:t>1</w:t>
                  </w:r>
                </w:p>
              </w:tc>
              <w:tc>
                <w:tcPr>
                  <w:tcW w:w="264" w:type="pct"/>
                  <w:vMerge w:val="restart"/>
                  <w:tcBorders>
                    <w:tl2br w:val="nil"/>
                    <w:tr2bl w:val="nil"/>
                  </w:tcBorders>
                  <w:noWrap w:val="0"/>
                  <w:vAlign w:val="center"/>
                </w:tcPr>
                <w:p w14:paraId="3EC95260">
                  <w:pPr>
                    <w:jc w:val="center"/>
                    <w:rPr>
                      <w:rFonts w:hint="default" w:eastAsia="宋体"/>
                      <w:color w:val="auto"/>
                      <w:u w:val="none"/>
                      <w:lang w:val="en-US" w:eastAsia="zh-CN"/>
                    </w:rPr>
                  </w:pPr>
                  <w:r>
                    <w:rPr>
                      <w:rFonts w:hint="eastAsia"/>
                      <w:color w:val="auto"/>
                      <w:u w:val="none"/>
                      <w:lang w:val="en-US" w:eastAsia="zh-CN"/>
                    </w:rPr>
                    <w:t>复合膜生产车间</w:t>
                  </w:r>
                </w:p>
              </w:tc>
              <w:tc>
                <w:tcPr>
                  <w:tcW w:w="282" w:type="pct"/>
                  <w:vMerge w:val="restart"/>
                  <w:tcBorders>
                    <w:tl2br w:val="nil"/>
                    <w:tr2bl w:val="nil"/>
                  </w:tcBorders>
                  <w:noWrap w:val="0"/>
                  <w:vAlign w:val="center"/>
                </w:tcPr>
                <w:p w14:paraId="66CA54A3">
                  <w:pPr>
                    <w:jc w:val="center"/>
                    <w:rPr>
                      <w:rFonts w:hint="default" w:eastAsia="宋体"/>
                      <w:color w:val="auto"/>
                      <w:kern w:val="2"/>
                      <w:sz w:val="21"/>
                      <w:szCs w:val="24"/>
                      <w:u w:val="none"/>
                      <w:lang w:val="en-US" w:eastAsia="zh-CN" w:bidi="ar-SA"/>
                    </w:rPr>
                  </w:pPr>
                  <w:r>
                    <w:rPr>
                      <w:rFonts w:hint="default" w:eastAsia="宋体"/>
                      <w:color w:val="auto"/>
                      <w:kern w:val="2"/>
                      <w:sz w:val="21"/>
                      <w:szCs w:val="24"/>
                      <w:u w:val="none"/>
                      <w:lang w:val="en-US" w:eastAsia="zh-CN" w:bidi="ar-SA"/>
                    </w:rPr>
                    <w:t>机组凹版印刷机</w:t>
                  </w:r>
                </w:p>
              </w:tc>
              <w:tc>
                <w:tcPr>
                  <w:tcW w:w="597" w:type="pct"/>
                  <w:vMerge w:val="restart"/>
                  <w:tcBorders>
                    <w:tl2br w:val="nil"/>
                    <w:tr2bl w:val="nil"/>
                  </w:tcBorders>
                  <w:noWrap w:val="0"/>
                  <w:vAlign w:val="center"/>
                </w:tcPr>
                <w:p w14:paraId="47C162C7">
                  <w:pPr>
                    <w:jc w:val="center"/>
                    <w:rPr>
                      <w:kern w:val="2"/>
                      <w:sz w:val="21"/>
                      <w:szCs w:val="24"/>
                      <w:u w:val="none"/>
                      <w:lang w:val="en-US" w:eastAsia="zh-CN" w:bidi="ar-SA"/>
                    </w:rPr>
                  </w:pPr>
                  <w:r>
                    <w:rPr>
                      <w:rFonts w:hint="eastAsia"/>
                      <w:u w:val="none"/>
                      <w:lang w:val="en-US" w:eastAsia="zh-CN"/>
                    </w:rPr>
                    <w:t>90</w:t>
                  </w:r>
                  <w:r>
                    <w:rPr>
                      <w:u w:val="none"/>
                    </w:rPr>
                    <w:t>/1</w:t>
                  </w:r>
                </w:p>
              </w:tc>
              <w:tc>
                <w:tcPr>
                  <w:tcW w:w="265" w:type="pct"/>
                  <w:vMerge w:val="restart"/>
                  <w:tcBorders>
                    <w:tl2br w:val="nil"/>
                    <w:tr2bl w:val="nil"/>
                  </w:tcBorders>
                  <w:noWrap w:val="0"/>
                  <w:vAlign w:val="center"/>
                </w:tcPr>
                <w:p w14:paraId="5E3E6E47">
                  <w:pPr>
                    <w:jc w:val="center"/>
                    <w:rPr>
                      <w:rFonts w:hint="eastAsia" w:eastAsia="宋体"/>
                      <w:u w:val="none"/>
                      <w:lang w:eastAsia="zh-CN"/>
                    </w:rPr>
                  </w:pPr>
                  <w:r>
                    <w:rPr>
                      <w:u w:val="none"/>
                    </w:rPr>
                    <w:t>墙体隔声</w:t>
                  </w:r>
                  <w:r>
                    <w:rPr>
                      <w:rFonts w:hint="eastAsia"/>
                      <w:u w:val="none"/>
                      <w:lang w:eastAsia="zh-CN"/>
                    </w:rPr>
                    <w:t>，基础减震</w:t>
                  </w:r>
                </w:p>
              </w:tc>
              <w:tc>
                <w:tcPr>
                  <w:tcW w:w="179" w:type="pct"/>
                  <w:vMerge w:val="restart"/>
                  <w:tcBorders>
                    <w:tl2br w:val="nil"/>
                    <w:tr2bl w:val="nil"/>
                  </w:tcBorders>
                  <w:noWrap w:val="0"/>
                  <w:vAlign w:val="center"/>
                </w:tcPr>
                <w:p w14:paraId="47378CBF">
                  <w:pPr>
                    <w:jc w:val="center"/>
                    <w:rPr>
                      <w:rFonts w:hint="default" w:eastAsia="宋体"/>
                      <w:u w:val="none"/>
                      <w:lang w:val="en-US" w:eastAsia="zh-CN"/>
                    </w:rPr>
                  </w:pPr>
                  <w:r>
                    <w:rPr>
                      <w:rFonts w:hint="eastAsia"/>
                      <w:u w:val="none"/>
                      <w:lang w:val="en-US" w:eastAsia="zh-CN"/>
                    </w:rPr>
                    <w:t>12</w:t>
                  </w:r>
                </w:p>
              </w:tc>
              <w:tc>
                <w:tcPr>
                  <w:tcW w:w="243" w:type="pct"/>
                  <w:vMerge w:val="restart"/>
                  <w:tcBorders>
                    <w:tl2br w:val="nil"/>
                    <w:tr2bl w:val="nil"/>
                  </w:tcBorders>
                  <w:noWrap w:val="0"/>
                  <w:vAlign w:val="center"/>
                </w:tcPr>
                <w:p w14:paraId="2F414455">
                  <w:pPr>
                    <w:jc w:val="center"/>
                    <w:rPr>
                      <w:rFonts w:hint="default" w:eastAsia="宋体"/>
                      <w:u w:val="none"/>
                      <w:lang w:val="en-US" w:eastAsia="zh-CN"/>
                    </w:rPr>
                  </w:pPr>
                  <w:r>
                    <w:rPr>
                      <w:rFonts w:hint="eastAsia"/>
                      <w:u w:val="none"/>
                      <w:lang w:val="en-US" w:eastAsia="zh-CN"/>
                    </w:rPr>
                    <w:t>28</w:t>
                  </w:r>
                </w:p>
              </w:tc>
              <w:tc>
                <w:tcPr>
                  <w:tcW w:w="153" w:type="pct"/>
                  <w:vMerge w:val="restart"/>
                  <w:tcBorders>
                    <w:tl2br w:val="nil"/>
                    <w:tr2bl w:val="nil"/>
                  </w:tcBorders>
                  <w:noWrap w:val="0"/>
                  <w:vAlign w:val="center"/>
                </w:tcPr>
                <w:p w14:paraId="77D60CF0">
                  <w:pPr>
                    <w:jc w:val="center"/>
                    <w:rPr>
                      <w:rFonts w:hint="default"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06C2B601">
                  <w:pPr>
                    <w:jc w:val="center"/>
                    <w:rPr>
                      <w:u w:val="none"/>
                    </w:rPr>
                  </w:pPr>
                  <w:r>
                    <w:rPr>
                      <w:u w:val="none"/>
                    </w:rPr>
                    <w:t>东</w:t>
                  </w:r>
                </w:p>
              </w:tc>
              <w:tc>
                <w:tcPr>
                  <w:tcW w:w="232" w:type="pct"/>
                  <w:tcBorders>
                    <w:tl2br w:val="nil"/>
                    <w:tr2bl w:val="nil"/>
                  </w:tcBorders>
                  <w:noWrap w:val="0"/>
                  <w:vAlign w:val="center"/>
                </w:tcPr>
                <w:p w14:paraId="219FBF87">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29</w:t>
                  </w:r>
                </w:p>
              </w:tc>
              <w:tc>
                <w:tcPr>
                  <w:tcW w:w="1003" w:type="dxa"/>
                  <w:tcBorders>
                    <w:tl2br w:val="nil"/>
                    <w:tr2bl w:val="nil"/>
                  </w:tcBorders>
                  <w:noWrap w:val="0"/>
                  <w:vAlign w:val="center"/>
                </w:tcPr>
                <w:p w14:paraId="3E5708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60.8 </w:t>
                  </w:r>
                </w:p>
              </w:tc>
              <w:tc>
                <w:tcPr>
                  <w:tcW w:w="367" w:type="pct"/>
                  <w:vMerge w:val="restart"/>
                  <w:tcBorders>
                    <w:tl2br w:val="nil"/>
                    <w:tr2bl w:val="nil"/>
                  </w:tcBorders>
                  <w:noWrap w:val="0"/>
                  <w:vAlign w:val="center"/>
                </w:tcPr>
                <w:p w14:paraId="03EB6C16">
                  <w:pPr>
                    <w:jc w:val="center"/>
                    <w:rPr>
                      <w:rFonts w:hint="default" w:eastAsia="宋体"/>
                      <w:u w:val="none"/>
                      <w:lang w:val="en-US" w:eastAsia="zh-CN"/>
                    </w:rPr>
                  </w:pPr>
                  <w:r>
                    <w:rPr>
                      <w:rFonts w:hint="eastAsia"/>
                      <w:u w:val="none"/>
                      <w:lang w:val="en-US" w:eastAsia="zh-CN"/>
                    </w:rPr>
                    <w:t>8h</w:t>
                  </w:r>
                </w:p>
              </w:tc>
              <w:tc>
                <w:tcPr>
                  <w:tcW w:w="597" w:type="pct"/>
                  <w:tcBorders>
                    <w:tl2br w:val="nil"/>
                    <w:tr2bl w:val="nil"/>
                  </w:tcBorders>
                  <w:noWrap w:val="0"/>
                  <w:vAlign w:val="center"/>
                </w:tcPr>
                <w:p w14:paraId="06CF5563">
                  <w:pPr>
                    <w:keepNext w:val="0"/>
                    <w:keepLines w:val="0"/>
                    <w:widowControl/>
                    <w:suppressLineNumbers w:val="0"/>
                    <w:jc w:val="center"/>
                    <w:textAlignment w:val="center"/>
                    <w:rPr>
                      <w:rFonts w:hint="default" w:eastAsia="宋体"/>
                      <w:u w:val="none"/>
                      <w:lang w:val="en-US" w:eastAsia="zh-CN"/>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D303FB1">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45.8 </w:t>
                  </w:r>
                </w:p>
              </w:tc>
              <w:tc>
                <w:tcPr>
                  <w:tcW w:w="274" w:type="pct"/>
                  <w:tcBorders>
                    <w:tl2br w:val="nil"/>
                    <w:tr2bl w:val="nil"/>
                  </w:tcBorders>
                  <w:noWrap w:val="0"/>
                  <w:vAlign w:val="center"/>
                </w:tcPr>
                <w:p w14:paraId="0D922E14">
                  <w:pPr>
                    <w:jc w:val="center"/>
                    <w:rPr>
                      <w:u w:val="none"/>
                    </w:rPr>
                  </w:pPr>
                  <w:r>
                    <w:rPr>
                      <w:u w:val="none"/>
                    </w:rPr>
                    <w:t>1m</w:t>
                  </w:r>
                </w:p>
              </w:tc>
            </w:tr>
            <w:tr w14:paraId="3870F42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continue"/>
                  <w:tcBorders>
                    <w:tl2br w:val="nil"/>
                    <w:tr2bl w:val="nil"/>
                  </w:tcBorders>
                  <w:noWrap w:val="0"/>
                  <w:vAlign w:val="center"/>
                </w:tcPr>
                <w:p w14:paraId="45D64D20">
                  <w:pPr>
                    <w:jc w:val="center"/>
                    <w:rPr>
                      <w:u w:val="none"/>
                    </w:rPr>
                  </w:pPr>
                </w:p>
              </w:tc>
              <w:tc>
                <w:tcPr>
                  <w:tcW w:w="264" w:type="pct"/>
                  <w:vMerge w:val="continue"/>
                  <w:tcBorders>
                    <w:tl2br w:val="nil"/>
                    <w:tr2bl w:val="nil"/>
                  </w:tcBorders>
                  <w:noWrap w:val="0"/>
                  <w:vAlign w:val="center"/>
                </w:tcPr>
                <w:p w14:paraId="29255E61">
                  <w:pPr>
                    <w:jc w:val="center"/>
                    <w:rPr>
                      <w:u w:val="none"/>
                    </w:rPr>
                  </w:pPr>
                </w:p>
              </w:tc>
              <w:tc>
                <w:tcPr>
                  <w:tcW w:w="282" w:type="pct"/>
                  <w:vMerge w:val="continue"/>
                  <w:tcBorders>
                    <w:tl2br w:val="nil"/>
                    <w:tr2bl w:val="nil"/>
                  </w:tcBorders>
                  <w:noWrap w:val="0"/>
                  <w:vAlign w:val="center"/>
                </w:tcPr>
                <w:p w14:paraId="234EADF2">
                  <w:pPr>
                    <w:jc w:val="center"/>
                    <w:rPr>
                      <w:u w:val="none"/>
                    </w:rPr>
                  </w:pPr>
                </w:p>
              </w:tc>
              <w:tc>
                <w:tcPr>
                  <w:tcW w:w="597" w:type="pct"/>
                  <w:vMerge w:val="continue"/>
                  <w:tcBorders>
                    <w:tl2br w:val="nil"/>
                    <w:tr2bl w:val="nil"/>
                  </w:tcBorders>
                  <w:noWrap w:val="0"/>
                  <w:vAlign w:val="center"/>
                </w:tcPr>
                <w:p w14:paraId="571F39AA">
                  <w:pPr>
                    <w:jc w:val="center"/>
                    <w:rPr>
                      <w:u w:val="none"/>
                    </w:rPr>
                  </w:pPr>
                </w:p>
              </w:tc>
              <w:tc>
                <w:tcPr>
                  <w:tcW w:w="265" w:type="pct"/>
                  <w:vMerge w:val="continue"/>
                  <w:tcBorders>
                    <w:tl2br w:val="nil"/>
                    <w:tr2bl w:val="nil"/>
                  </w:tcBorders>
                  <w:noWrap w:val="0"/>
                  <w:vAlign w:val="center"/>
                </w:tcPr>
                <w:p w14:paraId="6A284A7F">
                  <w:pPr>
                    <w:jc w:val="center"/>
                    <w:rPr>
                      <w:u w:val="none"/>
                    </w:rPr>
                  </w:pPr>
                </w:p>
              </w:tc>
              <w:tc>
                <w:tcPr>
                  <w:tcW w:w="179" w:type="pct"/>
                  <w:vMerge w:val="continue"/>
                  <w:tcBorders>
                    <w:tl2br w:val="nil"/>
                    <w:tr2bl w:val="nil"/>
                  </w:tcBorders>
                  <w:noWrap w:val="0"/>
                  <w:vAlign w:val="center"/>
                </w:tcPr>
                <w:p w14:paraId="649C5D27">
                  <w:pPr>
                    <w:jc w:val="center"/>
                    <w:rPr>
                      <w:u w:val="none"/>
                    </w:rPr>
                  </w:pPr>
                </w:p>
              </w:tc>
              <w:tc>
                <w:tcPr>
                  <w:tcW w:w="243" w:type="pct"/>
                  <w:vMerge w:val="continue"/>
                  <w:tcBorders>
                    <w:tl2br w:val="nil"/>
                    <w:tr2bl w:val="nil"/>
                  </w:tcBorders>
                  <w:noWrap w:val="0"/>
                  <w:vAlign w:val="center"/>
                </w:tcPr>
                <w:p w14:paraId="2FFA3A18">
                  <w:pPr>
                    <w:jc w:val="center"/>
                    <w:rPr>
                      <w:u w:val="none"/>
                    </w:rPr>
                  </w:pPr>
                </w:p>
              </w:tc>
              <w:tc>
                <w:tcPr>
                  <w:tcW w:w="153" w:type="pct"/>
                  <w:vMerge w:val="continue"/>
                  <w:tcBorders>
                    <w:tl2br w:val="nil"/>
                    <w:tr2bl w:val="nil"/>
                  </w:tcBorders>
                  <w:noWrap w:val="0"/>
                  <w:vAlign w:val="center"/>
                </w:tcPr>
                <w:p w14:paraId="7756EE90">
                  <w:pPr>
                    <w:jc w:val="center"/>
                    <w:rPr>
                      <w:u w:val="none"/>
                    </w:rPr>
                  </w:pPr>
                </w:p>
              </w:tc>
              <w:tc>
                <w:tcPr>
                  <w:tcW w:w="169" w:type="pct"/>
                  <w:tcBorders>
                    <w:tl2br w:val="nil"/>
                    <w:tr2bl w:val="nil"/>
                  </w:tcBorders>
                  <w:noWrap w:val="0"/>
                  <w:vAlign w:val="center"/>
                </w:tcPr>
                <w:p w14:paraId="76E4BF01">
                  <w:pPr>
                    <w:jc w:val="center"/>
                    <w:rPr>
                      <w:u w:val="none"/>
                    </w:rPr>
                  </w:pPr>
                  <w:r>
                    <w:rPr>
                      <w:u w:val="none"/>
                    </w:rPr>
                    <w:t>南</w:t>
                  </w:r>
                </w:p>
              </w:tc>
              <w:tc>
                <w:tcPr>
                  <w:tcW w:w="232" w:type="pct"/>
                  <w:tcBorders>
                    <w:tl2br w:val="nil"/>
                    <w:tr2bl w:val="nil"/>
                  </w:tcBorders>
                  <w:noWrap w:val="0"/>
                  <w:vAlign w:val="center"/>
                </w:tcPr>
                <w:p w14:paraId="45C40AB8">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67</w:t>
                  </w:r>
                </w:p>
              </w:tc>
              <w:tc>
                <w:tcPr>
                  <w:tcW w:w="1003" w:type="dxa"/>
                  <w:tcBorders>
                    <w:tl2br w:val="nil"/>
                    <w:tr2bl w:val="nil"/>
                  </w:tcBorders>
                  <w:noWrap w:val="0"/>
                  <w:vAlign w:val="center"/>
                </w:tcPr>
                <w:p w14:paraId="21E2F5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53.5 </w:t>
                  </w:r>
                </w:p>
              </w:tc>
              <w:tc>
                <w:tcPr>
                  <w:tcW w:w="367" w:type="pct"/>
                  <w:vMerge w:val="continue"/>
                  <w:tcBorders>
                    <w:tl2br w:val="nil"/>
                    <w:tr2bl w:val="nil"/>
                  </w:tcBorders>
                  <w:noWrap w:val="0"/>
                  <w:vAlign w:val="center"/>
                </w:tcPr>
                <w:p w14:paraId="3E55E5A3">
                  <w:pPr>
                    <w:jc w:val="center"/>
                    <w:rPr>
                      <w:u w:val="none"/>
                    </w:rPr>
                  </w:pPr>
                </w:p>
              </w:tc>
              <w:tc>
                <w:tcPr>
                  <w:tcW w:w="597" w:type="pct"/>
                  <w:tcBorders>
                    <w:tl2br w:val="nil"/>
                    <w:tr2bl w:val="nil"/>
                  </w:tcBorders>
                  <w:noWrap w:val="0"/>
                  <w:vAlign w:val="center"/>
                </w:tcPr>
                <w:p w14:paraId="7B876AC6">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719B1A0A">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38.5 </w:t>
                  </w:r>
                </w:p>
              </w:tc>
              <w:tc>
                <w:tcPr>
                  <w:tcW w:w="274" w:type="pct"/>
                  <w:tcBorders>
                    <w:tl2br w:val="nil"/>
                    <w:tr2bl w:val="nil"/>
                  </w:tcBorders>
                  <w:noWrap w:val="0"/>
                  <w:vAlign w:val="center"/>
                </w:tcPr>
                <w:p w14:paraId="701E952A">
                  <w:pPr>
                    <w:jc w:val="center"/>
                    <w:rPr>
                      <w:u w:val="none"/>
                    </w:rPr>
                  </w:pPr>
                  <w:r>
                    <w:rPr>
                      <w:u w:val="none"/>
                    </w:rPr>
                    <w:t>1m</w:t>
                  </w:r>
                </w:p>
              </w:tc>
            </w:tr>
            <w:tr w14:paraId="19287A4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continue"/>
                  <w:tcBorders>
                    <w:tl2br w:val="nil"/>
                    <w:tr2bl w:val="nil"/>
                  </w:tcBorders>
                  <w:noWrap w:val="0"/>
                  <w:vAlign w:val="center"/>
                </w:tcPr>
                <w:p w14:paraId="2858D0E2">
                  <w:pPr>
                    <w:jc w:val="center"/>
                    <w:rPr>
                      <w:u w:val="none"/>
                    </w:rPr>
                  </w:pPr>
                </w:p>
              </w:tc>
              <w:tc>
                <w:tcPr>
                  <w:tcW w:w="264" w:type="pct"/>
                  <w:vMerge w:val="continue"/>
                  <w:tcBorders>
                    <w:tl2br w:val="nil"/>
                    <w:tr2bl w:val="nil"/>
                  </w:tcBorders>
                  <w:noWrap w:val="0"/>
                  <w:vAlign w:val="center"/>
                </w:tcPr>
                <w:p w14:paraId="1D2F6ADA">
                  <w:pPr>
                    <w:jc w:val="center"/>
                    <w:rPr>
                      <w:u w:val="none"/>
                    </w:rPr>
                  </w:pPr>
                </w:p>
              </w:tc>
              <w:tc>
                <w:tcPr>
                  <w:tcW w:w="282" w:type="pct"/>
                  <w:vMerge w:val="continue"/>
                  <w:tcBorders>
                    <w:tl2br w:val="nil"/>
                    <w:tr2bl w:val="nil"/>
                  </w:tcBorders>
                  <w:noWrap w:val="0"/>
                  <w:vAlign w:val="center"/>
                </w:tcPr>
                <w:p w14:paraId="7CC1750A">
                  <w:pPr>
                    <w:jc w:val="center"/>
                    <w:rPr>
                      <w:u w:val="none"/>
                    </w:rPr>
                  </w:pPr>
                </w:p>
              </w:tc>
              <w:tc>
                <w:tcPr>
                  <w:tcW w:w="597" w:type="pct"/>
                  <w:vMerge w:val="continue"/>
                  <w:tcBorders>
                    <w:tl2br w:val="nil"/>
                    <w:tr2bl w:val="nil"/>
                  </w:tcBorders>
                  <w:noWrap w:val="0"/>
                  <w:vAlign w:val="center"/>
                </w:tcPr>
                <w:p w14:paraId="58FBDF4B">
                  <w:pPr>
                    <w:jc w:val="center"/>
                    <w:rPr>
                      <w:u w:val="none"/>
                    </w:rPr>
                  </w:pPr>
                </w:p>
              </w:tc>
              <w:tc>
                <w:tcPr>
                  <w:tcW w:w="265" w:type="pct"/>
                  <w:vMerge w:val="continue"/>
                  <w:tcBorders>
                    <w:tl2br w:val="nil"/>
                    <w:tr2bl w:val="nil"/>
                  </w:tcBorders>
                  <w:noWrap w:val="0"/>
                  <w:vAlign w:val="center"/>
                </w:tcPr>
                <w:p w14:paraId="58953D56">
                  <w:pPr>
                    <w:jc w:val="center"/>
                    <w:rPr>
                      <w:u w:val="none"/>
                    </w:rPr>
                  </w:pPr>
                </w:p>
              </w:tc>
              <w:tc>
                <w:tcPr>
                  <w:tcW w:w="179" w:type="pct"/>
                  <w:vMerge w:val="continue"/>
                  <w:tcBorders>
                    <w:tl2br w:val="nil"/>
                    <w:tr2bl w:val="nil"/>
                  </w:tcBorders>
                  <w:noWrap w:val="0"/>
                  <w:vAlign w:val="center"/>
                </w:tcPr>
                <w:p w14:paraId="6E3B7F49">
                  <w:pPr>
                    <w:jc w:val="center"/>
                    <w:rPr>
                      <w:u w:val="none"/>
                    </w:rPr>
                  </w:pPr>
                </w:p>
              </w:tc>
              <w:tc>
                <w:tcPr>
                  <w:tcW w:w="243" w:type="pct"/>
                  <w:vMerge w:val="continue"/>
                  <w:tcBorders>
                    <w:tl2br w:val="nil"/>
                    <w:tr2bl w:val="nil"/>
                  </w:tcBorders>
                  <w:noWrap w:val="0"/>
                  <w:vAlign w:val="center"/>
                </w:tcPr>
                <w:p w14:paraId="2CDB3624">
                  <w:pPr>
                    <w:jc w:val="center"/>
                    <w:rPr>
                      <w:u w:val="none"/>
                    </w:rPr>
                  </w:pPr>
                </w:p>
              </w:tc>
              <w:tc>
                <w:tcPr>
                  <w:tcW w:w="153" w:type="pct"/>
                  <w:vMerge w:val="continue"/>
                  <w:tcBorders>
                    <w:tl2br w:val="nil"/>
                    <w:tr2bl w:val="nil"/>
                  </w:tcBorders>
                  <w:noWrap w:val="0"/>
                  <w:vAlign w:val="center"/>
                </w:tcPr>
                <w:p w14:paraId="7B654281">
                  <w:pPr>
                    <w:jc w:val="center"/>
                    <w:rPr>
                      <w:u w:val="none"/>
                    </w:rPr>
                  </w:pPr>
                </w:p>
              </w:tc>
              <w:tc>
                <w:tcPr>
                  <w:tcW w:w="169" w:type="pct"/>
                  <w:tcBorders>
                    <w:tl2br w:val="nil"/>
                    <w:tr2bl w:val="nil"/>
                  </w:tcBorders>
                  <w:noWrap w:val="0"/>
                  <w:vAlign w:val="center"/>
                </w:tcPr>
                <w:p w14:paraId="01917859">
                  <w:pPr>
                    <w:jc w:val="center"/>
                    <w:rPr>
                      <w:u w:val="none"/>
                    </w:rPr>
                  </w:pPr>
                  <w:r>
                    <w:rPr>
                      <w:u w:val="none"/>
                    </w:rPr>
                    <w:t>西</w:t>
                  </w:r>
                </w:p>
              </w:tc>
              <w:tc>
                <w:tcPr>
                  <w:tcW w:w="232" w:type="pct"/>
                  <w:tcBorders>
                    <w:tl2br w:val="nil"/>
                    <w:tr2bl w:val="nil"/>
                  </w:tcBorders>
                  <w:noWrap w:val="0"/>
                  <w:vAlign w:val="center"/>
                </w:tcPr>
                <w:p w14:paraId="1B99B4CA">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53</w:t>
                  </w:r>
                </w:p>
              </w:tc>
              <w:tc>
                <w:tcPr>
                  <w:tcW w:w="1003" w:type="dxa"/>
                  <w:tcBorders>
                    <w:tl2br w:val="nil"/>
                    <w:tr2bl w:val="nil"/>
                  </w:tcBorders>
                  <w:noWrap w:val="0"/>
                  <w:vAlign w:val="center"/>
                </w:tcPr>
                <w:p w14:paraId="5E2964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55.5 </w:t>
                  </w:r>
                </w:p>
              </w:tc>
              <w:tc>
                <w:tcPr>
                  <w:tcW w:w="367" w:type="pct"/>
                  <w:vMerge w:val="continue"/>
                  <w:tcBorders>
                    <w:tl2br w:val="nil"/>
                    <w:tr2bl w:val="nil"/>
                  </w:tcBorders>
                  <w:noWrap w:val="0"/>
                  <w:vAlign w:val="center"/>
                </w:tcPr>
                <w:p w14:paraId="6E0D185C">
                  <w:pPr>
                    <w:jc w:val="center"/>
                    <w:rPr>
                      <w:u w:val="none"/>
                    </w:rPr>
                  </w:pPr>
                </w:p>
              </w:tc>
              <w:tc>
                <w:tcPr>
                  <w:tcW w:w="597" w:type="pct"/>
                  <w:tcBorders>
                    <w:tl2br w:val="nil"/>
                    <w:tr2bl w:val="nil"/>
                  </w:tcBorders>
                  <w:noWrap w:val="0"/>
                  <w:vAlign w:val="center"/>
                </w:tcPr>
                <w:p w14:paraId="4F61F047">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36628DEB">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40.5 </w:t>
                  </w:r>
                </w:p>
              </w:tc>
              <w:tc>
                <w:tcPr>
                  <w:tcW w:w="274" w:type="pct"/>
                  <w:tcBorders>
                    <w:tl2br w:val="nil"/>
                    <w:tr2bl w:val="nil"/>
                  </w:tcBorders>
                  <w:noWrap w:val="0"/>
                  <w:vAlign w:val="center"/>
                </w:tcPr>
                <w:p w14:paraId="1E64E2C6">
                  <w:pPr>
                    <w:jc w:val="center"/>
                    <w:rPr>
                      <w:u w:val="none"/>
                    </w:rPr>
                  </w:pPr>
                  <w:r>
                    <w:rPr>
                      <w:u w:val="none"/>
                    </w:rPr>
                    <w:t>1m</w:t>
                  </w:r>
                </w:p>
              </w:tc>
            </w:tr>
            <w:tr w14:paraId="5C9C241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8" w:type="pct"/>
                  <w:vMerge w:val="continue"/>
                  <w:tcBorders>
                    <w:tl2br w:val="nil"/>
                    <w:tr2bl w:val="nil"/>
                  </w:tcBorders>
                  <w:noWrap w:val="0"/>
                  <w:vAlign w:val="center"/>
                </w:tcPr>
                <w:p w14:paraId="008704BF">
                  <w:pPr>
                    <w:jc w:val="center"/>
                    <w:rPr>
                      <w:u w:val="none"/>
                    </w:rPr>
                  </w:pPr>
                </w:p>
              </w:tc>
              <w:tc>
                <w:tcPr>
                  <w:tcW w:w="264" w:type="pct"/>
                  <w:vMerge w:val="continue"/>
                  <w:tcBorders>
                    <w:tl2br w:val="nil"/>
                    <w:tr2bl w:val="nil"/>
                  </w:tcBorders>
                  <w:noWrap w:val="0"/>
                  <w:vAlign w:val="center"/>
                </w:tcPr>
                <w:p w14:paraId="7836B99D">
                  <w:pPr>
                    <w:jc w:val="center"/>
                    <w:rPr>
                      <w:u w:val="none"/>
                    </w:rPr>
                  </w:pPr>
                </w:p>
              </w:tc>
              <w:tc>
                <w:tcPr>
                  <w:tcW w:w="282" w:type="pct"/>
                  <w:vMerge w:val="continue"/>
                  <w:tcBorders>
                    <w:tl2br w:val="nil"/>
                    <w:tr2bl w:val="nil"/>
                  </w:tcBorders>
                  <w:noWrap w:val="0"/>
                  <w:vAlign w:val="center"/>
                </w:tcPr>
                <w:p w14:paraId="22497175">
                  <w:pPr>
                    <w:jc w:val="center"/>
                    <w:rPr>
                      <w:u w:val="none"/>
                    </w:rPr>
                  </w:pPr>
                </w:p>
              </w:tc>
              <w:tc>
                <w:tcPr>
                  <w:tcW w:w="597" w:type="pct"/>
                  <w:vMerge w:val="continue"/>
                  <w:tcBorders>
                    <w:tl2br w:val="nil"/>
                    <w:tr2bl w:val="nil"/>
                  </w:tcBorders>
                  <w:noWrap w:val="0"/>
                  <w:vAlign w:val="center"/>
                </w:tcPr>
                <w:p w14:paraId="5F6373F4">
                  <w:pPr>
                    <w:jc w:val="center"/>
                    <w:rPr>
                      <w:u w:val="none"/>
                    </w:rPr>
                  </w:pPr>
                </w:p>
              </w:tc>
              <w:tc>
                <w:tcPr>
                  <w:tcW w:w="265" w:type="pct"/>
                  <w:vMerge w:val="continue"/>
                  <w:tcBorders>
                    <w:tl2br w:val="nil"/>
                    <w:tr2bl w:val="nil"/>
                  </w:tcBorders>
                  <w:noWrap w:val="0"/>
                  <w:vAlign w:val="center"/>
                </w:tcPr>
                <w:p w14:paraId="7B5C4B7E">
                  <w:pPr>
                    <w:jc w:val="center"/>
                    <w:rPr>
                      <w:u w:val="none"/>
                    </w:rPr>
                  </w:pPr>
                </w:p>
              </w:tc>
              <w:tc>
                <w:tcPr>
                  <w:tcW w:w="179" w:type="pct"/>
                  <w:vMerge w:val="continue"/>
                  <w:tcBorders>
                    <w:tl2br w:val="nil"/>
                    <w:tr2bl w:val="nil"/>
                  </w:tcBorders>
                  <w:noWrap w:val="0"/>
                  <w:vAlign w:val="center"/>
                </w:tcPr>
                <w:p w14:paraId="7C28AF2F">
                  <w:pPr>
                    <w:jc w:val="center"/>
                    <w:rPr>
                      <w:u w:val="none"/>
                    </w:rPr>
                  </w:pPr>
                </w:p>
              </w:tc>
              <w:tc>
                <w:tcPr>
                  <w:tcW w:w="243" w:type="pct"/>
                  <w:vMerge w:val="continue"/>
                  <w:tcBorders>
                    <w:tl2br w:val="nil"/>
                    <w:tr2bl w:val="nil"/>
                  </w:tcBorders>
                  <w:noWrap w:val="0"/>
                  <w:vAlign w:val="center"/>
                </w:tcPr>
                <w:p w14:paraId="0C9FA0FC">
                  <w:pPr>
                    <w:jc w:val="center"/>
                    <w:rPr>
                      <w:u w:val="none"/>
                    </w:rPr>
                  </w:pPr>
                </w:p>
              </w:tc>
              <w:tc>
                <w:tcPr>
                  <w:tcW w:w="153" w:type="pct"/>
                  <w:vMerge w:val="continue"/>
                  <w:tcBorders>
                    <w:tl2br w:val="nil"/>
                    <w:tr2bl w:val="nil"/>
                  </w:tcBorders>
                  <w:noWrap w:val="0"/>
                  <w:vAlign w:val="center"/>
                </w:tcPr>
                <w:p w14:paraId="22513DAE">
                  <w:pPr>
                    <w:jc w:val="center"/>
                    <w:rPr>
                      <w:u w:val="none"/>
                    </w:rPr>
                  </w:pPr>
                </w:p>
              </w:tc>
              <w:tc>
                <w:tcPr>
                  <w:tcW w:w="169" w:type="pct"/>
                  <w:tcBorders>
                    <w:tl2br w:val="nil"/>
                    <w:tr2bl w:val="nil"/>
                  </w:tcBorders>
                  <w:noWrap w:val="0"/>
                  <w:vAlign w:val="center"/>
                </w:tcPr>
                <w:p w14:paraId="79A15D35">
                  <w:pPr>
                    <w:jc w:val="center"/>
                    <w:rPr>
                      <w:u w:val="none"/>
                    </w:rPr>
                  </w:pPr>
                  <w:r>
                    <w:rPr>
                      <w:u w:val="none"/>
                    </w:rPr>
                    <w:t>北</w:t>
                  </w:r>
                </w:p>
              </w:tc>
              <w:tc>
                <w:tcPr>
                  <w:tcW w:w="232" w:type="pct"/>
                  <w:tcBorders>
                    <w:tl2br w:val="nil"/>
                    <w:tr2bl w:val="nil"/>
                  </w:tcBorders>
                  <w:noWrap w:val="0"/>
                  <w:vAlign w:val="center"/>
                </w:tcPr>
                <w:p w14:paraId="342A3A6F">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11</w:t>
                  </w:r>
                </w:p>
              </w:tc>
              <w:tc>
                <w:tcPr>
                  <w:tcW w:w="1003" w:type="dxa"/>
                  <w:tcBorders>
                    <w:tl2br w:val="nil"/>
                    <w:tr2bl w:val="nil"/>
                  </w:tcBorders>
                  <w:noWrap w:val="0"/>
                  <w:vAlign w:val="center"/>
                </w:tcPr>
                <w:p w14:paraId="20291A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69.2 </w:t>
                  </w:r>
                </w:p>
              </w:tc>
              <w:tc>
                <w:tcPr>
                  <w:tcW w:w="367" w:type="pct"/>
                  <w:vMerge w:val="continue"/>
                  <w:tcBorders>
                    <w:tl2br w:val="nil"/>
                    <w:tr2bl w:val="nil"/>
                  </w:tcBorders>
                  <w:noWrap w:val="0"/>
                  <w:vAlign w:val="center"/>
                </w:tcPr>
                <w:p w14:paraId="308454F8">
                  <w:pPr>
                    <w:jc w:val="center"/>
                    <w:rPr>
                      <w:u w:val="none"/>
                    </w:rPr>
                  </w:pPr>
                </w:p>
              </w:tc>
              <w:tc>
                <w:tcPr>
                  <w:tcW w:w="597" w:type="pct"/>
                  <w:tcBorders>
                    <w:tl2br w:val="nil"/>
                    <w:tr2bl w:val="nil"/>
                  </w:tcBorders>
                  <w:noWrap w:val="0"/>
                  <w:vAlign w:val="center"/>
                </w:tcPr>
                <w:p w14:paraId="7B473E28">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45423B4D">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54.2 </w:t>
                  </w:r>
                </w:p>
              </w:tc>
              <w:tc>
                <w:tcPr>
                  <w:tcW w:w="274" w:type="pct"/>
                  <w:tcBorders>
                    <w:tl2br w:val="nil"/>
                    <w:tr2bl w:val="nil"/>
                  </w:tcBorders>
                  <w:noWrap w:val="0"/>
                  <w:vAlign w:val="center"/>
                </w:tcPr>
                <w:p w14:paraId="39D5C52F">
                  <w:pPr>
                    <w:jc w:val="center"/>
                    <w:rPr>
                      <w:u w:val="none"/>
                    </w:rPr>
                  </w:pPr>
                  <w:r>
                    <w:rPr>
                      <w:u w:val="none"/>
                    </w:rPr>
                    <w:t>1m</w:t>
                  </w:r>
                </w:p>
              </w:tc>
            </w:tr>
            <w:tr w14:paraId="2182156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restart"/>
                  <w:tcBorders>
                    <w:tl2br w:val="nil"/>
                    <w:tr2bl w:val="nil"/>
                  </w:tcBorders>
                  <w:noWrap w:val="0"/>
                  <w:vAlign w:val="center"/>
                </w:tcPr>
                <w:p w14:paraId="106C241A">
                  <w:pPr>
                    <w:jc w:val="center"/>
                    <w:rPr>
                      <w:u w:val="none"/>
                    </w:rPr>
                  </w:pPr>
                  <w:r>
                    <w:rPr>
                      <w:u w:val="none"/>
                    </w:rPr>
                    <w:t>2</w:t>
                  </w:r>
                </w:p>
              </w:tc>
              <w:tc>
                <w:tcPr>
                  <w:tcW w:w="264" w:type="pct"/>
                  <w:vMerge w:val="continue"/>
                  <w:tcBorders>
                    <w:tl2br w:val="nil"/>
                    <w:tr2bl w:val="nil"/>
                  </w:tcBorders>
                  <w:noWrap w:val="0"/>
                  <w:vAlign w:val="center"/>
                </w:tcPr>
                <w:p w14:paraId="56089FA2">
                  <w:pPr>
                    <w:jc w:val="center"/>
                    <w:rPr>
                      <w:u w:val="none"/>
                    </w:rPr>
                  </w:pPr>
                </w:p>
              </w:tc>
              <w:tc>
                <w:tcPr>
                  <w:tcW w:w="282" w:type="pct"/>
                  <w:vMerge w:val="restart"/>
                  <w:tcBorders>
                    <w:tl2br w:val="nil"/>
                    <w:tr2bl w:val="nil"/>
                  </w:tcBorders>
                  <w:noWrap w:val="0"/>
                  <w:vAlign w:val="center"/>
                </w:tcPr>
                <w:p w14:paraId="32EE6349">
                  <w:pPr>
                    <w:jc w:val="center"/>
                    <w:rPr>
                      <w:rFonts w:hint="default"/>
                      <w:u w:val="none"/>
                      <w:lang w:val="en-US" w:eastAsia="zh-CN"/>
                    </w:rPr>
                  </w:pPr>
                  <w:r>
                    <w:rPr>
                      <w:rStyle w:val="157"/>
                      <w:rFonts w:hint="default" w:ascii="Times New Roman" w:hAnsi="Times New Roman" w:eastAsia="宋体" w:cs="Times New Roman"/>
                      <w:sz w:val="21"/>
                      <w:szCs w:val="21"/>
                      <w:lang w:val="en-US" w:eastAsia="zh-CN" w:bidi="ar"/>
                    </w:rPr>
                    <w:t>复卷机</w:t>
                  </w:r>
                </w:p>
              </w:tc>
              <w:tc>
                <w:tcPr>
                  <w:tcW w:w="597" w:type="pct"/>
                  <w:vMerge w:val="restart"/>
                  <w:tcBorders>
                    <w:tl2br w:val="nil"/>
                    <w:tr2bl w:val="nil"/>
                  </w:tcBorders>
                  <w:noWrap w:val="0"/>
                  <w:vAlign w:val="center"/>
                </w:tcPr>
                <w:p w14:paraId="3584E874">
                  <w:pPr>
                    <w:jc w:val="center"/>
                    <w:rPr>
                      <w:u w:val="none"/>
                    </w:rPr>
                  </w:pPr>
                  <w:r>
                    <w:rPr>
                      <w:rFonts w:hint="eastAsia"/>
                      <w:u w:val="none"/>
                      <w:lang w:val="en-US" w:eastAsia="zh-CN"/>
                    </w:rPr>
                    <w:t>85</w:t>
                  </w:r>
                  <w:r>
                    <w:rPr>
                      <w:u w:val="none"/>
                    </w:rPr>
                    <w:t>/1</w:t>
                  </w:r>
                </w:p>
              </w:tc>
              <w:tc>
                <w:tcPr>
                  <w:tcW w:w="265" w:type="pct"/>
                  <w:vMerge w:val="continue"/>
                  <w:tcBorders>
                    <w:tl2br w:val="nil"/>
                    <w:tr2bl w:val="nil"/>
                  </w:tcBorders>
                  <w:noWrap w:val="0"/>
                  <w:vAlign w:val="center"/>
                </w:tcPr>
                <w:p w14:paraId="4989779F">
                  <w:pPr>
                    <w:jc w:val="center"/>
                    <w:rPr>
                      <w:u w:val="none"/>
                    </w:rPr>
                  </w:pPr>
                </w:p>
              </w:tc>
              <w:tc>
                <w:tcPr>
                  <w:tcW w:w="179" w:type="pct"/>
                  <w:vMerge w:val="restart"/>
                  <w:tcBorders>
                    <w:tl2br w:val="nil"/>
                    <w:tr2bl w:val="nil"/>
                  </w:tcBorders>
                  <w:noWrap w:val="0"/>
                  <w:vAlign w:val="center"/>
                </w:tcPr>
                <w:p w14:paraId="5FEACE7E">
                  <w:pPr>
                    <w:jc w:val="center"/>
                    <w:rPr>
                      <w:rFonts w:hint="default" w:eastAsia="宋体"/>
                      <w:u w:val="none"/>
                      <w:lang w:val="en-US" w:eastAsia="zh-CN"/>
                    </w:rPr>
                  </w:pPr>
                  <w:r>
                    <w:rPr>
                      <w:rFonts w:hint="eastAsia"/>
                      <w:u w:val="none"/>
                      <w:lang w:val="en-US" w:eastAsia="zh-CN"/>
                    </w:rPr>
                    <w:t>-17</w:t>
                  </w:r>
                </w:p>
              </w:tc>
              <w:tc>
                <w:tcPr>
                  <w:tcW w:w="243" w:type="pct"/>
                  <w:vMerge w:val="restart"/>
                  <w:tcBorders>
                    <w:tl2br w:val="nil"/>
                    <w:tr2bl w:val="nil"/>
                  </w:tcBorders>
                  <w:noWrap w:val="0"/>
                  <w:vAlign w:val="center"/>
                </w:tcPr>
                <w:p w14:paraId="1825CEAC">
                  <w:pPr>
                    <w:jc w:val="center"/>
                    <w:rPr>
                      <w:rFonts w:hint="default" w:eastAsia="宋体"/>
                      <w:u w:val="none"/>
                      <w:lang w:val="en-US" w:eastAsia="zh-CN"/>
                    </w:rPr>
                  </w:pPr>
                  <w:r>
                    <w:rPr>
                      <w:rFonts w:hint="eastAsia"/>
                      <w:u w:val="none"/>
                      <w:lang w:val="en-US" w:eastAsia="zh-CN"/>
                    </w:rPr>
                    <w:t>16</w:t>
                  </w:r>
                </w:p>
              </w:tc>
              <w:tc>
                <w:tcPr>
                  <w:tcW w:w="153" w:type="pct"/>
                  <w:vMerge w:val="restart"/>
                  <w:tcBorders>
                    <w:tl2br w:val="nil"/>
                    <w:tr2bl w:val="nil"/>
                  </w:tcBorders>
                  <w:noWrap w:val="0"/>
                  <w:vAlign w:val="center"/>
                </w:tcPr>
                <w:p w14:paraId="7227C78E">
                  <w:pPr>
                    <w:jc w:val="center"/>
                    <w:rPr>
                      <w:rFonts w:hint="default"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0AC7E994">
                  <w:pPr>
                    <w:jc w:val="center"/>
                    <w:rPr>
                      <w:u w:val="none"/>
                    </w:rPr>
                  </w:pPr>
                  <w:r>
                    <w:rPr>
                      <w:u w:val="none"/>
                    </w:rPr>
                    <w:t>东</w:t>
                  </w:r>
                </w:p>
              </w:tc>
              <w:tc>
                <w:tcPr>
                  <w:tcW w:w="232" w:type="pct"/>
                  <w:tcBorders>
                    <w:tl2br w:val="nil"/>
                    <w:tr2bl w:val="nil"/>
                  </w:tcBorders>
                  <w:noWrap w:val="0"/>
                  <w:vAlign w:val="center"/>
                </w:tcPr>
                <w:p w14:paraId="564F4AF7">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58</w:t>
                  </w:r>
                </w:p>
              </w:tc>
              <w:tc>
                <w:tcPr>
                  <w:tcW w:w="1003" w:type="dxa"/>
                  <w:tcBorders>
                    <w:tl2br w:val="nil"/>
                    <w:tr2bl w:val="nil"/>
                  </w:tcBorders>
                  <w:noWrap w:val="0"/>
                  <w:vAlign w:val="center"/>
                </w:tcPr>
                <w:p w14:paraId="72D01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49.7 </w:t>
                  </w:r>
                </w:p>
              </w:tc>
              <w:tc>
                <w:tcPr>
                  <w:tcW w:w="367" w:type="pct"/>
                  <w:vMerge w:val="continue"/>
                  <w:tcBorders>
                    <w:tl2br w:val="nil"/>
                    <w:tr2bl w:val="nil"/>
                  </w:tcBorders>
                  <w:noWrap w:val="0"/>
                  <w:vAlign w:val="center"/>
                </w:tcPr>
                <w:p w14:paraId="47C6AC9F">
                  <w:pPr>
                    <w:jc w:val="center"/>
                    <w:rPr>
                      <w:u w:val="none"/>
                    </w:rPr>
                  </w:pPr>
                </w:p>
              </w:tc>
              <w:tc>
                <w:tcPr>
                  <w:tcW w:w="597" w:type="pct"/>
                  <w:tcBorders>
                    <w:tl2br w:val="nil"/>
                    <w:tr2bl w:val="nil"/>
                  </w:tcBorders>
                  <w:noWrap w:val="0"/>
                  <w:vAlign w:val="center"/>
                </w:tcPr>
                <w:p w14:paraId="241E732E">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5F79049">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34.7 </w:t>
                  </w:r>
                </w:p>
              </w:tc>
              <w:tc>
                <w:tcPr>
                  <w:tcW w:w="274" w:type="pct"/>
                  <w:tcBorders>
                    <w:tl2br w:val="nil"/>
                    <w:tr2bl w:val="nil"/>
                  </w:tcBorders>
                  <w:noWrap w:val="0"/>
                  <w:vAlign w:val="center"/>
                </w:tcPr>
                <w:p w14:paraId="7B65E900">
                  <w:pPr>
                    <w:jc w:val="center"/>
                    <w:rPr>
                      <w:u w:val="none"/>
                    </w:rPr>
                  </w:pPr>
                  <w:r>
                    <w:rPr>
                      <w:u w:val="none"/>
                    </w:rPr>
                    <w:t>1m</w:t>
                  </w:r>
                </w:p>
              </w:tc>
            </w:tr>
            <w:tr w14:paraId="7D912C3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continue"/>
                  <w:tcBorders>
                    <w:tl2br w:val="nil"/>
                    <w:tr2bl w:val="nil"/>
                  </w:tcBorders>
                  <w:noWrap w:val="0"/>
                  <w:vAlign w:val="center"/>
                </w:tcPr>
                <w:p w14:paraId="1D42C91B">
                  <w:pPr>
                    <w:jc w:val="center"/>
                    <w:rPr>
                      <w:u w:val="none"/>
                    </w:rPr>
                  </w:pPr>
                </w:p>
              </w:tc>
              <w:tc>
                <w:tcPr>
                  <w:tcW w:w="264" w:type="pct"/>
                  <w:vMerge w:val="continue"/>
                  <w:tcBorders>
                    <w:tl2br w:val="nil"/>
                    <w:tr2bl w:val="nil"/>
                  </w:tcBorders>
                  <w:noWrap w:val="0"/>
                  <w:vAlign w:val="center"/>
                </w:tcPr>
                <w:p w14:paraId="2DC8C699">
                  <w:pPr>
                    <w:jc w:val="center"/>
                    <w:rPr>
                      <w:u w:val="none"/>
                    </w:rPr>
                  </w:pPr>
                </w:p>
              </w:tc>
              <w:tc>
                <w:tcPr>
                  <w:tcW w:w="282" w:type="pct"/>
                  <w:vMerge w:val="continue"/>
                  <w:tcBorders>
                    <w:tl2br w:val="nil"/>
                    <w:tr2bl w:val="nil"/>
                  </w:tcBorders>
                  <w:noWrap w:val="0"/>
                  <w:vAlign w:val="center"/>
                </w:tcPr>
                <w:p w14:paraId="135530A2">
                  <w:pPr>
                    <w:jc w:val="center"/>
                    <w:rPr>
                      <w:u w:val="none"/>
                    </w:rPr>
                  </w:pPr>
                </w:p>
              </w:tc>
              <w:tc>
                <w:tcPr>
                  <w:tcW w:w="597" w:type="pct"/>
                  <w:vMerge w:val="continue"/>
                  <w:tcBorders>
                    <w:tl2br w:val="nil"/>
                    <w:tr2bl w:val="nil"/>
                  </w:tcBorders>
                  <w:noWrap w:val="0"/>
                  <w:vAlign w:val="center"/>
                </w:tcPr>
                <w:p w14:paraId="280A584F">
                  <w:pPr>
                    <w:jc w:val="center"/>
                    <w:rPr>
                      <w:u w:val="none"/>
                    </w:rPr>
                  </w:pPr>
                </w:p>
              </w:tc>
              <w:tc>
                <w:tcPr>
                  <w:tcW w:w="265" w:type="pct"/>
                  <w:vMerge w:val="continue"/>
                  <w:tcBorders>
                    <w:tl2br w:val="nil"/>
                    <w:tr2bl w:val="nil"/>
                  </w:tcBorders>
                  <w:noWrap w:val="0"/>
                  <w:vAlign w:val="center"/>
                </w:tcPr>
                <w:p w14:paraId="7B02D468">
                  <w:pPr>
                    <w:jc w:val="center"/>
                    <w:rPr>
                      <w:u w:val="none"/>
                    </w:rPr>
                  </w:pPr>
                </w:p>
              </w:tc>
              <w:tc>
                <w:tcPr>
                  <w:tcW w:w="179" w:type="pct"/>
                  <w:vMerge w:val="continue"/>
                  <w:tcBorders>
                    <w:tl2br w:val="nil"/>
                    <w:tr2bl w:val="nil"/>
                  </w:tcBorders>
                  <w:noWrap w:val="0"/>
                  <w:vAlign w:val="center"/>
                </w:tcPr>
                <w:p w14:paraId="4881FD43">
                  <w:pPr>
                    <w:jc w:val="center"/>
                    <w:rPr>
                      <w:u w:val="none"/>
                    </w:rPr>
                  </w:pPr>
                </w:p>
              </w:tc>
              <w:tc>
                <w:tcPr>
                  <w:tcW w:w="243" w:type="pct"/>
                  <w:vMerge w:val="continue"/>
                  <w:tcBorders>
                    <w:tl2br w:val="nil"/>
                    <w:tr2bl w:val="nil"/>
                  </w:tcBorders>
                  <w:noWrap w:val="0"/>
                  <w:vAlign w:val="center"/>
                </w:tcPr>
                <w:p w14:paraId="69C36CD4">
                  <w:pPr>
                    <w:jc w:val="center"/>
                    <w:rPr>
                      <w:u w:val="none"/>
                    </w:rPr>
                  </w:pPr>
                </w:p>
              </w:tc>
              <w:tc>
                <w:tcPr>
                  <w:tcW w:w="153" w:type="pct"/>
                  <w:vMerge w:val="continue"/>
                  <w:tcBorders>
                    <w:tl2br w:val="nil"/>
                    <w:tr2bl w:val="nil"/>
                  </w:tcBorders>
                  <w:noWrap w:val="0"/>
                  <w:vAlign w:val="center"/>
                </w:tcPr>
                <w:p w14:paraId="57314A65">
                  <w:pPr>
                    <w:jc w:val="center"/>
                    <w:rPr>
                      <w:u w:val="none"/>
                    </w:rPr>
                  </w:pPr>
                </w:p>
              </w:tc>
              <w:tc>
                <w:tcPr>
                  <w:tcW w:w="169" w:type="pct"/>
                  <w:tcBorders>
                    <w:tl2br w:val="nil"/>
                    <w:tr2bl w:val="nil"/>
                  </w:tcBorders>
                  <w:noWrap w:val="0"/>
                  <w:vAlign w:val="center"/>
                </w:tcPr>
                <w:p w14:paraId="5231A488">
                  <w:pPr>
                    <w:jc w:val="center"/>
                    <w:rPr>
                      <w:u w:val="none"/>
                    </w:rPr>
                  </w:pPr>
                  <w:r>
                    <w:rPr>
                      <w:u w:val="none"/>
                    </w:rPr>
                    <w:t>南</w:t>
                  </w:r>
                </w:p>
              </w:tc>
              <w:tc>
                <w:tcPr>
                  <w:tcW w:w="232" w:type="pct"/>
                  <w:tcBorders>
                    <w:tl2br w:val="nil"/>
                    <w:tr2bl w:val="nil"/>
                  </w:tcBorders>
                  <w:noWrap w:val="0"/>
                  <w:vAlign w:val="center"/>
                </w:tcPr>
                <w:p w14:paraId="0703B781">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55</w:t>
                  </w:r>
                </w:p>
              </w:tc>
              <w:tc>
                <w:tcPr>
                  <w:tcW w:w="1003" w:type="dxa"/>
                  <w:tcBorders>
                    <w:tl2br w:val="nil"/>
                    <w:tr2bl w:val="nil"/>
                  </w:tcBorders>
                  <w:noWrap w:val="0"/>
                  <w:vAlign w:val="center"/>
                </w:tcPr>
                <w:p w14:paraId="2A1CCF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50.2 </w:t>
                  </w:r>
                </w:p>
              </w:tc>
              <w:tc>
                <w:tcPr>
                  <w:tcW w:w="367" w:type="pct"/>
                  <w:vMerge w:val="continue"/>
                  <w:tcBorders>
                    <w:tl2br w:val="nil"/>
                    <w:tr2bl w:val="nil"/>
                  </w:tcBorders>
                  <w:noWrap w:val="0"/>
                  <w:vAlign w:val="center"/>
                </w:tcPr>
                <w:p w14:paraId="4F855DB7">
                  <w:pPr>
                    <w:jc w:val="center"/>
                    <w:rPr>
                      <w:u w:val="none"/>
                    </w:rPr>
                  </w:pPr>
                </w:p>
              </w:tc>
              <w:tc>
                <w:tcPr>
                  <w:tcW w:w="597" w:type="pct"/>
                  <w:tcBorders>
                    <w:tl2br w:val="nil"/>
                    <w:tr2bl w:val="nil"/>
                  </w:tcBorders>
                  <w:noWrap w:val="0"/>
                  <w:vAlign w:val="center"/>
                </w:tcPr>
                <w:p w14:paraId="2429932C">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7F13188F">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35.2 </w:t>
                  </w:r>
                </w:p>
              </w:tc>
              <w:tc>
                <w:tcPr>
                  <w:tcW w:w="274" w:type="pct"/>
                  <w:tcBorders>
                    <w:tl2br w:val="nil"/>
                    <w:tr2bl w:val="nil"/>
                  </w:tcBorders>
                  <w:noWrap w:val="0"/>
                  <w:vAlign w:val="center"/>
                </w:tcPr>
                <w:p w14:paraId="33638B90">
                  <w:pPr>
                    <w:jc w:val="center"/>
                    <w:rPr>
                      <w:u w:val="none"/>
                    </w:rPr>
                  </w:pPr>
                  <w:r>
                    <w:rPr>
                      <w:u w:val="none"/>
                    </w:rPr>
                    <w:t>1m</w:t>
                  </w:r>
                </w:p>
              </w:tc>
            </w:tr>
            <w:tr w14:paraId="426FAAE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78" w:type="pct"/>
                  <w:vMerge w:val="continue"/>
                  <w:tcBorders>
                    <w:tl2br w:val="nil"/>
                    <w:tr2bl w:val="nil"/>
                  </w:tcBorders>
                  <w:noWrap w:val="0"/>
                  <w:vAlign w:val="center"/>
                </w:tcPr>
                <w:p w14:paraId="5E0B17DF">
                  <w:pPr>
                    <w:jc w:val="center"/>
                    <w:rPr>
                      <w:u w:val="none"/>
                    </w:rPr>
                  </w:pPr>
                </w:p>
              </w:tc>
              <w:tc>
                <w:tcPr>
                  <w:tcW w:w="264" w:type="pct"/>
                  <w:vMerge w:val="continue"/>
                  <w:tcBorders>
                    <w:tl2br w:val="nil"/>
                    <w:tr2bl w:val="nil"/>
                  </w:tcBorders>
                  <w:noWrap w:val="0"/>
                  <w:vAlign w:val="center"/>
                </w:tcPr>
                <w:p w14:paraId="683B2B34">
                  <w:pPr>
                    <w:jc w:val="center"/>
                    <w:rPr>
                      <w:u w:val="none"/>
                    </w:rPr>
                  </w:pPr>
                </w:p>
              </w:tc>
              <w:tc>
                <w:tcPr>
                  <w:tcW w:w="282" w:type="pct"/>
                  <w:vMerge w:val="continue"/>
                  <w:tcBorders>
                    <w:tl2br w:val="nil"/>
                    <w:tr2bl w:val="nil"/>
                  </w:tcBorders>
                  <w:noWrap w:val="0"/>
                  <w:vAlign w:val="center"/>
                </w:tcPr>
                <w:p w14:paraId="60E38637">
                  <w:pPr>
                    <w:jc w:val="center"/>
                    <w:rPr>
                      <w:u w:val="none"/>
                    </w:rPr>
                  </w:pPr>
                </w:p>
              </w:tc>
              <w:tc>
                <w:tcPr>
                  <w:tcW w:w="597" w:type="pct"/>
                  <w:vMerge w:val="continue"/>
                  <w:tcBorders>
                    <w:tl2br w:val="nil"/>
                    <w:tr2bl w:val="nil"/>
                  </w:tcBorders>
                  <w:noWrap w:val="0"/>
                  <w:vAlign w:val="center"/>
                </w:tcPr>
                <w:p w14:paraId="6ED95357">
                  <w:pPr>
                    <w:jc w:val="center"/>
                    <w:rPr>
                      <w:u w:val="none"/>
                    </w:rPr>
                  </w:pPr>
                </w:p>
              </w:tc>
              <w:tc>
                <w:tcPr>
                  <w:tcW w:w="265" w:type="pct"/>
                  <w:vMerge w:val="continue"/>
                  <w:tcBorders>
                    <w:tl2br w:val="nil"/>
                    <w:tr2bl w:val="nil"/>
                  </w:tcBorders>
                  <w:noWrap w:val="0"/>
                  <w:vAlign w:val="center"/>
                </w:tcPr>
                <w:p w14:paraId="0D8EFEC2">
                  <w:pPr>
                    <w:jc w:val="center"/>
                    <w:rPr>
                      <w:u w:val="none"/>
                    </w:rPr>
                  </w:pPr>
                </w:p>
              </w:tc>
              <w:tc>
                <w:tcPr>
                  <w:tcW w:w="179" w:type="pct"/>
                  <w:vMerge w:val="continue"/>
                  <w:tcBorders>
                    <w:tl2br w:val="nil"/>
                    <w:tr2bl w:val="nil"/>
                  </w:tcBorders>
                  <w:noWrap w:val="0"/>
                  <w:vAlign w:val="center"/>
                </w:tcPr>
                <w:p w14:paraId="42FD8012">
                  <w:pPr>
                    <w:jc w:val="center"/>
                    <w:rPr>
                      <w:u w:val="none"/>
                    </w:rPr>
                  </w:pPr>
                </w:p>
              </w:tc>
              <w:tc>
                <w:tcPr>
                  <w:tcW w:w="243" w:type="pct"/>
                  <w:vMerge w:val="continue"/>
                  <w:tcBorders>
                    <w:tl2br w:val="nil"/>
                    <w:tr2bl w:val="nil"/>
                  </w:tcBorders>
                  <w:noWrap w:val="0"/>
                  <w:vAlign w:val="center"/>
                </w:tcPr>
                <w:p w14:paraId="237D8876">
                  <w:pPr>
                    <w:jc w:val="center"/>
                    <w:rPr>
                      <w:u w:val="none"/>
                    </w:rPr>
                  </w:pPr>
                </w:p>
              </w:tc>
              <w:tc>
                <w:tcPr>
                  <w:tcW w:w="153" w:type="pct"/>
                  <w:vMerge w:val="continue"/>
                  <w:tcBorders>
                    <w:tl2br w:val="nil"/>
                    <w:tr2bl w:val="nil"/>
                  </w:tcBorders>
                  <w:noWrap w:val="0"/>
                  <w:vAlign w:val="center"/>
                </w:tcPr>
                <w:p w14:paraId="3400BDC8">
                  <w:pPr>
                    <w:jc w:val="center"/>
                    <w:rPr>
                      <w:u w:val="none"/>
                    </w:rPr>
                  </w:pPr>
                </w:p>
              </w:tc>
              <w:tc>
                <w:tcPr>
                  <w:tcW w:w="169" w:type="pct"/>
                  <w:tcBorders>
                    <w:tl2br w:val="nil"/>
                    <w:tr2bl w:val="nil"/>
                  </w:tcBorders>
                  <w:noWrap w:val="0"/>
                  <w:vAlign w:val="center"/>
                </w:tcPr>
                <w:p w14:paraId="3ACA8E1D">
                  <w:pPr>
                    <w:jc w:val="center"/>
                    <w:rPr>
                      <w:u w:val="none"/>
                    </w:rPr>
                  </w:pPr>
                  <w:r>
                    <w:rPr>
                      <w:u w:val="none"/>
                    </w:rPr>
                    <w:t>西</w:t>
                  </w:r>
                </w:p>
              </w:tc>
              <w:tc>
                <w:tcPr>
                  <w:tcW w:w="232" w:type="pct"/>
                  <w:tcBorders>
                    <w:tl2br w:val="nil"/>
                    <w:tr2bl w:val="nil"/>
                  </w:tcBorders>
                  <w:noWrap w:val="0"/>
                  <w:vAlign w:val="center"/>
                </w:tcPr>
                <w:p w14:paraId="6720B538">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24</w:t>
                  </w:r>
                </w:p>
              </w:tc>
              <w:tc>
                <w:tcPr>
                  <w:tcW w:w="1003" w:type="dxa"/>
                  <w:tcBorders>
                    <w:tl2br w:val="nil"/>
                    <w:tr2bl w:val="nil"/>
                  </w:tcBorders>
                  <w:noWrap w:val="0"/>
                  <w:vAlign w:val="center"/>
                </w:tcPr>
                <w:p w14:paraId="551755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57.4 </w:t>
                  </w:r>
                </w:p>
              </w:tc>
              <w:tc>
                <w:tcPr>
                  <w:tcW w:w="367" w:type="pct"/>
                  <w:vMerge w:val="continue"/>
                  <w:tcBorders>
                    <w:tl2br w:val="nil"/>
                    <w:tr2bl w:val="nil"/>
                  </w:tcBorders>
                  <w:noWrap w:val="0"/>
                  <w:vAlign w:val="center"/>
                </w:tcPr>
                <w:p w14:paraId="46FDFF60">
                  <w:pPr>
                    <w:jc w:val="center"/>
                    <w:rPr>
                      <w:u w:val="none"/>
                    </w:rPr>
                  </w:pPr>
                </w:p>
              </w:tc>
              <w:tc>
                <w:tcPr>
                  <w:tcW w:w="597" w:type="pct"/>
                  <w:tcBorders>
                    <w:tl2br w:val="nil"/>
                    <w:tr2bl w:val="nil"/>
                  </w:tcBorders>
                  <w:noWrap w:val="0"/>
                  <w:vAlign w:val="center"/>
                </w:tcPr>
                <w:p w14:paraId="53435B93">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4143F35C">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42.4 </w:t>
                  </w:r>
                </w:p>
              </w:tc>
              <w:tc>
                <w:tcPr>
                  <w:tcW w:w="274" w:type="pct"/>
                  <w:tcBorders>
                    <w:tl2br w:val="nil"/>
                    <w:tr2bl w:val="nil"/>
                  </w:tcBorders>
                  <w:noWrap w:val="0"/>
                  <w:vAlign w:val="center"/>
                </w:tcPr>
                <w:p w14:paraId="03F0DA04">
                  <w:pPr>
                    <w:jc w:val="center"/>
                    <w:rPr>
                      <w:u w:val="none"/>
                    </w:rPr>
                  </w:pPr>
                  <w:r>
                    <w:rPr>
                      <w:u w:val="none"/>
                    </w:rPr>
                    <w:t>1m</w:t>
                  </w:r>
                </w:p>
              </w:tc>
            </w:tr>
            <w:tr w14:paraId="34BBA83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05ED0E7C">
                  <w:pPr>
                    <w:jc w:val="center"/>
                    <w:rPr>
                      <w:u w:val="none"/>
                    </w:rPr>
                  </w:pPr>
                </w:p>
              </w:tc>
              <w:tc>
                <w:tcPr>
                  <w:tcW w:w="264" w:type="pct"/>
                  <w:vMerge w:val="continue"/>
                  <w:tcBorders>
                    <w:tl2br w:val="nil"/>
                    <w:tr2bl w:val="nil"/>
                  </w:tcBorders>
                  <w:noWrap w:val="0"/>
                  <w:vAlign w:val="center"/>
                </w:tcPr>
                <w:p w14:paraId="7AA94065">
                  <w:pPr>
                    <w:jc w:val="center"/>
                    <w:rPr>
                      <w:u w:val="none"/>
                    </w:rPr>
                  </w:pPr>
                </w:p>
              </w:tc>
              <w:tc>
                <w:tcPr>
                  <w:tcW w:w="282" w:type="pct"/>
                  <w:vMerge w:val="continue"/>
                  <w:tcBorders>
                    <w:tl2br w:val="nil"/>
                    <w:tr2bl w:val="nil"/>
                  </w:tcBorders>
                  <w:noWrap w:val="0"/>
                  <w:vAlign w:val="center"/>
                </w:tcPr>
                <w:p w14:paraId="67DE4775">
                  <w:pPr>
                    <w:jc w:val="center"/>
                    <w:rPr>
                      <w:u w:val="none"/>
                    </w:rPr>
                  </w:pPr>
                </w:p>
              </w:tc>
              <w:tc>
                <w:tcPr>
                  <w:tcW w:w="597" w:type="pct"/>
                  <w:vMerge w:val="continue"/>
                  <w:tcBorders>
                    <w:tl2br w:val="nil"/>
                    <w:tr2bl w:val="nil"/>
                  </w:tcBorders>
                  <w:noWrap w:val="0"/>
                  <w:vAlign w:val="center"/>
                </w:tcPr>
                <w:p w14:paraId="37B99AB1">
                  <w:pPr>
                    <w:jc w:val="center"/>
                    <w:rPr>
                      <w:u w:val="none"/>
                    </w:rPr>
                  </w:pPr>
                </w:p>
              </w:tc>
              <w:tc>
                <w:tcPr>
                  <w:tcW w:w="265" w:type="pct"/>
                  <w:vMerge w:val="continue"/>
                  <w:tcBorders>
                    <w:tl2br w:val="nil"/>
                    <w:tr2bl w:val="nil"/>
                  </w:tcBorders>
                  <w:noWrap w:val="0"/>
                  <w:vAlign w:val="center"/>
                </w:tcPr>
                <w:p w14:paraId="619BE6B4">
                  <w:pPr>
                    <w:jc w:val="center"/>
                    <w:rPr>
                      <w:u w:val="none"/>
                    </w:rPr>
                  </w:pPr>
                </w:p>
              </w:tc>
              <w:tc>
                <w:tcPr>
                  <w:tcW w:w="179" w:type="pct"/>
                  <w:vMerge w:val="continue"/>
                  <w:tcBorders>
                    <w:tl2br w:val="nil"/>
                    <w:tr2bl w:val="nil"/>
                  </w:tcBorders>
                  <w:noWrap w:val="0"/>
                  <w:vAlign w:val="center"/>
                </w:tcPr>
                <w:p w14:paraId="3C506156">
                  <w:pPr>
                    <w:jc w:val="center"/>
                    <w:rPr>
                      <w:u w:val="none"/>
                    </w:rPr>
                  </w:pPr>
                </w:p>
              </w:tc>
              <w:tc>
                <w:tcPr>
                  <w:tcW w:w="243" w:type="pct"/>
                  <w:vMerge w:val="continue"/>
                  <w:tcBorders>
                    <w:tl2br w:val="nil"/>
                    <w:tr2bl w:val="nil"/>
                  </w:tcBorders>
                  <w:noWrap w:val="0"/>
                  <w:vAlign w:val="center"/>
                </w:tcPr>
                <w:p w14:paraId="0D0F7386">
                  <w:pPr>
                    <w:jc w:val="center"/>
                    <w:rPr>
                      <w:u w:val="none"/>
                    </w:rPr>
                  </w:pPr>
                </w:p>
              </w:tc>
              <w:tc>
                <w:tcPr>
                  <w:tcW w:w="153" w:type="pct"/>
                  <w:vMerge w:val="continue"/>
                  <w:tcBorders>
                    <w:tl2br w:val="nil"/>
                    <w:tr2bl w:val="nil"/>
                  </w:tcBorders>
                  <w:noWrap w:val="0"/>
                  <w:vAlign w:val="center"/>
                </w:tcPr>
                <w:p w14:paraId="08F7E135">
                  <w:pPr>
                    <w:jc w:val="center"/>
                    <w:rPr>
                      <w:u w:val="none"/>
                    </w:rPr>
                  </w:pPr>
                </w:p>
              </w:tc>
              <w:tc>
                <w:tcPr>
                  <w:tcW w:w="169" w:type="pct"/>
                  <w:tcBorders>
                    <w:tl2br w:val="nil"/>
                    <w:tr2bl w:val="nil"/>
                  </w:tcBorders>
                  <w:noWrap w:val="0"/>
                  <w:vAlign w:val="center"/>
                </w:tcPr>
                <w:p w14:paraId="4BB7B147">
                  <w:pPr>
                    <w:jc w:val="center"/>
                    <w:rPr>
                      <w:u w:val="none"/>
                    </w:rPr>
                  </w:pPr>
                  <w:r>
                    <w:rPr>
                      <w:u w:val="none"/>
                    </w:rPr>
                    <w:t>北</w:t>
                  </w:r>
                </w:p>
              </w:tc>
              <w:tc>
                <w:tcPr>
                  <w:tcW w:w="232" w:type="pct"/>
                  <w:tcBorders>
                    <w:tl2br w:val="nil"/>
                    <w:tr2bl w:val="nil"/>
                  </w:tcBorders>
                  <w:noWrap w:val="0"/>
                  <w:vAlign w:val="center"/>
                </w:tcPr>
                <w:p w14:paraId="7C9F44AC">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23</w:t>
                  </w:r>
                </w:p>
              </w:tc>
              <w:tc>
                <w:tcPr>
                  <w:tcW w:w="1003" w:type="dxa"/>
                  <w:tcBorders>
                    <w:tl2br w:val="nil"/>
                    <w:tr2bl w:val="nil"/>
                  </w:tcBorders>
                  <w:noWrap w:val="0"/>
                  <w:vAlign w:val="center"/>
                </w:tcPr>
                <w:p w14:paraId="39CCEC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57.8 </w:t>
                  </w:r>
                </w:p>
              </w:tc>
              <w:tc>
                <w:tcPr>
                  <w:tcW w:w="367" w:type="pct"/>
                  <w:vMerge w:val="continue"/>
                  <w:tcBorders>
                    <w:tl2br w:val="nil"/>
                    <w:tr2bl w:val="nil"/>
                  </w:tcBorders>
                  <w:noWrap w:val="0"/>
                  <w:vAlign w:val="center"/>
                </w:tcPr>
                <w:p w14:paraId="0E884E67">
                  <w:pPr>
                    <w:jc w:val="center"/>
                    <w:rPr>
                      <w:u w:val="none"/>
                    </w:rPr>
                  </w:pPr>
                </w:p>
              </w:tc>
              <w:tc>
                <w:tcPr>
                  <w:tcW w:w="597" w:type="pct"/>
                  <w:tcBorders>
                    <w:tl2br w:val="nil"/>
                    <w:tr2bl w:val="nil"/>
                  </w:tcBorders>
                  <w:noWrap w:val="0"/>
                  <w:vAlign w:val="center"/>
                </w:tcPr>
                <w:p w14:paraId="5530A32B">
                  <w:pPr>
                    <w:keepNext w:val="0"/>
                    <w:keepLines w:val="0"/>
                    <w:widowControl/>
                    <w:suppressLineNumbers w:val="0"/>
                    <w:jc w:val="center"/>
                    <w:textAlignment w:val="center"/>
                    <w:rPr>
                      <w:u w:val="none"/>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00CB170D">
                  <w:pPr>
                    <w:keepNext w:val="0"/>
                    <w:keepLines w:val="0"/>
                    <w:widowControl/>
                    <w:suppressLineNumbers w:val="0"/>
                    <w:jc w:val="center"/>
                    <w:textAlignment w:val="center"/>
                    <w:rPr>
                      <w:u w:val="none"/>
                    </w:rPr>
                  </w:pPr>
                  <w:r>
                    <w:rPr>
                      <w:rFonts w:hint="default" w:ascii="Times New Roman" w:hAnsi="Times New Roman" w:eastAsia="宋体" w:cs="Times New Roman"/>
                      <w:i w:val="0"/>
                      <w:iCs w:val="0"/>
                      <w:color w:val="000000"/>
                      <w:kern w:val="0"/>
                      <w:sz w:val="21"/>
                      <w:szCs w:val="21"/>
                      <w:u w:val="none"/>
                      <w:lang w:val="en-US" w:eastAsia="zh-CN" w:bidi="ar"/>
                    </w:rPr>
                    <w:t xml:space="preserve">42.8 </w:t>
                  </w:r>
                </w:p>
              </w:tc>
              <w:tc>
                <w:tcPr>
                  <w:tcW w:w="274" w:type="pct"/>
                  <w:tcBorders>
                    <w:tl2br w:val="nil"/>
                    <w:tr2bl w:val="nil"/>
                  </w:tcBorders>
                  <w:noWrap w:val="0"/>
                  <w:vAlign w:val="center"/>
                </w:tcPr>
                <w:p w14:paraId="6E4C533F">
                  <w:pPr>
                    <w:jc w:val="center"/>
                    <w:rPr>
                      <w:u w:val="none"/>
                    </w:rPr>
                  </w:pPr>
                  <w:r>
                    <w:rPr>
                      <w:u w:val="none"/>
                    </w:rPr>
                    <w:t>1m</w:t>
                  </w:r>
                </w:p>
              </w:tc>
            </w:tr>
            <w:tr w14:paraId="0ED3024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restart"/>
                  <w:tcBorders>
                    <w:tl2br w:val="nil"/>
                    <w:tr2bl w:val="nil"/>
                  </w:tcBorders>
                  <w:noWrap w:val="0"/>
                  <w:vAlign w:val="center"/>
                </w:tcPr>
                <w:p w14:paraId="0E8E060F">
                  <w:pPr>
                    <w:jc w:val="center"/>
                    <w:rPr>
                      <w:u w:val="none"/>
                    </w:rPr>
                  </w:pPr>
                  <w:r>
                    <w:rPr>
                      <w:u w:val="none"/>
                    </w:rPr>
                    <w:t>3</w:t>
                  </w:r>
                </w:p>
              </w:tc>
              <w:tc>
                <w:tcPr>
                  <w:tcW w:w="264" w:type="pct"/>
                  <w:vMerge w:val="continue"/>
                  <w:tcBorders>
                    <w:tl2br w:val="nil"/>
                    <w:tr2bl w:val="nil"/>
                  </w:tcBorders>
                  <w:noWrap w:val="0"/>
                  <w:vAlign w:val="center"/>
                </w:tcPr>
                <w:p w14:paraId="6A0637F7">
                  <w:pPr>
                    <w:jc w:val="center"/>
                    <w:rPr>
                      <w:u w:val="none"/>
                    </w:rPr>
                  </w:pPr>
                </w:p>
              </w:tc>
              <w:tc>
                <w:tcPr>
                  <w:tcW w:w="282" w:type="pct"/>
                  <w:vMerge w:val="restart"/>
                  <w:tcBorders>
                    <w:tl2br w:val="nil"/>
                    <w:tr2bl w:val="nil"/>
                  </w:tcBorders>
                  <w:noWrap w:val="0"/>
                  <w:vAlign w:val="center"/>
                </w:tcPr>
                <w:p w14:paraId="6484971F">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复合机</w:t>
                  </w:r>
                </w:p>
              </w:tc>
              <w:tc>
                <w:tcPr>
                  <w:tcW w:w="597" w:type="pct"/>
                  <w:vMerge w:val="restart"/>
                  <w:tcBorders>
                    <w:tl2br w:val="nil"/>
                    <w:tr2bl w:val="nil"/>
                  </w:tcBorders>
                  <w:noWrap w:val="0"/>
                  <w:vAlign w:val="center"/>
                </w:tcPr>
                <w:p w14:paraId="02B59978">
                  <w:pPr>
                    <w:jc w:val="center"/>
                    <w:rPr>
                      <w:kern w:val="2"/>
                      <w:sz w:val="21"/>
                      <w:szCs w:val="24"/>
                      <w:u w:val="none"/>
                      <w:lang w:val="en-US" w:eastAsia="zh-CN" w:bidi="ar-SA"/>
                    </w:rPr>
                  </w:pPr>
                  <w:r>
                    <w:rPr>
                      <w:rFonts w:hint="eastAsia"/>
                      <w:u w:val="none"/>
                      <w:lang w:val="en-US" w:eastAsia="zh-CN"/>
                    </w:rPr>
                    <w:t>85</w:t>
                  </w:r>
                  <w:r>
                    <w:rPr>
                      <w:u w:val="none"/>
                    </w:rPr>
                    <w:t>/1</w:t>
                  </w:r>
                </w:p>
              </w:tc>
              <w:tc>
                <w:tcPr>
                  <w:tcW w:w="265" w:type="pct"/>
                  <w:vMerge w:val="continue"/>
                  <w:tcBorders>
                    <w:tl2br w:val="nil"/>
                    <w:tr2bl w:val="nil"/>
                  </w:tcBorders>
                  <w:noWrap w:val="0"/>
                  <w:vAlign w:val="center"/>
                </w:tcPr>
                <w:p w14:paraId="209B43A2">
                  <w:pPr>
                    <w:jc w:val="center"/>
                    <w:rPr>
                      <w:u w:val="none"/>
                    </w:rPr>
                  </w:pPr>
                </w:p>
              </w:tc>
              <w:tc>
                <w:tcPr>
                  <w:tcW w:w="179" w:type="pct"/>
                  <w:vMerge w:val="restart"/>
                  <w:tcBorders>
                    <w:tl2br w:val="nil"/>
                    <w:tr2bl w:val="nil"/>
                  </w:tcBorders>
                  <w:noWrap w:val="0"/>
                  <w:vAlign w:val="center"/>
                </w:tcPr>
                <w:p w14:paraId="112963B1">
                  <w:pPr>
                    <w:jc w:val="center"/>
                    <w:rPr>
                      <w:rFonts w:hint="default" w:eastAsia="宋体"/>
                      <w:u w:val="none"/>
                      <w:lang w:val="en-US" w:eastAsia="zh-CN"/>
                    </w:rPr>
                  </w:pPr>
                  <w:r>
                    <w:rPr>
                      <w:rFonts w:hint="eastAsia"/>
                      <w:u w:val="none"/>
                      <w:lang w:val="en-US" w:eastAsia="zh-CN"/>
                    </w:rPr>
                    <w:t>12</w:t>
                  </w:r>
                </w:p>
              </w:tc>
              <w:tc>
                <w:tcPr>
                  <w:tcW w:w="243" w:type="pct"/>
                  <w:vMerge w:val="restart"/>
                  <w:tcBorders>
                    <w:tl2br w:val="nil"/>
                    <w:tr2bl w:val="nil"/>
                  </w:tcBorders>
                  <w:noWrap w:val="0"/>
                  <w:vAlign w:val="center"/>
                </w:tcPr>
                <w:p w14:paraId="774F33A1">
                  <w:pPr>
                    <w:jc w:val="center"/>
                    <w:rPr>
                      <w:rFonts w:hint="default" w:eastAsia="宋体"/>
                      <w:u w:val="none"/>
                      <w:lang w:val="en-US" w:eastAsia="zh-CN"/>
                    </w:rPr>
                  </w:pPr>
                  <w:r>
                    <w:rPr>
                      <w:rFonts w:hint="eastAsia"/>
                      <w:u w:val="none"/>
                      <w:lang w:val="en-US" w:eastAsia="zh-CN"/>
                    </w:rPr>
                    <w:t>10</w:t>
                  </w:r>
                </w:p>
              </w:tc>
              <w:tc>
                <w:tcPr>
                  <w:tcW w:w="257" w:type="dxa"/>
                  <w:vMerge w:val="restart"/>
                  <w:tcBorders>
                    <w:tl2br w:val="nil"/>
                    <w:tr2bl w:val="nil"/>
                  </w:tcBorders>
                  <w:noWrap w:val="0"/>
                  <w:vAlign w:val="center"/>
                </w:tcPr>
                <w:p w14:paraId="79E54B14">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1E8568CB">
                  <w:pPr>
                    <w:jc w:val="center"/>
                    <w:rPr>
                      <w:u w:val="none"/>
                    </w:rPr>
                  </w:pPr>
                  <w:r>
                    <w:rPr>
                      <w:u w:val="none"/>
                    </w:rPr>
                    <w:t>东</w:t>
                  </w:r>
                </w:p>
              </w:tc>
              <w:tc>
                <w:tcPr>
                  <w:tcW w:w="232" w:type="pct"/>
                  <w:tcBorders>
                    <w:tl2br w:val="nil"/>
                    <w:tr2bl w:val="nil"/>
                  </w:tcBorders>
                  <w:noWrap w:val="0"/>
                  <w:vAlign w:val="center"/>
                </w:tcPr>
                <w:p w14:paraId="47E08C02">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29</w:t>
                  </w:r>
                </w:p>
              </w:tc>
              <w:tc>
                <w:tcPr>
                  <w:tcW w:w="1003" w:type="dxa"/>
                  <w:tcBorders>
                    <w:tl2br w:val="nil"/>
                    <w:tr2bl w:val="nil"/>
                  </w:tcBorders>
                  <w:noWrap w:val="0"/>
                  <w:vAlign w:val="center"/>
                </w:tcPr>
                <w:p w14:paraId="601A1C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55.8 </w:t>
                  </w:r>
                </w:p>
              </w:tc>
              <w:tc>
                <w:tcPr>
                  <w:tcW w:w="367" w:type="pct"/>
                  <w:vMerge w:val="continue"/>
                  <w:tcBorders>
                    <w:tl2br w:val="nil"/>
                    <w:tr2bl w:val="nil"/>
                  </w:tcBorders>
                  <w:noWrap w:val="0"/>
                  <w:vAlign w:val="center"/>
                </w:tcPr>
                <w:p w14:paraId="0291D7CB">
                  <w:pPr>
                    <w:jc w:val="center"/>
                    <w:rPr>
                      <w:u w:val="none"/>
                    </w:rPr>
                  </w:pPr>
                </w:p>
              </w:tc>
              <w:tc>
                <w:tcPr>
                  <w:tcW w:w="597" w:type="pct"/>
                  <w:tcBorders>
                    <w:tl2br w:val="nil"/>
                    <w:tr2bl w:val="nil"/>
                  </w:tcBorders>
                  <w:noWrap w:val="0"/>
                  <w:vAlign w:val="center"/>
                </w:tcPr>
                <w:p w14:paraId="12CF8B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46F6AD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40.8 </w:t>
                  </w:r>
                </w:p>
              </w:tc>
              <w:tc>
                <w:tcPr>
                  <w:tcW w:w="274" w:type="pct"/>
                  <w:tcBorders>
                    <w:tl2br w:val="nil"/>
                    <w:tr2bl w:val="nil"/>
                  </w:tcBorders>
                  <w:noWrap w:val="0"/>
                  <w:vAlign w:val="center"/>
                </w:tcPr>
                <w:p w14:paraId="60CBF61A">
                  <w:pPr>
                    <w:jc w:val="center"/>
                    <w:rPr>
                      <w:u w:val="none"/>
                    </w:rPr>
                  </w:pPr>
                  <w:r>
                    <w:rPr>
                      <w:u w:val="none"/>
                    </w:rPr>
                    <w:t>1m</w:t>
                  </w:r>
                </w:p>
              </w:tc>
            </w:tr>
            <w:tr w14:paraId="4526048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43821AF5">
                  <w:pPr>
                    <w:jc w:val="center"/>
                    <w:rPr>
                      <w:u w:val="none"/>
                    </w:rPr>
                  </w:pPr>
                </w:p>
              </w:tc>
              <w:tc>
                <w:tcPr>
                  <w:tcW w:w="264" w:type="pct"/>
                  <w:vMerge w:val="continue"/>
                  <w:tcBorders>
                    <w:tl2br w:val="nil"/>
                    <w:tr2bl w:val="nil"/>
                  </w:tcBorders>
                  <w:noWrap w:val="0"/>
                  <w:vAlign w:val="center"/>
                </w:tcPr>
                <w:p w14:paraId="3C964FD8">
                  <w:pPr>
                    <w:jc w:val="center"/>
                    <w:rPr>
                      <w:u w:val="none"/>
                    </w:rPr>
                  </w:pPr>
                </w:p>
              </w:tc>
              <w:tc>
                <w:tcPr>
                  <w:tcW w:w="282" w:type="pct"/>
                  <w:vMerge w:val="continue"/>
                  <w:tcBorders>
                    <w:tl2br w:val="nil"/>
                    <w:tr2bl w:val="nil"/>
                  </w:tcBorders>
                  <w:noWrap w:val="0"/>
                  <w:vAlign w:val="center"/>
                </w:tcPr>
                <w:p w14:paraId="05AD7FBB">
                  <w:pPr>
                    <w:jc w:val="center"/>
                    <w:rPr>
                      <w:u w:val="none"/>
                    </w:rPr>
                  </w:pPr>
                </w:p>
              </w:tc>
              <w:tc>
                <w:tcPr>
                  <w:tcW w:w="597" w:type="pct"/>
                  <w:vMerge w:val="continue"/>
                  <w:tcBorders>
                    <w:tl2br w:val="nil"/>
                    <w:tr2bl w:val="nil"/>
                  </w:tcBorders>
                  <w:noWrap w:val="0"/>
                  <w:vAlign w:val="center"/>
                </w:tcPr>
                <w:p w14:paraId="49F52852">
                  <w:pPr>
                    <w:jc w:val="center"/>
                    <w:rPr>
                      <w:u w:val="none"/>
                    </w:rPr>
                  </w:pPr>
                </w:p>
              </w:tc>
              <w:tc>
                <w:tcPr>
                  <w:tcW w:w="265" w:type="pct"/>
                  <w:vMerge w:val="continue"/>
                  <w:tcBorders>
                    <w:tl2br w:val="nil"/>
                    <w:tr2bl w:val="nil"/>
                  </w:tcBorders>
                  <w:noWrap w:val="0"/>
                  <w:vAlign w:val="center"/>
                </w:tcPr>
                <w:p w14:paraId="6E7E4940">
                  <w:pPr>
                    <w:jc w:val="center"/>
                    <w:rPr>
                      <w:u w:val="none"/>
                    </w:rPr>
                  </w:pPr>
                </w:p>
              </w:tc>
              <w:tc>
                <w:tcPr>
                  <w:tcW w:w="179" w:type="pct"/>
                  <w:vMerge w:val="continue"/>
                  <w:tcBorders>
                    <w:tl2br w:val="nil"/>
                    <w:tr2bl w:val="nil"/>
                  </w:tcBorders>
                  <w:noWrap w:val="0"/>
                  <w:vAlign w:val="center"/>
                </w:tcPr>
                <w:p w14:paraId="482AE92B">
                  <w:pPr>
                    <w:jc w:val="center"/>
                    <w:rPr>
                      <w:u w:val="none"/>
                    </w:rPr>
                  </w:pPr>
                </w:p>
              </w:tc>
              <w:tc>
                <w:tcPr>
                  <w:tcW w:w="243" w:type="pct"/>
                  <w:vMerge w:val="continue"/>
                  <w:tcBorders>
                    <w:tl2br w:val="nil"/>
                    <w:tr2bl w:val="nil"/>
                  </w:tcBorders>
                  <w:noWrap w:val="0"/>
                  <w:vAlign w:val="center"/>
                </w:tcPr>
                <w:p w14:paraId="6C20EBB9">
                  <w:pPr>
                    <w:jc w:val="center"/>
                    <w:rPr>
                      <w:u w:val="none"/>
                    </w:rPr>
                  </w:pPr>
                </w:p>
              </w:tc>
              <w:tc>
                <w:tcPr>
                  <w:tcW w:w="153" w:type="pct"/>
                  <w:vMerge w:val="continue"/>
                  <w:tcBorders>
                    <w:tl2br w:val="nil"/>
                    <w:tr2bl w:val="nil"/>
                  </w:tcBorders>
                  <w:noWrap w:val="0"/>
                  <w:vAlign w:val="center"/>
                </w:tcPr>
                <w:p w14:paraId="6FB51BE5">
                  <w:pPr>
                    <w:jc w:val="center"/>
                    <w:rPr>
                      <w:u w:val="none"/>
                    </w:rPr>
                  </w:pPr>
                </w:p>
              </w:tc>
              <w:tc>
                <w:tcPr>
                  <w:tcW w:w="169" w:type="pct"/>
                  <w:tcBorders>
                    <w:tl2br w:val="nil"/>
                    <w:tr2bl w:val="nil"/>
                  </w:tcBorders>
                  <w:noWrap w:val="0"/>
                  <w:vAlign w:val="center"/>
                </w:tcPr>
                <w:p w14:paraId="058BDA31">
                  <w:pPr>
                    <w:jc w:val="center"/>
                    <w:rPr>
                      <w:u w:val="none"/>
                    </w:rPr>
                  </w:pPr>
                  <w:r>
                    <w:rPr>
                      <w:u w:val="none"/>
                    </w:rPr>
                    <w:t>南</w:t>
                  </w:r>
                </w:p>
              </w:tc>
              <w:tc>
                <w:tcPr>
                  <w:tcW w:w="232" w:type="pct"/>
                  <w:tcBorders>
                    <w:tl2br w:val="nil"/>
                    <w:tr2bl w:val="nil"/>
                  </w:tcBorders>
                  <w:noWrap w:val="0"/>
                  <w:vAlign w:val="center"/>
                </w:tcPr>
                <w:p w14:paraId="63D7FC45">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49</w:t>
                  </w:r>
                </w:p>
              </w:tc>
              <w:tc>
                <w:tcPr>
                  <w:tcW w:w="1003" w:type="dxa"/>
                  <w:tcBorders>
                    <w:tl2br w:val="nil"/>
                    <w:tr2bl w:val="nil"/>
                  </w:tcBorders>
                  <w:noWrap w:val="0"/>
                  <w:vAlign w:val="center"/>
                </w:tcPr>
                <w:p w14:paraId="0D4E1C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51.2 </w:t>
                  </w:r>
                </w:p>
              </w:tc>
              <w:tc>
                <w:tcPr>
                  <w:tcW w:w="367" w:type="pct"/>
                  <w:vMerge w:val="continue"/>
                  <w:tcBorders>
                    <w:tl2br w:val="nil"/>
                    <w:tr2bl w:val="nil"/>
                  </w:tcBorders>
                  <w:noWrap w:val="0"/>
                  <w:vAlign w:val="center"/>
                </w:tcPr>
                <w:p w14:paraId="354993E9">
                  <w:pPr>
                    <w:jc w:val="center"/>
                    <w:rPr>
                      <w:u w:val="none"/>
                    </w:rPr>
                  </w:pPr>
                </w:p>
              </w:tc>
              <w:tc>
                <w:tcPr>
                  <w:tcW w:w="597" w:type="pct"/>
                  <w:tcBorders>
                    <w:tl2br w:val="nil"/>
                    <w:tr2bl w:val="nil"/>
                  </w:tcBorders>
                  <w:noWrap w:val="0"/>
                  <w:vAlign w:val="center"/>
                </w:tcPr>
                <w:p w14:paraId="23DB62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65162C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36.2 </w:t>
                  </w:r>
                </w:p>
              </w:tc>
              <w:tc>
                <w:tcPr>
                  <w:tcW w:w="274" w:type="pct"/>
                  <w:tcBorders>
                    <w:tl2br w:val="nil"/>
                    <w:tr2bl w:val="nil"/>
                  </w:tcBorders>
                  <w:noWrap w:val="0"/>
                  <w:vAlign w:val="center"/>
                </w:tcPr>
                <w:p w14:paraId="4BA6E447">
                  <w:pPr>
                    <w:jc w:val="center"/>
                    <w:rPr>
                      <w:u w:val="none"/>
                    </w:rPr>
                  </w:pPr>
                  <w:r>
                    <w:rPr>
                      <w:u w:val="none"/>
                    </w:rPr>
                    <w:t>1m</w:t>
                  </w:r>
                </w:p>
              </w:tc>
            </w:tr>
            <w:tr w14:paraId="27BB74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45C96011">
                  <w:pPr>
                    <w:jc w:val="center"/>
                    <w:rPr>
                      <w:u w:val="none"/>
                    </w:rPr>
                  </w:pPr>
                </w:p>
              </w:tc>
              <w:tc>
                <w:tcPr>
                  <w:tcW w:w="264" w:type="pct"/>
                  <w:vMerge w:val="continue"/>
                  <w:tcBorders>
                    <w:tl2br w:val="nil"/>
                    <w:tr2bl w:val="nil"/>
                  </w:tcBorders>
                  <w:noWrap w:val="0"/>
                  <w:vAlign w:val="center"/>
                </w:tcPr>
                <w:p w14:paraId="2B8CD6E6">
                  <w:pPr>
                    <w:jc w:val="center"/>
                    <w:rPr>
                      <w:u w:val="none"/>
                    </w:rPr>
                  </w:pPr>
                </w:p>
              </w:tc>
              <w:tc>
                <w:tcPr>
                  <w:tcW w:w="282" w:type="pct"/>
                  <w:vMerge w:val="continue"/>
                  <w:tcBorders>
                    <w:tl2br w:val="nil"/>
                    <w:tr2bl w:val="nil"/>
                  </w:tcBorders>
                  <w:noWrap w:val="0"/>
                  <w:vAlign w:val="center"/>
                </w:tcPr>
                <w:p w14:paraId="085883B7">
                  <w:pPr>
                    <w:jc w:val="center"/>
                    <w:rPr>
                      <w:u w:val="none"/>
                    </w:rPr>
                  </w:pPr>
                </w:p>
              </w:tc>
              <w:tc>
                <w:tcPr>
                  <w:tcW w:w="597" w:type="pct"/>
                  <w:vMerge w:val="continue"/>
                  <w:tcBorders>
                    <w:tl2br w:val="nil"/>
                    <w:tr2bl w:val="nil"/>
                  </w:tcBorders>
                  <w:noWrap w:val="0"/>
                  <w:vAlign w:val="center"/>
                </w:tcPr>
                <w:p w14:paraId="125C296F">
                  <w:pPr>
                    <w:jc w:val="center"/>
                    <w:rPr>
                      <w:u w:val="none"/>
                    </w:rPr>
                  </w:pPr>
                </w:p>
              </w:tc>
              <w:tc>
                <w:tcPr>
                  <w:tcW w:w="265" w:type="pct"/>
                  <w:vMerge w:val="continue"/>
                  <w:tcBorders>
                    <w:tl2br w:val="nil"/>
                    <w:tr2bl w:val="nil"/>
                  </w:tcBorders>
                  <w:noWrap w:val="0"/>
                  <w:vAlign w:val="center"/>
                </w:tcPr>
                <w:p w14:paraId="3B57D883">
                  <w:pPr>
                    <w:jc w:val="center"/>
                    <w:rPr>
                      <w:u w:val="none"/>
                    </w:rPr>
                  </w:pPr>
                </w:p>
              </w:tc>
              <w:tc>
                <w:tcPr>
                  <w:tcW w:w="179" w:type="pct"/>
                  <w:vMerge w:val="continue"/>
                  <w:tcBorders>
                    <w:tl2br w:val="nil"/>
                    <w:tr2bl w:val="nil"/>
                  </w:tcBorders>
                  <w:noWrap w:val="0"/>
                  <w:vAlign w:val="center"/>
                </w:tcPr>
                <w:p w14:paraId="217D640E">
                  <w:pPr>
                    <w:jc w:val="center"/>
                    <w:rPr>
                      <w:u w:val="none"/>
                    </w:rPr>
                  </w:pPr>
                </w:p>
              </w:tc>
              <w:tc>
                <w:tcPr>
                  <w:tcW w:w="243" w:type="pct"/>
                  <w:vMerge w:val="continue"/>
                  <w:tcBorders>
                    <w:tl2br w:val="nil"/>
                    <w:tr2bl w:val="nil"/>
                  </w:tcBorders>
                  <w:noWrap w:val="0"/>
                  <w:vAlign w:val="center"/>
                </w:tcPr>
                <w:p w14:paraId="057F30E7">
                  <w:pPr>
                    <w:jc w:val="center"/>
                    <w:rPr>
                      <w:u w:val="none"/>
                    </w:rPr>
                  </w:pPr>
                </w:p>
              </w:tc>
              <w:tc>
                <w:tcPr>
                  <w:tcW w:w="153" w:type="pct"/>
                  <w:vMerge w:val="continue"/>
                  <w:tcBorders>
                    <w:tl2br w:val="nil"/>
                    <w:tr2bl w:val="nil"/>
                  </w:tcBorders>
                  <w:noWrap w:val="0"/>
                  <w:vAlign w:val="center"/>
                </w:tcPr>
                <w:p w14:paraId="452B891A">
                  <w:pPr>
                    <w:jc w:val="center"/>
                    <w:rPr>
                      <w:u w:val="none"/>
                    </w:rPr>
                  </w:pPr>
                </w:p>
              </w:tc>
              <w:tc>
                <w:tcPr>
                  <w:tcW w:w="169" w:type="pct"/>
                  <w:tcBorders>
                    <w:tl2br w:val="nil"/>
                    <w:tr2bl w:val="nil"/>
                  </w:tcBorders>
                  <w:noWrap w:val="0"/>
                  <w:vAlign w:val="center"/>
                </w:tcPr>
                <w:p w14:paraId="44FA0D41">
                  <w:pPr>
                    <w:jc w:val="center"/>
                    <w:rPr>
                      <w:u w:val="none"/>
                    </w:rPr>
                  </w:pPr>
                  <w:r>
                    <w:rPr>
                      <w:u w:val="none"/>
                    </w:rPr>
                    <w:t>西</w:t>
                  </w:r>
                </w:p>
              </w:tc>
              <w:tc>
                <w:tcPr>
                  <w:tcW w:w="232" w:type="pct"/>
                  <w:tcBorders>
                    <w:tl2br w:val="nil"/>
                    <w:tr2bl w:val="nil"/>
                  </w:tcBorders>
                  <w:noWrap w:val="0"/>
                  <w:vAlign w:val="center"/>
                </w:tcPr>
                <w:p w14:paraId="0B4DB306">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53</w:t>
                  </w:r>
                </w:p>
              </w:tc>
              <w:tc>
                <w:tcPr>
                  <w:tcW w:w="1003" w:type="dxa"/>
                  <w:tcBorders>
                    <w:tl2br w:val="nil"/>
                    <w:tr2bl w:val="nil"/>
                  </w:tcBorders>
                  <w:noWrap w:val="0"/>
                  <w:vAlign w:val="center"/>
                </w:tcPr>
                <w:p w14:paraId="7CEA61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50.5 </w:t>
                  </w:r>
                </w:p>
              </w:tc>
              <w:tc>
                <w:tcPr>
                  <w:tcW w:w="367" w:type="pct"/>
                  <w:vMerge w:val="continue"/>
                  <w:tcBorders>
                    <w:tl2br w:val="nil"/>
                    <w:tr2bl w:val="nil"/>
                  </w:tcBorders>
                  <w:noWrap w:val="0"/>
                  <w:vAlign w:val="center"/>
                </w:tcPr>
                <w:p w14:paraId="33B116B2">
                  <w:pPr>
                    <w:jc w:val="center"/>
                    <w:rPr>
                      <w:u w:val="none"/>
                    </w:rPr>
                  </w:pPr>
                </w:p>
              </w:tc>
              <w:tc>
                <w:tcPr>
                  <w:tcW w:w="597" w:type="pct"/>
                  <w:tcBorders>
                    <w:tl2br w:val="nil"/>
                    <w:tr2bl w:val="nil"/>
                  </w:tcBorders>
                  <w:noWrap w:val="0"/>
                  <w:vAlign w:val="center"/>
                </w:tcPr>
                <w:p w14:paraId="1D6983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6D782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35.5 </w:t>
                  </w:r>
                </w:p>
              </w:tc>
              <w:tc>
                <w:tcPr>
                  <w:tcW w:w="274" w:type="pct"/>
                  <w:tcBorders>
                    <w:tl2br w:val="nil"/>
                    <w:tr2bl w:val="nil"/>
                  </w:tcBorders>
                  <w:noWrap w:val="0"/>
                  <w:vAlign w:val="center"/>
                </w:tcPr>
                <w:p w14:paraId="5A11823B">
                  <w:pPr>
                    <w:jc w:val="center"/>
                    <w:rPr>
                      <w:u w:val="none"/>
                    </w:rPr>
                  </w:pPr>
                  <w:r>
                    <w:rPr>
                      <w:u w:val="none"/>
                    </w:rPr>
                    <w:t>1m</w:t>
                  </w:r>
                </w:p>
              </w:tc>
            </w:tr>
            <w:tr w14:paraId="37A4E23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2417A9BC">
                  <w:pPr>
                    <w:jc w:val="center"/>
                    <w:rPr>
                      <w:u w:val="none"/>
                    </w:rPr>
                  </w:pPr>
                </w:p>
              </w:tc>
              <w:tc>
                <w:tcPr>
                  <w:tcW w:w="264" w:type="pct"/>
                  <w:vMerge w:val="continue"/>
                  <w:tcBorders>
                    <w:tl2br w:val="nil"/>
                    <w:tr2bl w:val="nil"/>
                  </w:tcBorders>
                  <w:noWrap w:val="0"/>
                  <w:vAlign w:val="center"/>
                </w:tcPr>
                <w:p w14:paraId="76EA86AC">
                  <w:pPr>
                    <w:jc w:val="center"/>
                    <w:rPr>
                      <w:u w:val="none"/>
                    </w:rPr>
                  </w:pPr>
                </w:p>
              </w:tc>
              <w:tc>
                <w:tcPr>
                  <w:tcW w:w="282" w:type="pct"/>
                  <w:vMerge w:val="continue"/>
                  <w:tcBorders>
                    <w:tl2br w:val="nil"/>
                    <w:tr2bl w:val="nil"/>
                  </w:tcBorders>
                  <w:noWrap w:val="0"/>
                  <w:vAlign w:val="center"/>
                </w:tcPr>
                <w:p w14:paraId="678D617E">
                  <w:pPr>
                    <w:jc w:val="center"/>
                    <w:rPr>
                      <w:u w:val="none"/>
                    </w:rPr>
                  </w:pPr>
                </w:p>
              </w:tc>
              <w:tc>
                <w:tcPr>
                  <w:tcW w:w="597" w:type="pct"/>
                  <w:vMerge w:val="continue"/>
                  <w:tcBorders>
                    <w:tl2br w:val="nil"/>
                    <w:tr2bl w:val="nil"/>
                  </w:tcBorders>
                  <w:noWrap w:val="0"/>
                  <w:vAlign w:val="center"/>
                </w:tcPr>
                <w:p w14:paraId="0BF71101">
                  <w:pPr>
                    <w:jc w:val="center"/>
                    <w:rPr>
                      <w:u w:val="none"/>
                    </w:rPr>
                  </w:pPr>
                </w:p>
              </w:tc>
              <w:tc>
                <w:tcPr>
                  <w:tcW w:w="265" w:type="pct"/>
                  <w:vMerge w:val="continue"/>
                  <w:tcBorders>
                    <w:tl2br w:val="nil"/>
                    <w:tr2bl w:val="nil"/>
                  </w:tcBorders>
                  <w:noWrap w:val="0"/>
                  <w:vAlign w:val="center"/>
                </w:tcPr>
                <w:p w14:paraId="5FDD5B49">
                  <w:pPr>
                    <w:jc w:val="center"/>
                    <w:rPr>
                      <w:u w:val="none"/>
                    </w:rPr>
                  </w:pPr>
                </w:p>
              </w:tc>
              <w:tc>
                <w:tcPr>
                  <w:tcW w:w="179" w:type="pct"/>
                  <w:vMerge w:val="continue"/>
                  <w:tcBorders>
                    <w:tl2br w:val="nil"/>
                    <w:tr2bl w:val="nil"/>
                  </w:tcBorders>
                  <w:noWrap w:val="0"/>
                  <w:vAlign w:val="center"/>
                </w:tcPr>
                <w:p w14:paraId="6938E918">
                  <w:pPr>
                    <w:jc w:val="center"/>
                    <w:rPr>
                      <w:u w:val="none"/>
                    </w:rPr>
                  </w:pPr>
                </w:p>
              </w:tc>
              <w:tc>
                <w:tcPr>
                  <w:tcW w:w="243" w:type="pct"/>
                  <w:vMerge w:val="continue"/>
                  <w:tcBorders>
                    <w:tl2br w:val="nil"/>
                    <w:tr2bl w:val="nil"/>
                  </w:tcBorders>
                  <w:noWrap w:val="0"/>
                  <w:vAlign w:val="center"/>
                </w:tcPr>
                <w:p w14:paraId="6056D161">
                  <w:pPr>
                    <w:jc w:val="center"/>
                    <w:rPr>
                      <w:u w:val="none"/>
                    </w:rPr>
                  </w:pPr>
                </w:p>
              </w:tc>
              <w:tc>
                <w:tcPr>
                  <w:tcW w:w="153" w:type="pct"/>
                  <w:vMerge w:val="continue"/>
                  <w:tcBorders>
                    <w:tl2br w:val="nil"/>
                    <w:tr2bl w:val="nil"/>
                  </w:tcBorders>
                  <w:noWrap w:val="0"/>
                  <w:vAlign w:val="center"/>
                </w:tcPr>
                <w:p w14:paraId="4FC2297A">
                  <w:pPr>
                    <w:jc w:val="center"/>
                    <w:rPr>
                      <w:u w:val="none"/>
                    </w:rPr>
                  </w:pPr>
                </w:p>
              </w:tc>
              <w:tc>
                <w:tcPr>
                  <w:tcW w:w="169" w:type="pct"/>
                  <w:tcBorders>
                    <w:tl2br w:val="nil"/>
                    <w:tr2bl w:val="nil"/>
                  </w:tcBorders>
                  <w:noWrap w:val="0"/>
                  <w:vAlign w:val="center"/>
                </w:tcPr>
                <w:p w14:paraId="3848883D">
                  <w:pPr>
                    <w:jc w:val="center"/>
                    <w:rPr>
                      <w:u w:val="none"/>
                    </w:rPr>
                  </w:pPr>
                  <w:r>
                    <w:rPr>
                      <w:u w:val="none"/>
                    </w:rPr>
                    <w:t>北</w:t>
                  </w:r>
                </w:p>
              </w:tc>
              <w:tc>
                <w:tcPr>
                  <w:tcW w:w="232" w:type="pct"/>
                  <w:tcBorders>
                    <w:tl2br w:val="nil"/>
                    <w:tr2bl w:val="nil"/>
                  </w:tcBorders>
                  <w:noWrap w:val="0"/>
                  <w:vAlign w:val="center"/>
                </w:tcPr>
                <w:p w14:paraId="5FD25454">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29</w:t>
                  </w:r>
                </w:p>
              </w:tc>
              <w:tc>
                <w:tcPr>
                  <w:tcW w:w="1003" w:type="dxa"/>
                  <w:tcBorders>
                    <w:tl2br w:val="nil"/>
                    <w:tr2bl w:val="nil"/>
                  </w:tcBorders>
                  <w:noWrap w:val="0"/>
                  <w:vAlign w:val="center"/>
                </w:tcPr>
                <w:p w14:paraId="1C6260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55.8 </w:t>
                  </w:r>
                </w:p>
              </w:tc>
              <w:tc>
                <w:tcPr>
                  <w:tcW w:w="367" w:type="pct"/>
                  <w:vMerge w:val="continue"/>
                  <w:tcBorders>
                    <w:tl2br w:val="nil"/>
                    <w:tr2bl w:val="nil"/>
                  </w:tcBorders>
                  <w:noWrap w:val="0"/>
                  <w:vAlign w:val="center"/>
                </w:tcPr>
                <w:p w14:paraId="1FA0DC5F">
                  <w:pPr>
                    <w:jc w:val="center"/>
                    <w:rPr>
                      <w:u w:val="none"/>
                    </w:rPr>
                  </w:pPr>
                </w:p>
              </w:tc>
              <w:tc>
                <w:tcPr>
                  <w:tcW w:w="597" w:type="pct"/>
                  <w:tcBorders>
                    <w:tl2br w:val="nil"/>
                    <w:tr2bl w:val="nil"/>
                  </w:tcBorders>
                  <w:noWrap w:val="0"/>
                  <w:vAlign w:val="center"/>
                </w:tcPr>
                <w:p w14:paraId="6A995B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2BDF2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40.8 </w:t>
                  </w:r>
                </w:p>
              </w:tc>
              <w:tc>
                <w:tcPr>
                  <w:tcW w:w="274" w:type="pct"/>
                  <w:tcBorders>
                    <w:tl2br w:val="nil"/>
                    <w:tr2bl w:val="nil"/>
                  </w:tcBorders>
                  <w:noWrap w:val="0"/>
                  <w:vAlign w:val="center"/>
                </w:tcPr>
                <w:p w14:paraId="2B0146EC">
                  <w:pPr>
                    <w:jc w:val="center"/>
                    <w:rPr>
                      <w:u w:val="none"/>
                    </w:rPr>
                  </w:pPr>
                  <w:r>
                    <w:rPr>
                      <w:u w:val="none"/>
                    </w:rPr>
                    <w:t>1m</w:t>
                  </w:r>
                </w:p>
              </w:tc>
            </w:tr>
            <w:tr w14:paraId="53E6F84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restart"/>
                  <w:tcBorders>
                    <w:tl2br w:val="nil"/>
                    <w:tr2bl w:val="nil"/>
                  </w:tcBorders>
                  <w:noWrap w:val="0"/>
                  <w:vAlign w:val="center"/>
                </w:tcPr>
                <w:p w14:paraId="0BF0A616">
                  <w:pPr>
                    <w:jc w:val="center"/>
                    <w:rPr>
                      <w:kern w:val="2"/>
                      <w:sz w:val="21"/>
                      <w:szCs w:val="24"/>
                      <w:u w:val="none"/>
                      <w:lang w:val="en-US" w:eastAsia="zh-CN" w:bidi="ar-SA"/>
                    </w:rPr>
                  </w:pPr>
                  <w:r>
                    <w:rPr>
                      <w:u w:val="none"/>
                    </w:rPr>
                    <w:t>4</w:t>
                  </w:r>
                </w:p>
              </w:tc>
              <w:tc>
                <w:tcPr>
                  <w:tcW w:w="264" w:type="pct"/>
                  <w:vMerge w:val="continue"/>
                  <w:tcBorders>
                    <w:tl2br w:val="nil"/>
                    <w:tr2bl w:val="nil"/>
                  </w:tcBorders>
                  <w:noWrap w:val="0"/>
                  <w:vAlign w:val="center"/>
                </w:tcPr>
                <w:p w14:paraId="19335A84">
                  <w:pPr>
                    <w:jc w:val="center"/>
                    <w:rPr>
                      <w:u w:val="none"/>
                    </w:rPr>
                  </w:pPr>
                </w:p>
              </w:tc>
              <w:tc>
                <w:tcPr>
                  <w:tcW w:w="282" w:type="pct"/>
                  <w:vMerge w:val="restart"/>
                  <w:tcBorders>
                    <w:tl2br w:val="nil"/>
                    <w:tr2bl w:val="nil"/>
                  </w:tcBorders>
                  <w:noWrap w:val="0"/>
                  <w:vAlign w:val="center"/>
                </w:tcPr>
                <w:p w14:paraId="7D0FF8E9">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无溶剂复合机</w:t>
                  </w:r>
                </w:p>
              </w:tc>
              <w:tc>
                <w:tcPr>
                  <w:tcW w:w="597" w:type="pct"/>
                  <w:vMerge w:val="restart"/>
                  <w:tcBorders>
                    <w:tl2br w:val="nil"/>
                    <w:tr2bl w:val="nil"/>
                  </w:tcBorders>
                  <w:noWrap w:val="0"/>
                  <w:vAlign w:val="center"/>
                </w:tcPr>
                <w:p w14:paraId="37C32962">
                  <w:pPr>
                    <w:jc w:val="center"/>
                    <w:rPr>
                      <w:kern w:val="2"/>
                      <w:sz w:val="21"/>
                      <w:szCs w:val="24"/>
                      <w:u w:val="none"/>
                      <w:lang w:val="en-US" w:eastAsia="zh-CN" w:bidi="ar-SA"/>
                    </w:rPr>
                  </w:pPr>
                  <w:r>
                    <w:rPr>
                      <w:rFonts w:hint="eastAsia"/>
                      <w:u w:val="none"/>
                      <w:lang w:val="en-US" w:eastAsia="zh-CN"/>
                    </w:rPr>
                    <w:t>85</w:t>
                  </w:r>
                  <w:r>
                    <w:rPr>
                      <w:u w:val="none"/>
                    </w:rPr>
                    <w:t>/1</w:t>
                  </w:r>
                </w:p>
              </w:tc>
              <w:tc>
                <w:tcPr>
                  <w:tcW w:w="265" w:type="pct"/>
                  <w:vMerge w:val="continue"/>
                  <w:tcBorders>
                    <w:tl2br w:val="nil"/>
                    <w:tr2bl w:val="nil"/>
                  </w:tcBorders>
                  <w:noWrap w:val="0"/>
                  <w:vAlign w:val="center"/>
                </w:tcPr>
                <w:p w14:paraId="1C15465C">
                  <w:pPr>
                    <w:jc w:val="center"/>
                    <w:rPr>
                      <w:u w:val="none"/>
                    </w:rPr>
                  </w:pPr>
                </w:p>
              </w:tc>
              <w:tc>
                <w:tcPr>
                  <w:tcW w:w="179" w:type="pct"/>
                  <w:vMerge w:val="restart"/>
                  <w:tcBorders>
                    <w:tl2br w:val="nil"/>
                    <w:tr2bl w:val="nil"/>
                  </w:tcBorders>
                  <w:noWrap w:val="0"/>
                  <w:vAlign w:val="center"/>
                </w:tcPr>
                <w:p w14:paraId="575F4DF6">
                  <w:pPr>
                    <w:jc w:val="center"/>
                    <w:rPr>
                      <w:rFonts w:hint="default" w:eastAsia="宋体"/>
                      <w:u w:val="none"/>
                      <w:lang w:val="en-US" w:eastAsia="zh-CN"/>
                    </w:rPr>
                  </w:pPr>
                  <w:r>
                    <w:rPr>
                      <w:rFonts w:hint="eastAsia"/>
                      <w:u w:val="none"/>
                      <w:lang w:val="en-US" w:eastAsia="zh-CN"/>
                    </w:rPr>
                    <w:t>12</w:t>
                  </w:r>
                </w:p>
              </w:tc>
              <w:tc>
                <w:tcPr>
                  <w:tcW w:w="243" w:type="pct"/>
                  <w:vMerge w:val="restart"/>
                  <w:tcBorders>
                    <w:tl2br w:val="nil"/>
                    <w:tr2bl w:val="nil"/>
                  </w:tcBorders>
                  <w:noWrap w:val="0"/>
                  <w:vAlign w:val="center"/>
                </w:tcPr>
                <w:p w14:paraId="15D93B77">
                  <w:pPr>
                    <w:jc w:val="center"/>
                    <w:rPr>
                      <w:rFonts w:hint="default" w:eastAsia="宋体"/>
                      <w:u w:val="none"/>
                      <w:lang w:val="en-US" w:eastAsia="zh-CN"/>
                    </w:rPr>
                  </w:pPr>
                  <w:r>
                    <w:rPr>
                      <w:rFonts w:hint="eastAsia"/>
                      <w:u w:val="none"/>
                      <w:lang w:val="en-US" w:eastAsia="zh-CN"/>
                    </w:rPr>
                    <w:t>16</w:t>
                  </w:r>
                </w:p>
              </w:tc>
              <w:tc>
                <w:tcPr>
                  <w:tcW w:w="257" w:type="dxa"/>
                  <w:vMerge w:val="restart"/>
                  <w:tcBorders>
                    <w:tl2br w:val="nil"/>
                    <w:tr2bl w:val="nil"/>
                  </w:tcBorders>
                  <w:noWrap w:val="0"/>
                  <w:vAlign w:val="center"/>
                </w:tcPr>
                <w:p w14:paraId="6AFC10D0">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6C990D6D">
                  <w:pPr>
                    <w:jc w:val="center"/>
                    <w:rPr>
                      <w:u w:val="none"/>
                    </w:rPr>
                  </w:pPr>
                  <w:r>
                    <w:rPr>
                      <w:u w:val="none"/>
                    </w:rPr>
                    <w:t>东</w:t>
                  </w:r>
                </w:p>
              </w:tc>
              <w:tc>
                <w:tcPr>
                  <w:tcW w:w="232" w:type="pct"/>
                  <w:tcBorders>
                    <w:tl2br w:val="nil"/>
                    <w:tr2bl w:val="nil"/>
                  </w:tcBorders>
                  <w:noWrap w:val="0"/>
                  <w:vAlign w:val="center"/>
                </w:tcPr>
                <w:p w14:paraId="0FC8FAB9">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29</w:t>
                  </w:r>
                </w:p>
              </w:tc>
              <w:tc>
                <w:tcPr>
                  <w:tcW w:w="1003" w:type="dxa"/>
                  <w:tcBorders>
                    <w:tl2br w:val="nil"/>
                    <w:tr2bl w:val="nil"/>
                  </w:tcBorders>
                  <w:noWrap w:val="0"/>
                  <w:vAlign w:val="center"/>
                </w:tcPr>
                <w:p w14:paraId="4128A3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55.8 </w:t>
                  </w:r>
                </w:p>
              </w:tc>
              <w:tc>
                <w:tcPr>
                  <w:tcW w:w="367" w:type="pct"/>
                  <w:vMerge w:val="continue"/>
                  <w:tcBorders>
                    <w:tl2br w:val="nil"/>
                    <w:tr2bl w:val="nil"/>
                  </w:tcBorders>
                  <w:noWrap w:val="0"/>
                  <w:vAlign w:val="center"/>
                </w:tcPr>
                <w:p w14:paraId="7E5DD178">
                  <w:pPr>
                    <w:jc w:val="center"/>
                    <w:rPr>
                      <w:u w:val="none"/>
                    </w:rPr>
                  </w:pPr>
                </w:p>
              </w:tc>
              <w:tc>
                <w:tcPr>
                  <w:tcW w:w="597" w:type="pct"/>
                  <w:tcBorders>
                    <w:tl2br w:val="nil"/>
                    <w:tr2bl w:val="nil"/>
                  </w:tcBorders>
                  <w:noWrap w:val="0"/>
                  <w:vAlign w:val="center"/>
                </w:tcPr>
                <w:p w14:paraId="07913B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147B5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40.8 </w:t>
                  </w:r>
                </w:p>
              </w:tc>
              <w:tc>
                <w:tcPr>
                  <w:tcW w:w="274" w:type="pct"/>
                  <w:tcBorders>
                    <w:tl2br w:val="nil"/>
                    <w:tr2bl w:val="nil"/>
                  </w:tcBorders>
                  <w:noWrap w:val="0"/>
                  <w:vAlign w:val="center"/>
                </w:tcPr>
                <w:p w14:paraId="33AB88FF">
                  <w:pPr>
                    <w:jc w:val="center"/>
                    <w:rPr>
                      <w:u w:val="none"/>
                    </w:rPr>
                  </w:pPr>
                  <w:r>
                    <w:rPr>
                      <w:u w:val="none"/>
                    </w:rPr>
                    <w:t>1m</w:t>
                  </w:r>
                </w:p>
              </w:tc>
            </w:tr>
            <w:tr w14:paraId="1E68148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3F9604A9">
                  <w:pPr>
                    <w:jc w:val="center"/>
                    <w:rPr>
                      <w:u w:val="none"/>
                    </w:rPr>
                  </w:pPr>
                </w:p>
              </w:tc>
              <w:tc>
                <w:tcPr>
                  <w:tcW w:w="264" w:type="pct"/>
                  <w:vMerge w:val="continue"/>
                  <w:tcBorders>
                    <w:tl2br w:val="nil"/>
                    <w:tr2bl w:val="nil"/>
                  </w:tcBorders>
                  <w:noWrap w:val="0"/>
                  <w:vAlign w:val="center"/>
                </w:tcPr>
                <w:p w14:paraId="3F81211F">
                  <w:pPr>
                    <w:jc w:val="center"/>
                    <w:rPr>
                      <w:u w:val="none"/>
                    </w:rPr>
                  </w:pPr>
                </w:p>
              </w:tc>
              <w:tc>
                <w:tcPr>
                  <w:tcW w:w="282" w:type="pct"/>
                  <w:vMerge w:val="continue"/>
                  <w:tcBorders>
                    <w:tl2br w:val="nil"/>
                    <w:tr2bl w:val="nil"/>
                  </w:tcBorders>
                  <w:noWrap w:val="0"/>
                  <w:vAlign w:val="center"/>
                </w:tcPr>
                <w:p w14:paraId="6C44B5E5">
                  <w:pPr>
                    <w:jc w:val="center"/>
                    <w:rPr>
                      <w:u w:val="none"/>
                    </w:rPr>
                  </w:pPr>
                </w:p>
              </w:tc>
              <w:tc>
                <w:tcPr>
                  <w:tcW w:w="597" w:type="pct"/>
                  <w:vMerge w:val="continue"/>
                  <w:tcBorders>
                    <w:tl2br w:val="nil"/>
                    <w:tr2bl w:val="nil"/>
                  </w:tcBorders>
                  <w:noWrap w:val="0"/>
                  <w:vAlign w:val="center"/>
                </w:tcPr>
                <w:p w14:paraId="004F85F0">
                  <w:pPr>
                    <w:jc w:val="center"/>
                    <w:rPr>
                      <w:u w:val="none"/>
                    </w:rPr>
                  </w:pPr>
                </w:p>
              </w:tc>
              <w:tc>
                <w:tcPr>
                  <w:tcW w:w="265" w:type="pct"/>
                  <w:vMerge w:val="continue"/>
                  <w:tcBorders>
                    <w:tl2br w:val="nil"/>
                    <w:tr2bl w:val="nil"/>
                  </w:tcBorders>
                  <w:noWrap w:val="0"/>
                  <w:vAlign w:val="center"/>
                </w:tcPr>
                <w:p w14:paraId="3E02B4C8">
                  <w:pPr>
                    <w:jc w:val="center"/>
                    <w:rPr>
                      <w:u w:val="none"/>
                    </w:rPr>
                  </w:pPr>
                </w:p>
              </w:tc>
              <w:tc>
                <w:tcPr>
                  <w:tcW w:w="179" w:type="pct"/>
                  <w:vMerge w:val="continue"/>
                  <w:tcBorders>
                    <w:tl2br w:val="nil"/>
                    <w:tr2bl w:val="nil"/>
                  </w:tcBorders>
                  <w:noWrap w:val="0"/>
                  <w:vAlign w:val="center"/>
                </w:tcPr>
                <w:p w14:paraId="02CF9ED2">
                  <w:pPr>
                    <w:jc w:val="center"/>
                    <w:rPr>
                      <w:u w:val="none"/>
                    </w:rPr>
                  </w:pPr>
                </w:p>
              </w:tc>
              <w:tc>
                <w:tcPr>
                  <w:tcW w:w="243" w:type="pct"/>
                  <w:vMerge w:val="continue"/>
                  <w:tcBorders>
                    <w:tl2br w:val="nil"/>
                    <w:tr2bl w:val="nil"/>
                  </w:tcBorders>
                  <w:noWrap w:val="0"/>
                  <w:vAlign w:val="center"/>
                </w:tcPr>
                <w:p w14:paraId="3C7C6ABE">
                  <w:pPr>
                    <w:jc w:val="center"/>
                    <w:rPr>
                      <w:u w:val="none"/>
                    </w:rPr>
                  </w:pPr>
                </w:p>
              </w:tc>
              <w:tc>
                <w:tcPr>
                  <w:tcW w:w="153" w:type="pct"/>
                  <w:vMerge w:val="continue"/>
                  <w:tcBorders>
                    <w:tl2br w:val="nil"/>
                    <w:tr2bl w:val="nil"/>
                  </w:tcBorders>
                  <w:noWrap w:val="0"/>
                  <w:vAlign w:val="center"/>
                </w:tcPr>
                <w:p w14:paraId="189C7197">
                  <w:pPr>
                    <w:jc w:val="center"/>
                    <w:rPr>
                      <w:u w:val="none"/>
                    </w:rPr>
                  </w:pPr>
                </w:p>
              </w:tc>
              <w:tc>
                <w:tcPr>
                  <w:tcW w:w="169" w:type="pct"/>
                  <w:tcBorders>
                    <w:tl2br w:val="nil"/>
                    <w:tr2bl w:val="nil"/>
                  </w:tcBorders>
                  <w:noWrap w:val="0"/>
                  <w:vAlign w:val="center"/>
                </w:tcPr>
                <w:p w14:paraId="4B25C9AE">
                  <w:pPr>
                    <w:jc w:val="center"/>
                    <w:rPr>
                      <w:u w:val="none"/>
                    </w:rPr>
                  </w:pPr>
                  <w:r>
                    <w:rPr>
                      <w:u w:val="none"/>
                    </w:rPr>
                    <w:t>南</w:t>
                  </w:r>
                </w:p>
              </w:tc>
              <w:tc>
                <w:tcPr>
                  <w:tcW w:w="232" w:type="pct"/>
                  <w:tcBorders>
                    <w:tl2br w:val="nil"/>
                    <w:tr2bl w:val="nil"/>
                  </w:tcBorders>
                  <w:noWrap w:val="0"/>
                  <w:vAlign w:val="center"/>
                </w:tcPr>
                <w:p w14:paraId="6C4E553F">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55</w:t>
                  </w:r>
                </w:p>
              </w:tc>
              <w:tc>
                <w:tcPr>
                  <w:tcW w:w="1003" w:type="dxa"/>
                  <w:tcBorders>
                    <w:tl2br w:val="nil"/>
                    <w:tr2bl w:val="nil"/>
                  </w:tcBorders>
                  <w:noWrap w:val="0"/>
                  <w:vAlign w:val="center"/>
                </w:tcPr>
                <w:p w14:paraId="225B48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50.2 </w:t>
                  </w:r>
                </w:p>
              </w:tc>
              <w:tc>
                <w:tcPr>
                  <w:tcW w:w="367" w:type="pct"/>
                  <w:vMerge w:val="continue"/>
                  <w:tcBorders>
                    <w:tl2br w:val="nil"/>
                    <w:tr2bl w:val="nil"/>
                  </w:tcBorders>
                  <w:noWrap w:val="0"/>
                  <w:vAlign w:val="center"/>
                </w:tcPr>
                <w:p w14:paraId="6F61AFF0">
                  <w:pPr>
                    <w:jc w:val="center"/>
                    <w:rPr>
                      <w:u w:val="none"/>
                    </w:rPr>
                  </w:pPr>
                </w:p>
              </w:tc>
              <w:tc>
                <w:tcPr>
                  <w:tcW w:w="597" w:type="pct"/>
                  <w:tcBorders>
                    <w:tl2br w:val="nil"/>
                    <w:tr2bl w:val="nil"/>
                  </w:tcBorders>
                  <w:noWrap w:val="0"/>
                  <w:vAlign w:val="center"/>
                </w:tcPr>
                <w:p w14:paraId="5CF420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1BCAF3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35.2 </w:t>
                  </w:r>
                </w:p>
              </w:tc>
              <w:tc>
                <w:tcPr>
                  <w:tcW w:w="274" w:type="pct"/>
                  <w:tcBorders>
                    <w:tl2br w:val="nil"/>
                    <w:tr2bl w:val="nil"/>
                  </w:tcBorders>
                  <w:noWrap w:val="0"/>
                  <w:vAlign w:val="center"/>
                </w:tcPr>
                <w:p w14:paraId="36A73999">
                  <w:pPr>
                    <w:jc w:val="center"/>
                    <w:rPr>
                      <w:u w:val="none"/>
                    </w:rPr>
                  </w:pPr>
                  <w:r>
                    <w:rPr>
                      <w:u w:val="none"/>
                    </w:rPr>
                    <w:t>1m</w:t>
                  </w:r>
                </w:p>
              </w:tc>
            </w:tr>
            <w:tr w14:paraId="70661BD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2679D0E0">
                  <w:pPr>
                    <w:jc w:val="center"/>
                    <w:rPr>
                      <w:u w:val="none"/>
                    </w:rPr>
                  </w:pPr>
                </w:p>
              </w:tc>
              <w:tc>
                <w:tcPr>
                  <w:tcW w:w="264" w:type="pct"/>
                  <w:vMerge w:val="continue"/>
                  <w:tcBorders>
                    <w:tl2br w:val="nil"/>
                    <w:tr2bl w:val="nil"/>
                  </w:tcBorders>
                  <w:noWrap w:val="0"/>
                  <w:vAlign w:val="center"/>
                </w:tcPr>
                <w:p w14:paraId="4EDE41A5">
                  <w:pPr>
                    <w:jc w:val="center"/>
                    <w:rPr>
                      <w:u w:val="none"/>
                    </w:rPr>
                  </w:pPr>
                </w:p>
              </w:tc>
              <w:tc>
                <w:tcPr>
                  <w:tcW w:w="282" w:type="pct"/>
                  <w:vMerge w:val="continue"/>
                  <w:tcBorders>
                    <w:tl2br w:val="nil"/>
                    <w:tr2bl w:val="nil"/>
                  </w:tcBorders>
                  <w:noWrap w:val="0"/>
                  <w:vAlign w:val="center"/>
                </w:tcPr>
                <w:p w14:paraId="150F6E65">
                  <w:pPr>
                    <w:jc w:val="center"/>
                    <w:rPr>
                      <w:u w:val="none"/>
                    </w:rPr>
                  </w:pPr>
                </w:p>
              </w:tc>
              <w:tc>
                <w:tcPr>
                  <w:tcW w:w="597" w:type="pct"/>
                  <w:vMerge w:val="continue"/>
                  <w:tcBorders>
                    <w:tl2br w:val="nil"/>
                    <w:tr2bl w:val="nil"/>
                  </w:tcBorders>
                  <w:noWrap w:val="0"/>
                  <w:vAlign w:val="center"/>
                </w:tcPr>
                <w:p w14:paraId="11BD9A69">
                  <w:pPr>
                    <w:jc w:val="center"/>
                    <w:rPr>
                      <w:u w:val="none"/>
                    </w:rPr>
                  </w:pPr>
                </w:p>
              </w:tc>
              <w:tc>
                <w:tcPr>
                  <w:tcW w:w="265" w:type="pct"/>
                  <w:vMerge w:val="continue"/>
                  <w:tcBorders>
                    <w:tl2br w:val="nil"/>
                    <w:tr2bl w:val="nil"/>
                  </w:tcBorders>
                  <w:noWrap w:val="0"/>
                  <w:vAlign w:val="center"/>
                </w:tcPr>
                <w:p w14:paraId="452D26F2">
                  <w:pPr>
                    <w:jc w:val="center"/>
                    <w:rPr>
                      <w:u w:val="none"/>
                    </w:rPr>
                  </w:pPr>
                </w:p>
              </w:tc>
              <w:tc>
                <w:tcPr>
                  <w:tcW w:w="179" w:type="pct"/>
                  <w:vMerge w:val="continue"/>
                  <w:tcBorders>
                    <w:tl2br w:val="nil"/>
                    <w:tr2bl w:val="nil"/>
                  </w:tcBorders>
                  <w:noWrap w:val="0"/>
                  <w:vAlign w:val="center"/>
                </w:tcPr>
                <w:p w14:paraId="255A621B">
                  <w:pPr>
                    <w:jc w:val="center"/>
                    <w:rPr>
                      <w:u w:val="none"/>
                    </w:rPr>
                  </w:pPr>
                </w:p>
              </w:tc>
              <w:tc>
                <w:tcPr>
                  <w:tcW w:w="243" w:type="pct"/>
                  <w:vMerge w:val="continue"/>
                  <w:tcBorders>
                    <w:tl2br w:val="nil"/>
                    <w:tr2bl w:val="nil"/>
                  </w:tcBorders>
                  <w:noWrap w:val="0"/>
                  <w:vAlign w:val="center"/>
                </w:tcPr>
                <w:p w14:paraId="43E4A795">
                  <w:pPr>
                    <w:jc w:val="center"/>
                    <w:rPr>
                      <w:u w:val="none"/>
                    </w:rPr>
                  </w:pPr>
                </w:p>
              </w:tc>
              <w:tc>
                <w:tcPr>
                  <w:tcW w:w="153" w:type="pct"/>
                  <w:vMerge w:val="continue"/>
                  <w:tcBorders>
                    <w:tl2br w:val="nil"/>
                    <w:tr2bl w:val="nil"/>
                  </w:tcBorders>
                  <w:noWrap w:val="0"/>
                  <w:vAlign w:val="center"/>
                </w:tcPr>
                <w:p w14:paraId="566BA017">
                  <w:pPr>
                    <w:jc w:val="center"/>
                    <w:rPr>
                      <w:u w:val="none"/>
                    </w:rPr>
                  </w:pPr>
                </w:p>
              </w:tc>
              <w:tc>
                <w:tcPr>
                  <w:tcW w:w="169" w:type="pct"/>
                  <w:tcBorders>
                    <w:tl2br w:val="nil"/>
                    <w:tr2bl w:val="nil"/>
                  </w:tcBorders>
                  <w:noWrap w:val="0"/>
                  <w:vAlign w:val="center"/>
                </w:tcPr>
                <w:p w14:paraId="6EC2388D">
                  <w:pPr>
                    <w:jc w:val="center"/>
                    <w:rPr>
                      <w:u w:val="none"/>
                    </w:rPr>
                  </w:pPr>
                  <w:r>
                    <w:rPr>
                      <w:u w:val="none"/>
                    </w:rPr>
                    <w:t>西</w:t>
                  </w:r>
                </w:p>
              </w:tc>
              <w:tc>
                <w:tcPr>
                  <w:tcW w:w="232" w:type="pct"/>
                  <w:tcBorders>
                    <w:tl2br w:val="nil"/>
                    <w:tr2bl w:val="nil"/>
                  </w:tcBorders>
                  <w:noWrap w:val="0"/>
                  <w:vAlign w:val="center"/>
                </w:tcPr>
                <w:p w14:paraId="05E9E6E5">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53</w:t>
                  </w:r>
                </w:p>
              </w:tc>
              <w:tc>
                <w:tcPr>
                  <w:tcW w:w="1003" w:type="dxa"/>
                  <w:tcBorders>
                    <w:tl2br w:val="nil"/>
                    <w:tr2bl w:val="nil"/>
                  </w:tcBorders>
                  <w:noWrap w:val="0"/>
                  <w:vAlign w:val="center"/>
                </w:tcPr>
                <w:p w14:paraId="3DC590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50.5 </w:t>
                  </w:r>
                </w:p>
              </w:tc>
              <w:tc>
                <w:tcPr>
                  <w:tcW w:w="367" w:type="pct"/>
                  <w:vMerge w:val="continue"/>
                  <w:tcBorders>
                    <w:tl2br w:val="nil"/>
                    <w:tr2bl w:val="nil"/>
                  </w:tcBorders>
                  <w:noWrap w:val="0"/>
                  <w:vAlign w:val="center"/>
                </w:tcPr>
                <w:p w14:paraId="2D78AA97">
                  <w:pPr>
                    <w:jc w:val="center"/>
                    <w:rPr>
                      <w:u w:val="none"/>
                    </w:rPr>
                  </w:pPr>
                </w:p>
              </w:tc>
              <w:tc>
                <w:tcPr>
                  <w:tcW w:w="597" w:type="pct"/>
                  <w:tcBorders>
                    <w:tl2br w:val="nil"/>
                    <w:tr2bl w:val="nil"/>
                  </w:tcBorders>
                  <w:noWrap w:val="0"/>
                  <w:vAlign w:val="center"/>
                </w:tcPr>
                <w:p w14:paraId="05F186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57B22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35.5 </w:t>
                  </w:r>
                </w:p>
              </w:tc>
              <w:tc>
                <w:tcPr>
                  <w:tcW w:w="274" w:type="pct"/>
                  <w:tcBorders>
                    <w:tl2br w:val="nil"/>
                    <w:tr2bl w:val="nil"/>
                  </w:tcBorders>
                  <w:noWrap w:val="0"/>
                  <w:vAlign w:val="center"/>
                </w:tcPr>
                <w:p w14:paraId="714EF802">
                  <w:pPr>
                    <w:jc w:val="center"/>
                    <w:rPr>
                      <w:u w:val="none"/>
                    </w:rPr>
                  </w:pPr>
                  <w:r>
                    <w:rPr>
                      <w:u w:val="none"/>
                    </w:rPr>
                    <w:t>1m</w:t>
                  </w:r>
                </w:p>
              </w:tc>
            </w:tr>
            <w:tr w14:paraId="184806E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62FBA049">
                  <w:pPr>
                    <w:jc w:val="center"/>
                    <w:rPr>
                      <w:u w:val="none"/>
                    </w:rPr>
                  </w:pPr>
                </w:p>
              </w:tc>
              <w:tc>
                <w:tcPr>
                  <w:tcW w:w="264" w:type="pct"/>
                  <w:vMerge w:val="continue"/>
                  <w:tcBorders>
                    <w:tl2br w:val="nil"/>
                    <w:tr2bl w:val="nil"/>
                  </w:tcBorders>
                  <w:noWrap w:val="0"/>
                  <w:vAlign w:val="center"/>
                </w:tcPr>
                <w:p w14:paraId="1172A318">
                  <w:pPr>
                    <w:jc w:val="center"/>
                    <w:rPr>
                      <w:u w:val="none"/>
                    </w:rPr>
                  </w:pPr>
                </w:p>
              </w:tc>
              <w:tc>
                <w:tcPr>
                  <w:tcW w:w="282" w:type="pct"/>
                  <w:vMerge w:val="continue"/>
                  <w:tcBorders>
                    <w:tl2br w:val="nil"/>
                    <w:tr2bl w:val="nil"/>
                  </w:tcBorders>
                  <w:noWrap w:val="0"/>
                  <w:vAlign w:val="center"/>
                </w:tcPr>
                <w:p w14:paraId="42DB3092">
                  <w:pPr>
                    <w:jc w:val="center"/>
                    <w:rPr>
                      <w:u w:val="none"/>
                    </w:rPr>
                  </w:pPr>
                </w:p>
              </w:tc>
              <w:tc>
                <w:tcPr>
                  <w:tcW w:w="597" w:type="pct"/>
                  <w:vMerge w:val="continue"/>
                  <w:tcBorders>
                    <w:tl2br w:val="nil"/>
                    <w:tr2bl w:val="nil"/>
                  </w:tcBorders>
                  <w:noWrap w:val="0"/>
                  <w:vAlign w:val="center"/>
                </w:tcPr>
                <w:p w14:paraId="2190FDB9">
                  <w:pPr>
                    <w:jc w:val="center"/>
                    <w:rPr>
                      <w:u w:val="none"/>
                    </w:rPr>
                  </w:pPr>
                </w:p>
              </w:tc>
              <w:tc>
                <w:tcPr>
                  <w:tcW w:w="265" w:type="pct"/>
                  <w:vMerge w:val="continue"/>
                  <w:tcBorders>
                    <w:tl2br w:val="nil"/>
                    <w:tr2bl w:val="nil"/>
                  </w:tcBorders>
                  <w:noWrap w:val="0"/>
                  <w:vAlign w:val="center"/>
                </w:tcPr>
                <w:p w14:paraId="0944B5A7">
                  <w:pPr>
                    <w:jc w:val="center"/>
                    <w:rPr>
                      <w:u w:val="none"/>
                    </w:rPr>
                  </w:pPr>
                </w:p>
              </w:tc>
              <w:tc>
                <w:tcPr>
                  <w:tcW w:w="179" w:type="pct"/>
                  <w:vMerge w:val="continue"/>
                  <w:tcBorders>
                    <w:tl2br w:val="nil"/>
                    <w:tr2bl w:val="nil"/>
                  </w:tcBorders>
                  <w:noWrap w:val="0"/>
                  <w:vAlign w:val="center"/>
                </w:tcPr>
                <w:p w14:paraId="1C6AD0FD">
                  <w:pPr>
                    <w:jc w:val="center"/>
                    <w:rPr>
                      <w:u w:val="none"/>
                    </w:rPr>
                  </w:pPr>
                </w:p>
              </w:tc>
              <w:tc>
                <w:tcPr>
                  <w:tcW w:w="243" w:type="pct"/>
                  <w:vMerge w:val="continue"/>
                  <w:tcBorders>
                    <w:tl2br w:val="nil"/>
                    <w:tr2bl w:val="nil"/>
                  </w:tcBorders>
                  <w:noWrap w:val="0"/>
                  <w:vAlign w:val="center"/>
                </w:tcPr>
                <w:p w14:paraId="388C4812">
                  <w:pPr>
                    <w:jc w:val="center"/>
                    <w:rPr>
                      <w:u w:val="none"/>
                    </w:rPr>
                  </w:pPr>
                </w:p>
              </w:tc>
              <w:tc>
                <w:tcPr>
                  <w:tcW w:w="153" w:type="pct"/>
                  <w:vMerge w:val="continue"/>
                  <w:tcBorders>
                    <w:tl2br w:val="nil"/>
                    <w:tr2bl w:val="nil"/>
                  </w:tcBorders>
                  <w:noWrap w:val="0"/>
                  <w:vAlign w:val="center"/>
                </w:tcPr>
                <w:p w14:paraId="1E6816BD">
                  <w:pPr>
                    <w:jc w:val="center"/>
                    <w:rPr>
                      <w:u w:val="none"/>
                    </w:rPr>
                  </w:pPr>
                </w:p>
              </w:tc>
              <w:tc>
                <w:tcPr>
                  <w:tcW w:w="169" w:type="pct"/>
                  <w:tcBorders>
                    <w:tl2br w:val="nil"/>
                    <w:tr2bl w:val="nil"/>
                  </w:tcBorders>
                  <w:noWrap w:val="0"/>
                  <w:vAlign w:val="center"/>
                </w:tcPr>
                <w:p w14:paraId="6D8F28B8">
                  <w:pPr>
                    <w:jc w:val="center"/>
                    <w:rPr>
                      <w:u w:val="none"/>
                    </w:rPr>
                  </w:pPr>
                  <w:r>
                    <w:rPr>
                      <w:u w:val="none"/>
                    </w:rPr>
                    <w:t>北</w:t>
                  </w:r>
                </w:p>
              </w:tc>
              <w:tc>
                <w:tcPr>
                  <w:tcW w:w="232" w:type="pct"/>
                  <w:tcBorders>
                    <w:tl2br w:val="nil"/>
                    <w:tr2bl w:val="nil"/>
                  </w:tcBorders>
                  <w:noWrap w:val="0"/>
                  <w:vAlign w:val="center"/>
                </w:tcPr>
                <w:p w14:paraId="7A681AE8">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23</w:t>
                  </w:r>
                </w:p>
              </w:tc>
              <w:tc>
                <w:tcPr>
                  <w:tcW w:w="1003" w:type="dxa"/>
                  <w:tcBorders>
                    <w:tl2br w:val="nil"/>
                    <w:tr2bl w:val="nil"/>
                  </w:tcBorders>
                  <w:noWrap w:val="0"/>
                  <w:vAlign w:val="center"/>
                </w:tcPr>
                <w:p w14:paraId="21A917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57.8 </w:t>
                  </w:r>
                </w:p>
              </w:tc>
              <w:tc>
                <w:tcPr>
                  <w:tcW w:w="367" w:type="pct"/>
                  <w:vMerge w:val="continue"/>
                  <w:tcBorders>
                    <w:tl2br w:val="nil"/>
                    <w:tr2bl w:val="nil"/>
                  </w:tcBorders>
                  <w:noWrap w:val="0"/>
                  <w:vAlign w:val="center"/>
                </w:tcPr>
                <w:p w14:paraId="0DE9078D">
                  <w:pPr>
                    <w:jc w:val="center"/>
                    <w:rPr>
                      <w:u w:val="none"/>
                    </w:rPr>
                  </w:pPr>
                </w:p>
              </w:tc>
              <w:tc>
                <w:tcPr>
                  <w:tcW w:w="597" w:type="pct"/>
                  <w:tcBorders>
                    <w:tl2br w:val="nil"/>
                    <w:tr2bl w:val="nil"/>
                  </w:tcBorders>
                  <w:noWrap w:val="0"/>
                  <w:vAlign w:val="center"/>
                </w:tcPr>
                <w:p w14:paraId="40BD75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A7754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42.8 </w:t>
                  </w:r>
                </w:p>
              </w:tc>
              <w:tc>
                <w:tcPr>
                  <w:tcW w:w="274" w:type="pct"/>
                  <w:tcBorders>
                    <w:tl2br w:val="nil"/>
                    <w:tr2bl w:val="nil"/>
                  </w:tcBorders>
                  <w:noWrap w:val="0"/>
                  <w:vAlign w:val="center"/>
                </w:tcPr>
                <w:p w14:paraId="6B035222">
                  <w:pPr>
                    <w:jc w:val="center"/>
                    <w:rPr>
                      <w:u w:val="none"/>
                    </w:rPr>
                  </w:pPr>
                  <w:r>
                    <w:rPr>
                      <w:u w:val="none"/>
                    </w:rPr>
                    <w:t>1m</w:t>
                  </w:r>
                </w:p>
              </w:tc>
            </w:tr>
            <w:tr w14:paraId="6BF259E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restart"/>
                  <w:tcBorders>
                    <w:tl2br w:val="nil"/>
                    <w:tr2bl w:val="nil"/>
                  </w:tcBorders>
                  <w:noWrap w:val="0"/>
                  <w:vAlign w:val="center"/>
                </w:tcPr>
                <w:p w14:paraId="1D5DAFF6">
                  <w:pPr>
                    <w:jc w:val="center"/>
                    <w:rPr>
                      <w:rFonts w:hint="eastAsia" w:eastAsia="宋体"/>
                      <w:u w:val="none"/>
                      <w:lang w:val="en-US" w:eastAsia="zh-CN"/>
                    </w:rPr>
                  </w:pPr>
                  <w:r>
                    <w:rPr>
                      <w:rFonts w:hint="eastAsia"/>
                      <w:u w:val="none"/>
                      <w:lang w:val="en-US" w:eastAsia="zh-CN"/>
                    </w:rPr>
                    <w:t>5</w:t>
                  </w:r>
                </w:p>
              </w:tc>
              <w:tc>
                <w:tcPr>
                  <w:tcW w:w="264" w:type="pct"/>
                  <w:vMerge w:val="continue"/>
                  <w:tcBorders>
                    <w:tl2br w:val="nil"/>
                    <w:tr2bl w:val="nil"/>
                  </w:tcBorders>
                  <w:noWrap w:val="0"/>
                  <w:vAlign w:val="center"/>
                </w:tcPr>
                <w:p w14:paraId="213DC774">
                  <w:pPr>
                    <w:jc w:val="center"/>
                    <w:rPr>
                      <w:u w:val="none"/>
                    </w:rPr>
                  </w:pPr>
                </w:p>
              </w:tc>
              <w:tc>
                <w:tcPr>
                  <w:tcW w:w="282" w:type="pct"/>
                  <w:vMerge w:val="restart"/>
                  <w:tcBorders>
                    <w:tl2br w:val="nil"/>
                    <w:tr2bl w:val="nil"/>
                  </w:tcBorders>
                  <w:noWrap w:val="0"/>
                  <w:vAlign w:val="center"/>
                </w:tcPr>
                <w:p w14:paraId="376F1AFD">
                  <w:pPr>
                    <w:jc w:val="center"/>
                    <w:rPr>
                      <w:rFonts w:hint="eastAsia" w:eastAsia="宋体"/>
                      <w:u w:val="none"/>
                      <w:lang w:val="en-US" w:eastAsia="zh-CN"/>
                    </w:rPr>
                  </w:pPr>
                  <w:r>
                    <w:rPr>
                      <w:rStyle w:val="157"/>
                      <w:rFonts w:hint="default" w:ascii="Times New Roman" w:hAnsi="Times New Roman" w:eastAsia="宋体" w:cs="Times New Roman"/>
                      <w:sz w:val="21"/>
                      <w:szCs w:val="21"/>
                      <w:lang w:val="en-US" w:eastAsia="zh-CN" w:bidi="ar"/>
                    </w:rPr>
                    <w:t>干燥机</w:t>
                  </w:r>
                </w:p>
              </w:tc>
              <w:tc>
                <w:tcPr>
                  <w:tcW w:w="597" w:type="pct"/>
                  <w:vMerge w:val="restart"/>
                  <w:tcBorders>
                    <w:tl2br w:val="nil"/>
                    <w:tr2bl w:val="nil"/>
                  </w:tcBorders>
                  <w:noWrap w:val="0"/>
                  <w:vAlign w:val="center"/>
                </w:tcPr>
                <w:p w14:paraId="563855EC">
                  <w:pPr>
                    <w:jc w:val="center"/>
                    <w:rPr>
                      <w:u w:val="none"/>
                    </w:rPr>
                  </w:pPr>
                  <w:r>
                    <w:rPr>
                      <w:rFonts w:hint="eastAsia"/>
                      <w:u w:val="none"/>
                      <w:lang w:val="en-US" w:eastAsia="zh-CN"/>
                    </w:rPr>
                    <w:t>85</w:t>
                  </w:r>
                  <w:r>
                    <w:rPr>
                      <w:u w:val="none"/>
                    </w:rPr>
                    <w:t>/1</w:t>
                  </w:r>
                </w:p>
              </w:tc>
              <w:tc>
                <w:tcPr>
                  <w:tcW w:w="265" w:type="pct"/>
                  <w:vMerge w:val="continue"/>
                  <w:tcBorders>
                    <w:tl2br w:val="nil"/>
                    <w:tr2bl w:val="nil"/>
                  </w:tcBorders>
                  <w:noWrap w:val="0"/>
                  <w:vAlign w:val="center"/>
                </w:tcPr>
                <w:p w14:paraId="23A6D263">
                  <w:pPr>
                    <w:jc w:val="center"/>
                    <w:rPr>
                      <w:u w:val="none"/>
                    </w:rPr>
                  </w:pPr>
                </w:p>
              </w:tc>
              <w:tc>
                <w:tcPr>
                  <w:tcW w:w="179" w:type="pct"/>
                  <w:vMerge w:val="restart"/>
                  <w:tcBorders>
                    <w:tl2br w:val="nil"/>
                    <w:tr2bl w:val="nil"/>
                  </w:tcBorders>
                  <w:noWrap w:val="0"/>
                  <w:vAlign w:val="center"/>
                </w:tcPr>
                <w:p w14:paraId="7E93DCB6">
                  <w:pPr>
                    <w:jc w:val="center"/>
                    <w:rPr>
                      <w:rFonts w:hint="default" w:eastAsia="宋体"/>
                      <w:u w:val="none"/>
                      <w:lang w:val="en-US" w:eastAsia="zh-CN"/>
                    </w:rPr>
                  </w:pPr>
                  <w:r>
                    <w:rPr>
                      <w:rFonts w:hint="eastAsia"/>
                      <w:u w:val="none"/>
                      <w:lang w:val="en-US" w:eastAsia="zh-CN"/>
                    </w:rPr>
                    <w:t>-9</w:t>
                  </w:r>
                </w:p>
              </w:tc>
              <w:tc>
                <w:tcPr>
                  <w:tcW w:w="243" w:type="pct"/>
                  <w:vMerge w:val="restart"/>
                  <w:tcBorders>
                    <w:tl2br w:val="nil"/>
                    <w:tr2bl w:val="nil"/>
                  </w:tcBorders>
                  <w:noWrap w:val="0"/>
                  <w:vAlign w:val="center"/>
                </w:tcPr>
                <w:p w14:paraId="4DD02EC0">
                  <w:pPr>
                    <w:jc w:val="center"/>
                    <w:rPr>
                      <w:rFonts w:hint="default" w:eastAsia="宋体"/>
                      <w:u w:val="none"/>
                      <w:lang w:val="en-US" w:eastAsia="zh-CN"/>
                    </w:rPr>
                  </w:pPr>
                  <w:r>
                    <w:rPr>
                      <w:rFonts w:hint="eastAsia"/>
                      <w:u w:val="none"/>
                      <w:lang w:val="en-US" w:eastAsia="zh-CN"/>
                    </w:rPr>
                    <w:t>-3</w:t>
                  </w:r>
                </w:p>
              </w:tc>
              <w:tc>
                <w:tcPr>
                  <w:tcW w:w="257" w:type="dxa"/>
                  <w:vMerge w:val="restart"/>
                  <w:tcBorders>
                    <w:tl2br w:val="nil"/>
                    <w:tr2bl w:val="nil"/>
                  </w:tcBorders>
                  <w:noWrap w:val="0"/>
                  <w:vAlign w:val="center"/>
                </w:tcPr>
                <w:p w14:paraId="4FA228BC">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0773986F">
                  <w:pPr>
                    <w:jc w:val="center"/>
                    <w:rPr>
                      <w:u w:val="none"/>
                    </w:rPr>
                  </w:pPr>
                  <w:r>
                    <w:rPr>
                      <w:u w:val="none"/>
                    </w:rPr>
                    <w:t>东</w:t>
                  </w:r>
                </w:p>
              </w:tc>
              <w:tc>
                <w:tcPr>
                  <w:tcW w:w="232" w:type="pct"/>
                  <w:tcBorders>
                    <w:tl2br w:val="nil"/>
                    <w:tr2bl w:val="nil"/>
                  </w:tcBorders>
                  <w:noWrap w:val="0"/>
                  <w:vAlign w:val="center"/>
                </w:tcPr>
                <w:p w14:paraId="678E4BC5">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50</w:t>
                  </w:r>
                </w:p>
              </w:tc>
              <w:tc>
                <w:tcPr>
                  <w:tcW w:w="1003" w:type="dxa"/>
                  <w:tcBorders>
                    <w:tl2br w:val="nil"/>
                    <w:tr2bl w:val="nil"/>
                  </w:tcBorders>
                  <w:noWrap w:val="0"/>
                  <w:vAlign w:val="center"/>
                </w:tcPr>
                <w:p w14:paraId="72B7BB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51.0 </w:t>
                  </w:r>
                </w:p>
              </w:tc>
              <w:tc>
                <w:tcPr>
                  <w:tcW w:w="367" w:type="pct"/>
                  <w:vMerge w:val="continue"/>
                  <w:tcBorders>
                    <w:tl2br w:val="nil"/>
                    <w:tr2bl w:val="nil"/>
                  </w:tcBorders>
                  <w:noWrap w:val="0"/>
                  <w:vAlign w:val="center"/>
                </w:tcPr>
                <w:p w14:paraId="67D10E08">
                  <w:pPr>
                    <w:jc w:val="center"/>
                    <w:rPr>
                      <w:u w:val="none"/>
                    </w:rPr>
                  </w:pPr>
                </w:p>
              </w:tc>
              <w:tc>
                <w:tcPr>
                  <w:tcW w:w="597" w:type="pct"/>
                  <w:tcBorders>
                    <w:tl2br w:val="nil"/>
                    <w:tr2bl w:val="nil"/>
                  </w:tcBorders>
                  <w:noWrap w:val="0"/>
                  <w:vAlign w:val="center"/>
                </w:tcPr>
                <w:p w14:paraId="2A364C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C9B23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36.0 </w:t>
                  </w:r>
                </w:p>
              </w:tc>
              <w:tc>
                <w:tcPr>
                  <w:tcW w:w="274" w:type="pct"/>
                  <w:tcBorders>
                    <w:tl2br w:val="nil"/>
                    <w:tr2bl w:val="nil"/>
                  </w:tcBorders>
                  <w:noWrap w:val="0"/>
                  <w:vAlign w:val="center"/>
                </w:tcPr>
                <w:p w14:paraId="6EF69B5E">
                  <w:pPr>
                    <w:jc w:val="center"/>
                    <w:rPr>
                      <w:u w:val="none"/>
                    </w:rPr>
                  </w:pPr>
                  <w:r>
                    <w:rPr>
                      <w:u w:val="none"/>
                    </w:rPr>
                    <w:t>1m</w:t>
                  </w:r>
                </w:p>
              </w:tc>
            </w:tr>
            <w:tr w14:paraId="3D9FCBD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67CCE02E">
                  <w:pPr>
                    <w:jc w:val="center"/>
                    <w:rPr>
                      <w:u w:val="none"/>
                    </w:rPr>
                  </w:pPr>
                </w:p>
              </w:tc>
              <w:tc>
                <w:tcPr>
                  <w:tcW w:w="264" w:type="pct"/>
                  <w:vMerge w:val="continue"/>
                  <w:tcBorders>
                    <w:tl2br w:val="nil"/>
                    <w:tr2bl w:val="nil"/>
                  </w:tcBorders>
                  <w:noWrap w:val="0"/>
                  <w:vAlign w:val="center"/>
                </w:tcPr>
                <w:p w14:paraId="30DC4225">
                  <w:pPr>
                    <w:jc w:val="center"/>
                    <w:rPr>
                      <w:u w:val="none"/>
                    </w:rPr>
                  </w:pPr>
                </w:p>
              </w:tc>
              <w:tc>
                <w:tcPr>
                  <w:tcW w:w="282" w:type="pct"/>
                  <w:vMerge w:val="continue"/>
                  <w:tcBorders>
                    <w:tl2br w:val="nil"/>
                    <w:tr2bl w:val="nil"/>
                  </w:tcBorders>
                  <w:noWrap w:val="0"/>
                  <w:vAlign w:val="center"/>
                </w:tcPr>
                <w:p w14:paraId="4CDD1328">
                  <w:pPr>
                    <w:jc w:val="center"/>
                    <w:rPr>
                      <w:u w:val="none"/>
                    </w:rPr>
                  </w:pPr>
                </w:p>
              </w:tc>
              <w:tc>
                <w:tcPr>
                  <w:tcW w:w="597" w:type="pct"/>
                  <w:vMerge w:val="continue"/>
                  <w:tcBorders>
                    <w:tl2br w:val="nil"/>
                    <w:tr2bl w:val="nil"/>
                  </w:tcBorders>
                  <w:noWrap w:val="0"/>
                  <w:vAlign w:val="center"/>
                </w:tcPr>
                <w:p w14:paraId="32035CA8">
                  <w:pPr>
                    <w:jc w:val="center"/>
                    <w:rPr>
                      <w:u w:val="none"/>
                    </w:rPr>
                  </w:pPr>
                </w:p>
              </w:tc>
              <w:tc>
                <w:tcPr>
                  <w:tcW w:w="265" w:type="pct"/>
                  <w:vMerge w:val="continue"/>
                  <w:tcBorders>
                    <w:tl2br w:val="nil"/>
                    <w:tr2bl w:val="nil"/>
                  </w:tcBorders>
                  <w:noWrap w:val="0"/>
                  <w:vAlign w:val="center"/>
                </w:tcPr>
                <w:p w14:paraId="7FC86909">
                  <w:pPr>
                    <w:jc w:val="center"/>
                    <w:rPr>
                      <w:u w:val="none"/>
                    </w:rPr>
                  </w:pPr>
                </w:p>
              </w:tc>
              <w:tc>
                <w:tcPr>
                  <w:tcW w:w="179" w:type="pct"/>
                  <w:vMerge w:val="continue"/>
                  <w:tcBorders>
                    <w:tl2br w:val="nil"/>
                    <w:tr2bl w:val="nil"/>
                  </w:tcBorders>
                  <w:noWrap w:val="0"/>
                  <w:vAlign w:val="center"/>
                </w:tcPr>
                <w:p w14:paraId="3EB50AFC">
                  <w:pPr>
                    <w:jc w:val="center"/>
                    <w:rPr>
                      <w:u w:val="none"/>
                    </w:rPr>
                  </w:pPr>
                </w:p>
              </w:tc>
              <w:tc>
                <w:tcPr>
                  <w:tcW w:w="243" w:type="pct"/>
                  <w:vMerge w:val="continue"/>
                  <w:tcBorders>
                    <w:tl2br w:val="nil"/>
                    <w:tr2bl w:val="nil"/>
                  </w:tcBorders>
                  <w:noWrap w:val="0"/>
                  <w:vAlign w:val="center"/>
                </w:tcPr>
                <w:p w14:paraId="07E67F8F">
                  <w:pPr>
                    <w:jc w:val="center"/>
                    <w:rPr>
                      <w:u w:val="none"/>
                    </w:rPr>
                  </w:pPr>
                </w:p>
              </w:tc>
              <w:tc>
                <w:tcPr>
                  <w:tcW w:w="153" w:type="pct"/>
                  <w:vMerge w:val="continue"/>
                  <w:tcBorders>
                    <w:tl2br w:val="nil"/>
                    <w:tr2bl w:val="nil"/>
                  </w:tcBorders>
                  <w:noWrap w:val="0"/>
                  <w:vAlign w:val="center"/>
                </w:tcPr>
                <w:p w14:paraId="13214DF0">
                  <w:pPr>
                    <w:jc w:val="center"/>
                    <w:rPr>
                      <w:u w:val="none"/>
                    </w:rPr>
                  </w:pPr>
                </w:p>
              </w:tc>
              <w:tc>
                <w:tcPr>
                  <w:tcW w:w="169" w:type="pct"/>
                  <w:tcBorders>
                    <w:tl2br w:val="nil"/>
                    <w:tr2bl w:val="nil"/>
                  </w:tcBorders>
                  <w:noWrap w:val="0"/>
                  <w:vAlign w:val="center"/>
                </w:tcPr>
                <w:p w14:paraId="7FA765E2">
                  <w:pPr>
                    <w:jc w:val="center"/>
                    <w:rPr>
                      <w:u w:val="none"/>
                    </w:rPr>
                  </w:pPr>
                  <w:r>
                    <w:rPr>
                      <w:u w:val="none"/>
                    </w:rPr>
                    <w:t>南</w:t>
                  </w:r>
                </w:p>
              </w:tc>
              <w:tc>
                <w:tcPr>
                  <w:tcW w:w="232" w:type="pct"/>
                  <w:tcBorders>
                    <w:tl2br w:val="nil"/>
                    <w:tr2bl w:val="nil"/>
                  </w:tcBorders>
                  <w:noWrap w:val="0"/>
                  <w:vAlign w:val="center"/>
                </w:tcPr>
                <w:p w14:paraId="77CE0012">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36</w:t>
                  </w:r>
                </w:p>
              </w:tc>
              <w:tc>
                <w:tcPr>
                  <w:tcW w:w="1003" w:type="dxa"/>
                  <w:tcBorders>
                    <w:tl2br w:val="nil"/>
                    <w:tr2bl w:val="nil"/>
                  </w:tcBorders>
                  <w:noWrap w:val="0"/>
                  <w:vAlign w:val="center"/>
                </w:tcPr>
                <w:p w14:paraId="051DB8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53.9 </w:t>
                  </w:r>
                </w:p>
              </w:tc>
              <w:tc>
                <w:tcPr>
                  <w:tcW w:w="367" w:type="pct"/>
                  <w:vMerge w:val="continue"/>
                  <w:tcBorders>
                    <w:tl2br w:val="nil"/>
                    <w:tr2bl w:val="nil"/>
                  </w:tcBorders>
                  <w:noWrap w:val="0"/>
                  <w:vAlign w:val="center"/>
                </w:tcPr>
                <w:p w14:paraId="5E523E5D">
                  <w:pPr>
                    <w:jc w:val="center"/>
                    <w:rPr>
                      <w:u w:val="none"/>
                    </w:rPr>
                  </w:pPr>
                </w:p>
              </w:tc>
              <w:tc>
                <w:tcPr>
                  <w:tcW w:w="597" w:type="pct"/>
                  <w:tcBorders>
                    <w:tl2br w:val="nil"/>
                    <w:tr2bl w:val="nil"/>
                  </w:tcBorders>
                  <w:noWrap w:val="0"/>
                  <w:vAlign w:val="center"/>
                </w:tcPr>
                <w:p w14:paraId="06F4AB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29597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38.9 </w:t>
                  </w:r>
                </w:p>
              </w:tc>
              <w:tc>
                <w:tcPr>
                  <w:tcW w:w="274" w:type="pct"/>
                  <w:tcBorders>
                    <w:tl2br w:val="nil"/>
                    <w:tr2bl w:val="nil"/>
                  </w:tcBorders>
                  <w:noWrap w:val="0"/>
                  <w:vAlign w:val="center"/>
                </w:tcPr>
                <w:p w14:paraId="495CBADE">
                  <w:pPr>
                    <w:jc w:val="center"/>
                    <w:rPr>
                      <w:u w:val="none"/>
                    </w:rPr>
                  </w:pPr>
                  <w:r>
                    <w:rPr>
                      <w:u w:val="none"/>
                    </w:rPr>
                    <w:t>1m</w:t>
                  </w:r>
                </w:p>
              </w:tc>
            </w:tr>
            <w:tr w14:paraId="48B0A16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60F73AAB">
                  <w:pPr>
                    <w:jc w:val="center"/>
                    <w:rPr>
                      <w:u w:val="none"/>
                    </w:rPr>
                  </w:pPr>
                </w:p>
              </w:tc>
              <w:tc>
                <w:tcPr>
                  <w:tcW w:w="264" w:type="pct"/>
                  <w:vMerge w:val="continue"/>
                  <w:tcBorders>
                    <w:tl2br w:val="nil"/>
                    <w:tr2bl w:val="nil"/>
                  </w:tcBorders>
                  <w:noWrap w:val="0"/>
                  <w:vAlign w:val="center"/>
                </w:tcPr>
                <w:p w14:paraId="781BA767">
                  <w:pPr>
                    <w:jc w:val="center"/>
                    <w:rPr>
                      <w:u w:val="none"/>
                    </w:rPr>
                  </w:pPr>
                </w:p>
              </w:tc>
              <w:tc>
                <w:tcPr>
                  <w:tcW w:w="282" w:type="pct"/>
                  <w:vMerge w:val="continue"/>
                  <w:tcBorders>
                    <w:tl2br w:val="nil"/>
                    <w:tr2bl w:val="nil"/>
                  </w:tcBorders>
                  <w:noWrap w:val="0"/>
                  <w:vAlign w:val="center"/>
                </w:tcPr>
                <w:p w14:paraId="0EA6C16D">
                  <w:pPr>
                    <w:jc w:val="center"/>
                    <w:rPr>
                      <w:u w:val="none"/>
                    </w:rPr>
                  </w:pPr>
                </w:p>
              </w:tc>
              <w:tc>
                <w:tcPr>
                  <w:tcW w:w="597" w:type="pct"/>
                  <w:vMerge w:val="continue"/>
                  <w:tcBorders>
                    <w:tl2br w:val="nil"/>
                    <w:tr2bl w:val="nil"/>
                  </w:tcBorders>
                  <w:noWrap w:val="0"/>
                  <w:vAlign w:val="center"/>
                </w:tcPr>
                <w:p w14:paraId="2F502683">
                  <w:pPr>
                    <w:jc w:val="center"/>
                    <w:rPr>
                      <w:u w:val="none"/>
                    </w:rPr>
                  </w:pPr>
                </w:p>
              </w:tc>
              <w:tc>
                <w:tcPr>
                  <w:tcW w:w="265" w:type="pct"/>
                  <w:vMerge w:val="continue"/>
                  <w:tcBorders>
                    <w:tl2br w:val="nil"/>
                    <w:tr2bl w:val="nil"/>
                  </w:tcBorders>
                  <w:noWrap w:val="0"/>
                  <w:vAlign w:val="center"/>
                </w:tcPr>
                <w:p w14:paraId="37A96F4E">
                  <w:pPr>
                    <w:jc w:val="center"/>
                    <w:rPr>
                      <w:u w:val="none"/>
                    </w:rPr>
                  </w:pPr>
                </w:p>
              </w:tc>
              <w:tc>
                <w:tcPr>
                  <w:tcW w:w="179" w:type="pct"/>
                  <w:vMerge w:val="continue"/>
                  <w:tcBorders>
                    <w:tl2br w:val="nil"/>
                    <w:tr2bl w:val="nil"/>
                  </w:tcBorders>
                  <w:noWrap w:val="0"/>
                  <w:vAlign w:val="center"/>
                </w:tcPr>
                <w:p w14:paraId="1244FE82">
                  <w:pPr>
                    <w:jc w:val="center"/>
                    <w:rPr>
                      <w:u w:val="none"/>
                    </w:rPr>
                  </w:pPr>
                </w:p>
              </w:tc>
              <w:tc>
                <w:tcPr>
                  <w:tcW w:w="243" w:type="pct"/>
                  <w:vMerge w:val="continue"/>
                  <w:tcBorders>
                    <w:tl2br w:val="nil"/>
                    <w:tr2bl w:val="nil"/>
                  </w:tcBorders>
                  <w:noWrap w:val="0"/>
                  <w:vAlign w:val="center"/>
                </w:tcPr>
                <w:p w14:paraId="748C3A32">
                  <w:pPr>
                    <w:jc w:val="center"/>
                    <w:rPr>
                      <w:u w:val="none"/>
                    </w:rPr>
                  </w:pPr>
                </w:p>
              </w:tc>
              <w:tc>
                <w:tcPr>
                  <w:tcW w:w="153" w:type="pct"/>
                  <w:vMerge w:val="continue"/>
                  <w:tcBorders>
                    <w:tl2br w:val="nil"/>
                    <w:tr2bl w:val="nil"/>
                  </w:tcBorders>
                  <w:noWrap w:val="0"/>
                  <w:vAlign w:val="center"/>
                </w:tcPr>
                <w:p w14:paraId="7F7F95E5">
                  <w:pPr>
                    <w:jc w:val="center"/>
                    <w:rPr>
                      <w:u w:val="none"/>
                    </w:rPr>
                  </w:pPr>
                </w:p>
              </w:tc>
              <w:tc>
                <w:tcPr>
                  <w:tcW w:w="169" w:type="pct"/>
                  <w:tcBorders>
                    <w:tl2br w:val="nil"/>
                    <w:tr2bl w:val="nil"/>
                  </w:tcBorders>
                  <w:noWrap w:val="0"/>
                  <w:vAlign w:val="center"/>
                </w:tcPr>
                <w:p w14:paraId="3AA1A461">
                  <w:pPr>
                    <w:jc w:val="center"/>
                    <w:rPr>
                      <w:u w:val="none"/>
                    </w:rPr>
                  </w:pPr>
                  <w:r>
                    <w:rPr>
                      <w:u w:val="none"/>
                    </w:rPr>
                    <w:t>西</w:t>
                  </w:r>
                </w:p>
              </w:tc>
              <w:tc>
                <w:tcPr>
                  <w:tcW w:w="232" w:type="pct"/>
                  <w:tcBorders>
                    <w:tl2br w:val="nil"/>
                    <w:tr2bl w:val="nil"/>
                  </w:tcBorders>
                  <w:noWrap w:val="0"/>
                  <w:vAlign w:val="center"/>
                </w:tcPr>
                <w:p w14:paraId="42C50614">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32</w:t>
                  </w:r>
                </w:p>
              </w:tc>
              <w:tc>
                <w:tcPr>
                  <w:tcW w:w="1003" w:type="dxa"/>
                  <w:tcBorders>
                    <w:tl2br w:val="nil"/>
                    <w:tr2bl w:val="nil"/>
                  </w:tcBorders>
                  <w:noWrap w:val="0"/>
                  <w:vAlign w:val="center"/>
                </w:tcPr>
                <w:p w14:paraId="4C0A6D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54.9 </w:t>
                  </w:r>
                </w:p>
              </w:tc>
              <w:tc>
                <w:tcPr>
                  <w:tcW w:w="367" w:type="pct"/>
                  <w:vMerge w:val="continue"/>
                  <w:tcBorders>
                    <w:tl2br w:val="nil"/>
                    <w:tr2bl w:val="nil"/>
                  </w:tcBorders>
                  <w:noWrap w:val="0"/>
                  <w:vAlign w:val="center"/>
                </w:tcPr>
                <w:p w14:paraId="0A335F3F">
                  <w:pPr>
                    <w:jc w:val="center"/>
                    <w:rPr>
                      <w:u w:val="none"/>
                    </w:rPr>
                  </w:pPr>
                </w:p>
              </w:tc>
              <w:tc>
                <w:tcPr>
                  <w:tcW w:w="597" w:type="pct"/>
                  <w:tcBorders>
                    <w:tl2br w:val="nil"/>
                    <w:tr2bl w:val="nil"/>
                  </w:tcBorders>
                  <w:noWrap w:val="0"/>
                  <w:vAlign w:val="center"/>
                </w:tcPr>
                <w:p w14:paraId="718585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16DA8A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39.9 </w:t>
                  </w:r>
                </w:p>
              </w:tc>
              <w:tc>
                <w:tcPr>
                  <w:tcW w:w="274" w:type="pct"/>
                  <w:tcBorders>
                    <w:tl2br w:val="nil"/>
                    <w:tr2bl w:val="nil"/>
                  </w:tcBorders>
                  <w:noWrap w:val="0"/>
                  <w:vAlign w:val="center"/>
                </w:tcPr>
                <w:p w14:paraId="49255BE8">
                  <w:pPr>
                    <w:jc w:val="center"/>
                    <w:rPr>
                      <w:u w:val="none"/>
                    </w:rPr>
                  </w:pPr>
                  <w:r>
                    <w:rPr>
                      <w:u w:val="none"/>
                    </w:rPr>
                    <w:t>1m</w:t>
                  </w:r>
                </w:p>
              </w:tc>
            </w:tr>
            <w:tr w14:paraId="3C94A85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313011F8">
                  <w:pPr>
                    <w:jc w:val="center"/>
                    <w:rPr>
                      <w:u w:val="none"/>
                    </w:rPr>
                  </w:pPr>
                </w:p>
              </w:tc>
              <w:tc>
                <w:tcPr>
                  <w:tcW w:w="264" w:type="pct"/>
                  <w:vMerge w:val="continue"/>
                  <w:tcBorders>
                    <w:tl2br w:val="nil"/>
                    <w:tr2bl w:val="nil"/>
                  </w:tcBorders>
                  <w:noWrap w:val="0"/>
                  <w:vAlign w:val="center"/>
                </w:tcPr>
                <w:p w14:paraId="395DC1C0">
                  <w:pPr>
                    <w:jc w:val="center"/>
                    <w:rPr>
                      <w:u w:val="none"/>
                    </w:rPr>
                  </w:pPr>
                </w:p>
              </w:tc>
              <w:tc>
                <w:tcPr>
                  <w:tcW w:w="282" w:type="pct"/>
                  <w:vMerge w:val="continue"/>
                  <w:tcBorders>
                    <w:tl2br w:val="nil"/>
                    <w:tr2bl w:val="nil"/>
                  </w:tcBorders>
                  <w:noWrap w:val="0"/>
                  <w:vAlign w:val="center"/>
                </w:tcPr>
                <w:p w14:paraId="1D3C8F3D">
                  <w:pPr>
                    <w:jc w:val="center"/>
                    <w:rPr>
                      <w:u w:val="none"/>
                    </w:rPr>
                  </w:pPr>
                </w:p>
              </w:tc>
              <w:tc>
                <w:tcPr>
                  <w:tcW w:w="597" w:type="pct"/>
                  <w:vMerge w:val="continue"/>
                  <w:tcBorders>
                    <w:tl2br w:val="nil"/>
                    <w:tr2bl w:val="nil"/>
                  </w:tcBorders>
                  <w:noWrap w:val="0"/>
                  <w:vAlign w:val="center"/>
                </w:tcPr>
                <w:p w14:paraId="5EBB50E7">
                  <w:pPr>
                    <w:jc w:val="center"/>
                    <w:rPr>
                      <w:u w:val="none"/>
                    </w:rPr>
                  </w:pPr>
                </w:p>
              </w:tc>
              <w:tc>
                <w:tcPr>
                  <w:tcW w:w="265" w:type="pct"/>
                  <w:vMerge w:val="continue"/>
                  <w:tcBorders>
                    <w:tl2br w:val="nil"/>
                    <w:tr2bl w:val="nil"/>
                  </w:tcBorders>
                  <w:noWrap w:val="0"/>
                  <w:vAlign w:val="center"/>
                </w:tcPr>
                <w:p w14:paraId="5EA9F24C">
                  <w:pPr>
                    <w:jc w:val="center"/>
                    <w:rPr>
                      <w:u w:val="none"/>
                    </w:rPr>
                  </w:pPr>
                </w:p>
              </w:tc>
              <w:tc>
                <w:tcPr>
                  <w:tcW w:w="179" w:type="pct"/>
                  <w:vMerge w:val="continue"/>
                  <w:tcBorders>
                    <w:tl2br w:val="nil"/>
                    <w:tr2bl w:val="nil"/>
                  </w:tcBorders>
                  <w:noWrap w:val="0"/>
                  <w:vAlign w:val="center"/>
                </w:tcPr>
                <w:p w14:paraId="52333424">
                  <w:pPr>
                    <w:jc w:val="center"/>
                    <w:rPr>
                      <w:u w:val="none"/>
                    </w:rPr>
                  </w:pPr>
                </w:p>
              </w:tc>
              <w:tc>
                <w:tcPr>
                  <w:tcW w:w="243" w:type="pct"/>
                  <w:vMerge w:val="continue"/>
                  <w:tcBorders>
                    <w:tl2br w:val="nil"/>
                    <w:tr2bl w:val="nil"/>
                  </w:tcBorders>
                  <w:noWrap w:val="0"/>
                  <w:vAlign w:val="center"/>
                </w:tcPr>
                <w:p w14:paraId="35300D6C">
                  <w:pPr>
                    <w:jc w:val="center"/>
                    <w:rPr>
                      <w:u w:val="none"/>
                    </w:rPr>
                  </w:pPr>
                </w:p>
              </w:tc>
              <w:tc>
                <w:tcPr>
                  <w:tcW w:w="153" w:type="pct"/>
                  <w:vMerge w:val="continue"/>
                  <w:tcBorders>
                    <w:tl2br w:val="nil"/>
                    <w:tr2bl w:val="nil"/>
                  </w:tcBorders>
                  <w:noWrap w:val="0"/>
                  <w:vAlign w:val="center"/>
                </w:tcPr>
                <w:p w14:paraId="1C20EF00">
                  <w:pPr>
                    <w:jc w:val="center"/>
                    <w:rPr>
                      <w:u w:val="none"/>
                    </w:rPr>
                  </w:pPr>
                </w:p>
              </w:tc>
              <w:tc>
                <w:tcPr>
                  <w:tcW w:w="169" w:type="pct"/>
                  <w:tcBorders>
                    <w:tl2br w:val="nil"/>
                    <w:tr2bl w:val="nil"/>
                  </w:tcBorders>
                  <w:noWrap w:val="0"/>
                  <w:vAlign w:val="center"/>
                </w:tcPr>
                <w:p w14:paraId="71B51F30">
                  <w:pPr>
                    <w:jc w:val="center"/>
                    <w:rPr>
                      <w:u w:val="none"/>
                    </w:rPr>
                  </w:pPr>
                  <w:r>
                    <w:rPr>
                      <w:u w:val="none"/>
                    </w:rPr>
                    <w:t>北</w:t>
                  </w:r>
                </w:p>
              </w:tc>
              <w:tc>
                <w:tcPr>
                  <w:tcW w:w="232" w:type="pct"/>
                  <w:tcBorders>
                    <w:tl2br w:val="nil"/>
                    <w:tr2bl w:val="nil"/>
                  </w:tcBorders>
                  <w:noWrap w:val="0"/>
                  <w:vAlign w:val="center"/>
                </w:tcPr>
                <w:p w14:paraId="535185B7">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42</w:t>
                  </w:r>
                </w:p>
              </w:tc>
              <w:tc>
                <w:tcPr>
                  <w:tcW w:w="1003" w:type="dxa"/>
                  <w:tcBorders>
                    <w:tl2br w:val="nil"/>
                    <w:tr2bl w:val="nil"/>
                  </w:tcBorders>
                  <w:noWrap w:val="0"/>
                  <w:vAlign w:val="center"/>
                </w:tcPr>
                <w:p w14:paraId="1EFBE2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52.5 </w:t>
                  </w:r>
                </w:p>
              </w:tc>
              <w:tc>
                <w:tcPr>
                  <w:tcW w:w="367" w:type="pct"/>
                  <w:vMerge w:val="continue"/>
                  <w:tcBorders>
                    <w:tl2br w:val="nil"/>
                    <w:tr2bl w:val="nil"/>
                  </w:tcBorders>
                  <w:noWrap w:val="0"/>
                  <w:vAlign w:val="center"/>
                </w:tcPr>
                <w:p w14:paraId="5B0F2331">
                  <w:pPr>
                    <w:jc w:val="center"/>
                    <w:rPr>
                      <w:u w:val="none"/>
                    </w:rPr>
                  </w:pPr>
                </w:p>
              </w:tc>
              <w:tc>
                <w:tcPr>
                  <w:tcW w:w="597" w:type="pct"/>
                  <w:tcBorders>
                    <w:tl2br w:val="nil"/>
                    <w:tr2bl w:val="nil"/>
                  </w:tcBorders>
                  <w:noWrap w:val="0"/>
                  <w:vAlign w:val="center"/>
                </w:tcPr>
                <w:p w14:paraId="79150B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319783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37.5 </w:t>
                  </w:r>
                </w:p>
              </w:tc>
              <w:tc>
                <w:tcPr>
                  <w:tcW w:w="274" w:type="pct"/>
                  <w:tcBorders>
                    <w:tl2br w:val="nil"/>
                    <w:tr2bl w:val="nil"/>
                  </w:tcBorders>
                  <w:noWrap w:val="0"/>
                  <w:vAlign w:val="center"/>
                </w:tcPr>
                <w:p w14:paraId="50D42EA5">
                  <w:pPr>
                    <w:jc w:val="center"/>
                    <w:rPr>
                      <w:u w:val="none"/>
                    </w:rPr>
                  </w:pPr>
                  <w:r>
                    <w:rPr>
                      <w:u w:val="none"/>
                    </w:rPr>
                    <w:t>1m</w:t>
                  </w:r>
                </w:p>
              </w:tc>
            </w:tr>
            <w:tr w14:paraId="4549937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restart"/>
                  <w:tcBorders>
                    <w:tl2br w:val="nil"/>
                    <w:tr2bl w:val="nil"/>
                  </w:tcBorders>
                  <w:noWrap w:val="0"/>
                  <w:vAlign w:val="center"/>
                </w:tcPr>
                <w:p w14:paraId="70B1818F">
                  <w:pPr>
                    <w:jc w:val="center"/>
                    <w:rPr>
                      <w:rFonts w:hint="eastAsia" w:eastAsia="宋体"/>
                      <w:u w:val="none"/>
                      <w:lang w:val="en-US" w:eastAsia="zh-CN"/>
                    </w:rPr>
                  </w:pPr>
                  <w:r>
                    <w:rPr>
                      <w:rFonts w:hint="eastAsia"/>
                      <w:u w:val="none"/>
                      <w:lang w:val="en-US" w:eastAsia="zh-CN"/>
                    </w:rPr>
                    <w:t>6</w:t>
                  </w:r>
                </w:p>
              </w:tc>
              <w:tc>
                <w:tcPr>
                  <w:tcW w:w="264" w:type="pct"/>
                  <w:vMerge w:val="continue"/>
                  <w:tcBorders>
                    <w:tl2br w:val="nil"/>
                    <w:tr2bl w:val="nil"/>
                  </w:tcBorders>
                  <w:noWrap w:val="0"/>
                  <w:vAlign w:val="center"/>
                </w:tcPr>
                <w:p w14:paraId="49D4931A">
                  <w:pPr>
                    <w:jc w:val="center"/>
                    <w:rPr>
                      <w:u w:val="none"/>
                    </w:rPr>
                  </w:pPr>
                </w:p>
              </w:tc>
              <w:tc>
                <w:tcPr>
                  <w:tcW w:w="282" w:type="pct"/>
                  <w:vMerge w:val="restart"/>
                  <w:tcBorders>
                    <w:tl2br w:val="nil"/>
                    <w:tr2bl w:val="nil"/>
                  </w:tcBorders>
                  <w:noWrap w:val="0"/>
                  <w:vAlign w:val="center"/>
                </w:tcPr>
                <w:p w14:paraId="29B5FBF3">
                  <w:pPr>
                    <w:jc w:val="center"/>
                    <w:rPr>
                      <w:rFonts w:hint="default"/>
                      <w:u w:val="none"/>
                      <w:lang w:val="en-US"/>
                    </w:rPr>
                  </w:pPr>
                  <w:r>
                    <w:rPr>
                      <w:rStyle w:val="157"/>
                      <w:rFonts w:hint="default" w:ascii="Times New Roman" w:hAnsi="Times New Roman" w:eastAsia="宋体" w:cs="Times New Roman"/>
                      <w:sz w:val="21"/>
                      <w:szCs w:val="21"/>
                      <w:lang w:val="en-US" w:eastAsia="zh-CN" w:bidi="ar"/>
                    </w:rPr>
                    <w:t>膜分切机</w:t>
                  </w:r>
                </w:p>
              </w:tc>
              <w:tc>
                <w:tcPr>
                  <w:tcW w:w="597" w:type="pct"/>
                  <w:vMerge w:val="restart"/>
                  <w:tcBorders>
                    <w:tl2br w:val="nil"/>
                    <w:tr2bl w:val="nil"/>
                  </w:tcBorders>
                  <w:noWrap w:val="0"/>
                  <w:vAlign w:val="center"/>
                </w:tcPr>
                <w:p w14:paraId="403C2D3D">
                  <w:pPr>
                    <w:jc w:val="center"/>
                    <w:rPr>
                      <w:u w:val="none"/>
                    </w:rPr>
                  </w:pPr>
                  <w:r>
                    <w:rPr>
                      <w:rFonts w:hint="eastAsia"/>
                      <w:u w:val="none"/>
                      <w:lang w:val="en-US" w:eastAsia="zh-CN"/>
                    </w:rPr>
                    <w:t>95</w:t>
                  </w:r>
                  <w:r>
                    <w:rPr>
                      <w:u w:val="none"/>
                    </w:rPr>
                    <w:t>/1</w:t>
                  </w:r>
                </w:p>
              </w:tc>
              <w:tc>
                <w:tcPr>
                  <w:tcW w:w="265" w:type="pct"/>
                  <w:vMerge w:val="continue"/>
                  <w:tcBorders>
                    <w:tl2br w:val="nil"/>
                    <w:tr2bl w:val="nil"/>
                  </w:tcBorders>
                  <w:noWrap w:val="0"/>
                  <w:vAlign w:val="center"/>
                </w:tcPr>
                <w:p w14:paraId="0F829EB6">
                  <w:pPr>
                    <w:jc w:val="center"/>
                    <w:rPr>
                      <w:u w:val="none"/>
                    </w:rPr>
                  </w:pPr>
                </w:p>
              </w:tc>
              <w:tc>
                <w:tcPr>
                  <w:tcW w:w="179" w:type="pct"/>
                  <w:vMerge w:val="restart"/>
                  <w:tcBorders>
                    <w:tl2br w:val="nil"/>
                    <w:tr2bl w:val="nil"/>
                  </w:tcBorders>
                  <w:noWrap w:val="0"/>
                  <w:vAlign w:val="center"/>
                </w:tcPr>
                <w:p w14:paraId="17A6575C">
                  <w:pPr>
                    <w:jc w:val="center"/>
                    <w:rPr>
                      <w:rFonts w:hint="default" w:eastAsia="宋体"/>
                      <w:u w:val="none"/>
                      <w:lang w:val="en-US" w:eastAsia="zh-CN"/>
                    </w:rPr>
                  </w:pPr>
                  <w:r>
                    <w:rPr>
                      <w:rFonts w:hint="eastAsia"/>
                      <w:u w:val="none"/>
                      <w:lang w:val="en-US" w:eastAsia="zh-CN"/>
                    </w:rPr>
                    <w:t>-20</w:t>
                  </w:r>
                </w:p>
              </w:tc>
              <w:tc>
                <w:tcPr>
                  <w:tcW w:w="243" w:type="pct"/>
                  <w:vMerge w:val="restart"/>
                  <w:tcBorders>
                    <w:tl2br w:val="nil"/>
                    <w:tr2bl w:val="nil"/>
                  </w:tcBorders>
                  <w:noWrap w:val="0"/>
                  <w:vAlign w:val="center"/>
                </w:tcPr>
                <w:p w14:paraId="196052FD">
                  <w:pPr>
                    <w:jc w:val="center"/>
                    <w:rPr>
                      <w:rFonts w:hint="default" w:eastAsia="宋体"/>
                      <w:u w:val="none"/>
                      <w:lang w:val="en-US" w:eastAsia="zh-CN"/>
                    </w:rPr>
                  </w:pPr>
                  <w:r>
                    <w:rPr>
                      <w:rFonts w:hint="eastAsia"/>
                      <w:u w:val="none"/>
                      <w:lang w:val="en-US" w:eastAsia="zh-CN"/>
                    </w:rPr>
                    <w:t>-3</w:t>
                  </w:r>
                </w:p>
              </w:tc>
              <w:tc>
                <w:tcPr>
                  <w:tcW w:w="257" w:type="dxa"/>
                  <w:vMerge w:val="restart"/>
                  <w:tcBorders>
                    <w:tl2br w:val="nil"/>
                    <w:tr2bl w:val="nil"/>
                  </w:tcBorders>
                  <w:noWrap w:val="0"/>
                  <w:vAlign w:val="center"/>
                </w:tcPr>
                <w:p w14:paraId="534E6B2D">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77AA1AE0">
                  <w:pPr>
                    <w:jc w:val="center"/>
                    <w:rPr>
                      <w:u w:val="none"/>
                    </w:rPr>
                  </w:pPr>
                  <w:r>
                    <w:rPr>
                      <w:u w:val="none"/>
                    </w:rPr>
                    <w:t>东</w:t>
                  </w:r>
                </w:p>
              </w:tc>
              <w:tc>
                <w:tcPr>
                  <w:tcW w:w="232" w:type="pct"/>
                  <w:tcBorders>
                    <w:tl2br w:val="nil"/>
                    <w:tr2bl w:val="nil"/>
                  </w:tcBorders>
                  <w:noWrap w:val="0"/>
                  <w:vAlign w:val="center"/>
                </w:tcPr>
                <w:p w14:paraId="6DB8C932">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61</w:t>
                  </w:r>
                </w:p>
              </w:tc>
              <w:tc>
                <w:tcPr>
                  <w:tcW w:w="1003" w:type="dxa"/>
                  <w:tcBorders>
                    <w:tl2br w:val="nil"/>
                    <w:tr2bl w:val="nil"/>
                  </w:tcBorders>
                  <w:noWrap w:val="0"/>
                  <w:vAlign w:val="center"/>
                </w:tcPr>
                <w:p w14:paraId="39D98E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59.3 </w:t>
                  </w:r>
                </w:p>
              </w:tc>
              <w:tc>
                <w:tcPr>
                  <w:tcW w:w="367" w:type="pct"/>
                  <w:vMerge w:val="continue"/>
                  <w:tcBorders>
                    <w:tl2br w:val="nil"/>
                    <w:tr2bl w:val="nil"/>
                  </w:tcBorders>
                  <w:noWrap w:val="0"/>
                  <w:vAlign w:val="center"/>
                </w:tcPr>
                <w:p w14:paraId="3BEBAF08">
                  <w:pPr>
                    <w:jc w:val="center"/>
                    <w:rPr>
                      <w:u w:val="none"/>
                    </w:rPr>
                  </w:pPr>
                </w:p>
              </w:tc>
              <w:tc>
                <w:tcPr>
                  <w:tcW w:w="597" w:type="pct"/>
                  <w:tcBorders>
                    <w:tl2br w:val="nil"/>
                    <w:tr2bl w:val="nil"/>
                  </w:tcBorders>
                  <w:noWrap w:val="0"/>
                  <w:vAlign w:val="center"/>
                </w:tcPr>
                <w:p w14:paraId="14FF08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47EA1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44.3 </w:t>
                  </w:r>
                </w:p>
              </w:tc>
              <w:tc>
                <w:tcPr>
                  <w:tcW w:w="274" w:type="pct"/>
                  <w:tcBorders>
                    <w:tl2br w:val="nil"/>
                    <w:tr2bl w:val="nil"/>
                  </w:tcBorders>
                  <w:noWrap w:val="0"/>
                  <w:vAlign w:val="center"/>
                </w:tcPr>
                <w:p w14:paraId="76D774DE">
                  <w:pPr>
                    <w:jc w:val="center"/>
                    <w:rPr>
                      <w:u w:val="none"/>
                    </w:rPr>
                  </w:pPr>
                  <w:r>
                    <w:rPr>
                      <w:u w:val="none"/>
                    </w:rPr>
                    <w:t>1m</w:t>
                  </w:r>
                </w:p>
              </w:tc>
            </w:tr>
            <w:tr w14:paraId="62A2931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29C0A261">
                  <w:pPr>
                    <w:jc w:val="center"/>
                    <w:rPr>
                      <w:u w:val="none"/>
                    </w:rPr>
                  </w:pPr>
                </w:p>
              </w:tc>
              <w:tc>
                <w:tcPr>
                  <w:tcW w:w="264" w:type="pct"/>
                  <w:vMerge w:val="continue"/>
                  <w:tcBorders>
                    <w:tl2br w:val="nil"/>
                    <w:tr2bl w:val="nil"/>
                  </w:tcBorders>
                  <w:noWrap w:val="0"/>
                  <w:vAlign w:val="center"/>
                </w:tcPr>
                <w:p w14:paraId="561CCABD">
                  <w:pPr>
                    <w:jc w:val="center"/>
                    <w:rPr>
                      <w:u w:val="none"/>
                    </w:rPr>
                  </w:pPr>
                </w:p>
              </w:tc>
              <w:tc>
                <w:tcPr>
                  <w:tcW w:w="282" w:type="pct"/>
                  <w:vMerge w:val="continue"/>
                  <w:tcBorders>
                    <w:tl2br w:val="nil"/>
                    <w:tr2bl w:val="nil"/>
                  </w:tcBorders>
                  <w:noWrap w:val="0"/>
                  <w:vAlign w:val="center"/>
                </w:tcPr>
                <w:p w14:paraId="591D3F0D">
                  <w:pPr>
                    <w:jc w:val="center"/>
                    <w:rPr>
                      <w:u w:val="none"/>
                    </w:rPr>
                  </w:pPr>
                </w:p>
              </w:tc>
              <w:tc>
                <w:tcPr>
                  <w:tcW w:w="597" w:type="pct"/>
                  <w:vMerge w:val="continue"/>
                  <w:tcBorders>
                    <w:tl2br w:val="nil"/>
                    <w:tr2bl w:val="nil"/>
                  </w:tcBorders>
                  <w:noWrap w:val="0"/>
                  <w:vAlign w:val="center"/>
                </w:tcPr>
                <w:p w14:paraId="74E6FBB7">
                  <w:pPr>
                    <w:jc w:val="center"/>
                    <w:rPr>
                      <w:u w:val="none"/>
                    </w:rPr>
                  </w:pPr>
                </w:p>
              </w:tc>
              <w:tc>
                <w:tcPr>
                  <w:tcW w:w="265" w:type="pct"/>
                  <w:vMerge w:val="continue"/>
                  <w:tcBorders>
                    <w:tl2br w:val="nil"/>
                    <w:tr2bl w:val="nil"/>
                  </w:tcBorders>
                  <w:noWrap w:val="0"/>
                  <w:vAlign w:val="center"/>
                </w:tcPr>
                <w:p w14:paraId="0E78E2F7">
                  <w:pPr>
                    <w:jc w:val="center"/>
                    <w:rPr>
                      <w:u w:val="none"/>
                    </w:rPr>
                  </w:pPr>
                </w:p>
              </w:tc>
              <w:tc>
                <w:tcPr>
                  <w:tcW w:w="179" w:type="pct"/>
                  <w:vMerge w:val="continue"/>
                  <w:tcBorders>
                    <w:tl2br w:val="nil"/>
                    <w:tr2bl w:val="nil"/>
                  </w:tcBorders>
                  <w:noWrap w:val="0"/>
                  <w:vAlign w:val="center"/>
                </w:tcPr>
                <w:p w14:paraId="1D613379">
                  <w:pPr>
                    <w:jc w:val="center"/>
                    <w:rPr>
                      <w:u w:val="none"/>
                    </w:rPr>
                  </w:pPr>
                </w:p>
              </w:tc>
              <w:tc>
                <w:tcPr>
                  <w:tcW w:w="243" w:type="pct"/>
                  <w:vMerge w:val="continue"/>
                  <w:tcBorders>
                    <w:tl2br w:val="nil"/>
                    <w:tr2bl w:val="nil"/>
                  </w:tcBorders>
                  <w:noWrap w:val="0"/>
                  <w:vAlign w:val="center"/>
                </w:tcPr>
                <w:p w14:paraId="6125E478">
                  <w:pPr>
                    <w:jc w:val="center"/>
                    <w:rPr>
                      <w:u w:val="none"/>
                    </w:rPr>
                  </w:pPr>
                </w:p>
              </w:tc>
              <w:tc>
                <w:tcPr>
                  <w:tcW w:w="153" w:type="pct"/>
                  <w:vMerge w:val="continue"/>
                  <w:tcBorders>
                    <w:tl2br w:val="nil"/>
                    <w:tr2bl w:val="nil"/>
                  </w:tcBorders>
                  <w:noWrap w:val="0"/>
                  <w:vAlign w:val="center"/>
                </w:tcPr>
                <w:p w14:paraId="1BC9DCF7">
                  <w:pPr>
                    <w:jc w:val="center"/>
                    <w:rPr>
                      <w:u w:val="none"/>
                    </w:rPr>
                  </w:pPr>
                </w:p>
              </w:tc>
              <w:tc>
                <w:tcPr>
                  <w:tcW w:w="169" w:type="pct"/>
                  <w:tcBorders>
                    <w:tl2br w:val="nil"/>
                    <w:tr2bl w:val="nil"/>
                  </w:tcBorders>
                  <w:noWrap w:val="0"/>
                  <w:vAlign w:val="center"/>
                </w:tcPr>
                <w:p w14:paraId="35EBC270">
                  <w:pPr>
                    <w:jc w:val="center"/>
                    <w:rPr>
                      <w:u w:val="none"/>
                    </w:rPr>
                  </w:pPr>
                  <w:r>
                    <w:rPr>
                      <w:u w:val="none"/>
                    </w:rPr>
                    <w:t>南</w:t>
                  </w:r>
                </w:p>
              </w:tc>
              <w:tc>
                <w:tcPr>
                  <w:tcW w:w="232" w:type="pct"/>
                  <w:tcBorders>
                    <w:tl2br w:val="nil"/>
                    <w:tr2bl w:val="nil"/>
                  </w:tcBorders>
                  <w:noWrap w:val="0"/>
                  <w:vAlign w:val="center"/>
                </w:tcPr>
                <w:p w14:paraId="6BF0CA7B">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36</w:t>
                  </w:r>
                </w:p>
              </w:tc>
              <w:tc>
                <w:tcPr>
                  <w:tcW w:w="1003" w:type="dxa"/>
                  <w:tcBorders>
                    <w:tl2br w:val="nil"/>
                    <w:tr2bl w:val="nil"/>
                  </w:tcBorders>
                  <w:noWrap w:val="0"/>
                  <w:vAlign w:val="center"/>
                </w:tcPr>
                <w:p w14:paraId="39D1D1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63.9 </w:t>
                  </w:r>
                </w:p>
              </w:tc>
              <w:tc>
                <w:tcPr>
                  <w:tcW w:w="367" w:type="pct"/>
                  <w:vMerge w:val="continue"/>
                  <w:tcBorders>
                    <w:tl2br w:val="nil"/>
                    <w:tr2bl w:val="nil"/>
                  </w:tcBorders>
                  <w:noWrap w:val="0"/>
                  <w:vAlign w:val="center"/>
                </w:tcPr>
                <w:p w14:paraId="38B2CE00">
                  <w:pPr>
                    <w:jc w:val="center"/>
                    <w:rPr>
                      <w:u w:val="none"/>
                    </w:rPr>
                  </w:pPr>
                </w:p>
              </w:tc>
              <w:tc>
                <w:tcPr>
                  <w:tcW w:w="597" w:type="pct"/>
                  <w:tcBorders>
                    <w:tl2br w:val="nil"/>
                    <w:tr2bl w:val="nil"/>
                  </w:tcBorders>
                  <w:noWrap w:val="0"/>
                  <w:vAlign w:val="center"/>
                </w:tcPr>
                <w:p w14:paraId="54C59E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6ADBB1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48.9 </w:t>
                  </w:r>
                </w:p>
              </w:tc>
              <w:tc>
                <w:tcPr>
                  <w:tcW w:w="274" w:type="pct"/>
                  <w:tcBorders>
                    <w:tl2br w:val="nil"/>
                    <w:tr2bl w:val="nil"/>
                  </w:tcBorders>
                  <w:noWrap w:val="0"/>
                  <w:vAlign w:val="center"/>
                </w:tcPr>
                <w:p w14:paraId="284CDCC7">
                  <w:pPr>
                    <w:jc w:val="center"/>
                    <w:rPr>
                      <w:u w:val="none"/>
                    </w:rPr>
                  </w:pPr>
                  <w:r>
                    <w:rPr>
                      <w:u w:val="none"/>
                    </w:rPr>
                    <w:t>1m</w:t>
                  </w:r>
                </w:p>
              </w:tc>
            </w:tr>
            <w:tr w14:paraId="253F93C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59ADA2EE">
                  <w:pPr>
                    <w:jc w:val="center"/>
                    <w:rPr>
                      <w:u w:val="none"/>
                    </w:rPr>
                  </w:pPr>
                </w:p>
              </w:tc>
              <w:tc>
                <w:tcPr>
                  <w:tcW w:w="264" w:type="pct"/>
                  <w:vMerge w:val="continue"/>
                  <w:tcBorders>
                    <w:tl2br w:val="nil"/>
                    <w:tr2bl w:val="nil"/>
                  </w:tcBorders>
                  <w:noWrap w:val="0"/>
                  <w:vAlign w:val="center"/>
                </w:tcPr>
                <w:p w14:paraId="074936F3">
                  <w:pPr>
                    <w:jc w:val="center"/>
                    <w:rPr>
                      <w:u w:val="none"/>
                    </w:rPr>
                  </w:pPr>
                </w:p>
              </w:tc>
              <w:tc>
                <w:tcPr>
                  <w:tcW w:w="282" w:type="pct"/>
                  <w:vMerge w:val="continue"/>
                  <w:tcBorders>
                    <w:tl2br w:val="nil"/>
                    <w:tr2bl w:val="nil"/>
                  </w:tcBorders>
                  <w:noWrap w:val="0"/>
                  <w:vAlign w:val="center"/>
                </w:tcPr>
                <w:p w14:paraId="04436EA6">
                  <w:pPr>
                    <w:jc w:val="center"/>
                    <w:rPr>
                      <w:u w:val="none"/>
                    </w:rPr>
                  </w:pPr>
                </w:p>
              </w:tc>
              <w:tc>
                <w:tcPr>
                  <w:tcW w:w="597" w:type="pct"/>
                  <w:vMerge w:val="continue"/>
                  <w:tcBorders>
                    <w:tl2br w:val="nil"/>
                    <w:tr2bl w:val="nil"/>
                  </w:tcBorders>
                  <w:noWrap w:val="0"/>
                  <w:vAlign w:val="center"/>
                </w:tcPr>
                <w:p w14:paraId="6C7C4F48">
                  <w:pPr>
                    <w:jc w:val="center"/>
                    <w:rPr>
                      <w:u w:val="none"/>
                    </w:rPr>
                  </w:pPr>
                </w:p>
              </w:tc>
              <w:tc>
                <w:tcPr>
                  <w:tcW w:w="265" w:type="pct"/>
                  <w:vMerge w:val="continue"/>
                  <w:tcBorders>
                    <w:tl2br w:val="nil"/>
                    <w:tr2bl w:val="nil"/>
                  </w:tcBorders>
                  <w:noWrap w:val="0"/>
                  <w:vAlign w:val="center"/>
                </w:tcPr>
                <w:p w14:paraId="4065CAF1">
                  <w:pPr>
                    <w:jc w:val="center"/>
                    <w:rPr>
                      <w:u w:val="none"/>
                    </w:rPr>
                  </w:pPr>
                </w:p>
              </w:tc>
              <w:tc>
                <w:tcPr>
                  <w:tcW w:w="179" w:type="pct"/>
                  <w:vMerge w:val="continue"/>
                  <w:tcBorders>
                    <w:tl2br w:val="nil"/>
                    <w:tr2bl w:val="nil"/>
                  </w:tcBorders>
                  <w:noWrap w:val="0"/>
                  <w:vAlign w:val="center"/>
                </w:tcPr>
                <w:p w14:paraId="053C01A9">
                  <w:pPr>
                    <w:jc w:val="center"/>
                    <w:rPr>
                      <w:u w:val="none"/>
                    </w:rPr>
                  </w:pPr>
                </w:p>
              </w:tc>
              <w:tc>
                <w:tcPr>
                  <w:tcW w:w="243" w:type="pct"/>
                  <w:vMerge w:val="continue"/>
                  <w:tcBorders>
                    <w:tl2br w:val="nil"/>
                    <w:tr2bl w:val="nil"/>
                  </w:tcBorders>
                  <w:noWrap w:val="0"/>
                  <w:vAlign w:val="center"/>
                </w:tcPr>
                <w:p w14:paraId="67995936">
                  <w:pPr>
                    <w:jc w:val="center"/>
                    <w:rPr>
                      <w:u w:val="none"/>
                    </w:rPr>
                  </w:pPr>
                </w:p>
              </w:tc>
              <w:tc>
                <w:tcPr>
                  <w:tcW w:w="153" w:type="pct"/>
                  <w:vMerge w:val="continue"/>
                  <w:tcBorders>
                    <w:tl2br w:val="nil"/>
                    <w:tr2bl w:val="nil"/>
                  </w:tcBorders>
                  <w:noWrap w:val="0"/>
                  <w:vAlign w:val="center"/>
                </w:tcPr>
                <w:p w14:paraId="1F8B63B4">
                  <w:pPr>
                    <w:jc w:val="center"/>
                    <w:rPr>
                      <w:u w:val="none"/>
                    </w:rPr>
                  </w:pPr>
                </w:p>
              </w:tc>
              <w:tc>
                <w:tcPr>
                  <w:tcW w:w="169" w:type="pct"/>
                  <w:tcBorders>
                    <w:tl2br w:val="nil"/>
                    <w:tr2bl w:val="nil"/>
                  </w:tcBorders>
                  <w:noWrap w:val="0"/>
                  <w:vAlign w:val="center"/>
                </w:tcPr>
                <w:p w14:paraId="75F07C33">
                  <w:pPr>
                    <w:jc w:val="center"/>
                    <w:rPr>
                      <w:u w:val="none"/>
                    </w:rPr>
                  </w:pPr>
                  <w:r>
                    <w:rPr>
                      <w:u w:val="none"/>
                    </w:rPr>
                    <w:t>西</w:t>
                  </w:r>
                </w:p>
              </w:tc>
              <w:tc>
                <w:tcPr>
                  <w:tcW w:w="232" w:type="pct"/>
                  <w:tcBorders>
                    <w:tl2br w:val="nil"/>
                    <w:tr2bl w:val="nil"/>
                  </w:tcBorders>
                  <w:noWrap w:val="0"/>
                  <w:vAlign w:val="center"/>
                </w:tcPr>
                <w:p w14:paraId="6C85E251">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21</w:t>
                  </w:r>
                </w:p>
              </w:tc>
              <w:tc>
                <w:tcPr>
                  <w:tcW w:w="1003" w:type="dxa"/>
                  <w:tcBorders>
                    <w:tl2br w:val="nil"/>
                    <w:tr2bl w:val="nil"/>
                  </w:tcBorders>
                  <w:noWrap w:val="0"/>
                  <w:vAlign w:val="center"/>
                </w:tcPr>
                <w:p w14:paraId="65D62B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68.6 </w:t>
                  </w:r>
                </w:p>
              </w:tc>
              <w:tc>
                <w:tcPr>
                  <w:tcW w:w="367" w:type="pct"/>
                  <w:vMerge w:val="continue"/>
                  <w:tcBorders>
                    <w:tl2br w:val="nil"/>
                    <w:tr2bl w:val="nil"/>
                  </w:tcBorders>
                  <w:noWrap w:val="0"/>
                  <w:vAlign w:val="center"/>
                </w:tcPr>
                <w:p w14:paraId="63E1A3AE">
                  <w:pPr>
                    <w:jc w:val="center"/>
                    <w:rPr>
                      <w:u w:val="none"/>
                    </w:rPr>
                  </w:pPr>
                </w:p>
              </w:tc>
              <w:tc>
                <w:tcPr>
                  <w:tcW w:w="597" w:type="pct"/>
                  <w:tcBorders>
                    <w:tl2br w:val="nil"/>
                    <w:tr2bl w:val="nil"/>
                  </w:tcBorders>
                  <w:noWrap w:val="0"/>
                  <w:vAlign w:val="center"/>
                </w:tcPr>
                <w:p w14:paraId="4976F8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0A881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53.6 </w:t>
                  </w:r>
                </w:p>
              </w:tc>
              <w:tc>
                <w:tcPr>
                  <w:tcW w:w="274" w:type="pct"/>
                  <w:tcBorders>
                    <w:tl2br w:val="nil"/>
                    <w:tr2bl w:val="nil"/>
                  </w:tcBorders>
                  <w:noWrap w:val="0"/>
                  <w:vAlign w:val="center"/>
                </w:tcPr>
                <w:p w14:paraId="057752B9">
                  <w:pPr>
                    <w:jc w:val="center"/>
                    <w:rPr>
                      <w:u w:val="none"/>
                    </w:rPr>
                  </w:pPr>
                  <w:r>
                    <w:rPr>
                      <w:u w:val="none"/>
                    </w:rPr>
                    <w:t>1m</w:t>
                  </w:r>
                </w:p>
              </w:tc>
            </w:tr>
            <w:tr w14:paraId="3F6AFB1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5A157BCF">
                  <w:pPr>
                    <w:jc w:val="center"/>
                    <w:rPr>
                      <w:u w:val="none"/>
                    </w:rPr>
                  </w:pPr>
                </w:p>
              </w:tc>
              <w:tc>
                <w:tcPr>
                  <w:tcW w:w="264" w:type="pct"/>
                  <w:vMerge w:val="continue"/>
                  <w:tcBorders>
                    <w:tl2br w:val="nil"/>
                    <w:tr2bl w:val="nil"/>
                  </w:tcBorders>
                  <w:noWrap w:val="0"/>
                  <w:vAlign w:val="center"/>
                </w:tcPr>
                <w:p w14:paraId="46A2A2CA">
                  <w:pPr>
                    <w:jc w:val="center"/>
                    <w:rPr>
                      <w:u w:val="none"/>
                    </w:rPr>
                  </w:pPr>
                </w:p>
              </w:tc>
              <w:tc>
                <w:tcPr>
                  <w:tcW w:w="282" w:type="pct"/>
                  <w:vMerge w:val="continue"/>
                  <w:tcBorders>
                    <w:tl2br w:val="nil"/>
                    <w:tr2bl w:val="nil"/>
                  </w:tcBorders>
                  <w:noWrap w:val="0"/>
                  <w:vAlign w:val="center"/>
                </w:tcPr>
                <w:p w14:paraId="5C3EC25E">
                  <w:pPr>
                    <w:jc w:val="center"/>
                    <w:rPr>
                      <w:u w:val="none"/>
                    </w:rPr>
                  </w:pPr>
                </w:p>
              </w:tc>
              <w:tc>
                <w:tcPr>
                  <w:tcW w:w="597" w:type="pct"/>
                  <w:vMerge w:val="continue"/>
                  <w:tcBorders>
                    <w:tl2br w:val="nil"/>
                    <w:tr2bl w:val="nil"/>
                  </w:tcBorders>
                  <w:noWrap w:val="0"/>
                  <w:vAlign w:val="center"/>
                </w:tcPr>
                <w:p w14:paraId="01E1E0C1">
                  <w:pPr>
                    <w:jc w:val="center"/>
                    <w:rPr>
                      <w:u w:val="none"/>
                    </w:rPr>
                  </w:pPr>
                </w:p>
              </w:tc>
              <w:tc>
                <w:tcPr>
                  <w:tcW w:w="265" w:type="pct"/>
                  <w:vMerge w:val="continue"/>
                  <w:tcBorders>
                    <w:tl2br w:val="nil"/>
                    <w:tr2bl w:val="nil"/>
                  </w:tcBorders>
                  <w:noWrap w:val="0"/>
                  <w:vAlign w:val="center"/>
                </w:tcPr>
                <w:p w14:paraId="22603136">
                  <w:pPr>
                    <w:jc w:val="center"/>
                    <w:rPr>
                      <w:u w:val="none"/>
                    </w:rPr>
                  </w:pPr>
                </w:p>
              </w:tc>
              <w:tc>
                <w:tcPr>
                  <w:tcW w:w="179" w:type="pct"/>
                  <w:vMerge w:val="continue"/>
                  <w:tcBorders>
                    <w:tl2br w:val="nil"/>
                    <w:tr2bl w:val="nil"/>
                  </w:tcBorders>
                  <w:noWrap w:val="0"/>
                  <w:vAlign w:val="center"/>
                </w:tcPr>
                <w:p w14:paraId="24CED613">
                  <w:pPr>
                    <w:jc w:val="center"/>
                    <w:rPr>
                      <w:u w:val="none"/>
                    </w:rPr>
                  </w:pPr>
                </w:p>
              </w:tc>
              <w:tc>
                <w:tcPr>
                  <w:tcW w:w="243" w:type="pct"/>
                  <w:vMerge w:val="continue"/>
                  <w:tcBorders>
                    <w:tl2br w:val="nil"/>
                    <w:tr2bl w:val="nil"/>
                  </w:tcBorders>
                  <w:noWrap w:val="0"/>
                  <w:vAlign w:val="center"/>
                </w:tcPr>
                <w:p w14:paraId="004E126C">
                  <w:pPr>
                    <w:jc w:val="center"/>
                    <w:rPr>
                      <w:u w:val="none"/>
                    </w:rPr>
                  </w:pPr>
                </w:p>
              </w:tc>
              <w:tc>
                <w:tcPr>
                  <w:tcW w:w="153" w:type="pct"/>
                  <w:vMerge w:val="continue"/>
                  <w:tcBorders>
                    <w:tl2br w:val="nil"/>
                    <w:tr2bl w:val="nil"/>
                  </w:tcBorders>
                  <w:noWrap w:val="0"/>
                  <w:vAlign w:val="center"/>
                </w:tcPr>
                <w:p w14:paraId="6292BFFC">
                  <w:pPr>
                    <w:jc w:val="center"/>
                    <w:rPr>
                      <w:u w:val="none"/>
                    </w:rPr>
                  </w:pPr>
                </w:p>
              </w:tc>
              <w:tc>
                <w:tcPr>
                  <w:tcW w:w="169" w:type="pct"/>
                  <w:tcBorders>
                    <w:tl2br w:val="nil"/>
                    <w:tr2bl w:val="nil"/>
                  </w:tcBorders>
                  <w:noWrap w:val="0"/>
                  <w:vAlign w:val="center"/>
                </w:tcPr>
                <w:p w14:paraId="2805FE82">
                  <w:pPr>
                    <w:jc w:val="center"/>
                    <w:rPr>
                      <w:u w:val="none"/>
                    </w:rPr>
                  </w:pPr>
                  <w:r>
                    <w:rPr>
                      <w:u w:val="none"/>
                    </w:rPr>
                    <w:t>北</w:t>
                  </w:r>
                </w:p>
              </w:tc>
              <w:tc>
                <w:tcPr>
                  <w:tcW w:w="232" w:type="pct"/>
                  <w:tcBorders>
                    <w:tl2br w:val="nil"/>
                    <w:tr2bl w:val="nil"/>
                  </w:tcBorders>
                  <w:noWrap w:val="0"/>
                  <w:vAlign w:val="center"/>
                </w:tcPr>
                <w:p w14:paraId="5E61806E">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42</w:t>
                  </w:r>
                </w:p>
              </w:tc>
              <w:tc>
                <w:tcPr>
                  <w:tcW w:w="1003" w:type="dxa"/>
                  <w:tcBorders>
                    <w:tl2br w:val="nil"/>
                    <w:tr2bl w:val="nil"/>
                  </w:tcBorders>
                  <w:noWrap w:val="0"/>
                  <w:vAlign w:val="center"/>
                </w:tcPr>
                <w:p w14:paraId="229C14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62.5 </w:t>
                  </w:r>
                </w:p>
              </w:tc>
              <w:tc>
                <w:tcPr>
                  <w:tcW w:w="367" w:type="pct"/>
                  <w:vMerge w:val="continue"/>
                  <w:tcBorders>
                    <w:tl2br w:val="nil"/>
                    <w:tr2bl w:val="nil"/>
                  </w:tcBorders>
                  <w:noWrap w:val="0"/>
                  <w:vAlign w:val="center"/>
                </w:tcPr>
                <w:p w14:paraId="7A0746FC">
                  <w:pPr>
                    <w:jc w:val="center"/>
                    <w:rPr>
                      <w:u w:val="none"/>
                    </w:rPr>
                  </w:pPr>
                </w:p>
              </w:tc>
              <w:tc>
                <w:tcPr>
                  <w:tcW w:w="597" w:type="pct"/>
                  <w:tcBorders>
                    <w:tl2br w:val="nil"/>
                    <w:tr2bl w:val="nil"/>
                  </w:tcBorders>
                  <w:noWrap w:val="0"/>
                  <w:vAlign w:val="center"/>
                </w:tcPr>
                <w:p w14:paraId="21687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0F8902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47.5 </w:t>
                  </w:r>
                </w:p>
              </w:tc>
              <w:tc>
                <w:tcPr>
                  <w:tcW w:w="274" w:type="pct"/>
                  <w:tcBorders>
                    <w:tl2br w:val="nil"/>
                    <w:tr2bl w:val="nil"/>
                  </w:tcBorders>
                  <w:noWrap w:val="0"/>
                  <w:vAlign w:val="center"/>
                </w:tcPr>
                <w:p w14:paraId="7DC1C1CB">
                  <w:pPr>
                    <w:jc w:val="center"/>
                    <w:rPr>
                      <w:u w:val="none"/>
                    </w:rPr>
                  </w:pPr>
                  <w:r>
                    <w:rPr>
                      <w:u w:val="none"/>
                    </w:rPr>
                    <w:t>1m</w:t>
                  </w:r>
                </w:p>
              </w:tc>
            </w:tr>
            <w:tr w14:paraId="7DA0C81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8" w:type="pct"/>
                  <w:vMerge w:val="restart"/>
                  <w:tcBorders>
                    <w:tl2br w:val="nil"/>
                    <w:tr2bl w:val="nil"/>
                  </w:tcBorders>
                  <w:noWrap w:val="0"/>
                  <w:vAlign w:val="center"/>
                </w:tcPr>
                <w:p w14:paraId="0B744BCF">
                  <w:pPr>
                    <w:jc w:val="center"/>
                    <w:rPr>
                      <w:rFonts w:hint="eastAsia" w:eastAsia="宋体"/>
                      <w:kern w:val="2"/>
                      <w:sz w:val="21"/>
                      <w:szCs w:val="24"/>
                      <w:u w:val="none"/>
                      <w:lang w:val="en-US" w:eastAsia="zh-CN" w:bidi="ar-SA"/>
                    </w:rPr>
                  </w:pPr>
                  <w:r>
                    <w:rPr>
                      <w:rFonts w:hint="eastAsia"/>
                      <w:u w:val="none"/>
                      <w:lang w:val="en-US" w:eastAsia="zh-CN"/>
                    </w:rPr>
                    <w:t>7</w:t>
                  </w:r>
                </w:p>
                <w:p w14:paraId="165AE52C">
                  <w:pPr>
                    <w:jc w:val="center"/>
                    <w:rPr>
                      <w:rFonts w:hint="default" w:eastAsia="宋体"/>
                      <w:kern w:val="2"/>
                      <w:sz w:val="21"/>
                      <w:szCs w:val="24"/>
                      <w:u w:val="none"/>
                      <w:lang w:val="en-US" w:eastAsia="zh-CN" w:bidi="ar-SA"/>
                    </w:rPr>
                  </w:pPr>
                </w:p>
                <w:p w14:paraId="705D52FF">
                  <w:pPr>
                    <w:jc w:val="center"/>
                    <w:rPr>
                      <w:u w:val="none"/>
                    </w:rPr>
                  </w:pPr>
                </w:p>
              </w:tc>
              <w:tc>
                <w:tcPr>
                  <w:tcW w:w="264" w:type="pct"/>
                  <w:vMerge w:val="continue"/>
                  <w:tcBorders>
                    <w:tl2br w:val="nil"/>
                    <w:tr2bl w:val="nil"/>
                  </w:tcBorders>
                  <w:noWrap w:val="0"/>
                  <w:vAlign w:val="center"/>
                </w:tcPr>
                <w:p w14:paraId="7DD3898D">
                  <w:pPr>
                    <w:jc w:val="center"/>
                    <w:rPr>
                      <w:u w:val="none"/>
                    </w:rPr>
                  </w:pPr>
                </w:p>
              </w:tc>
              <w:tc>
                <w:tcPr>
                  <w:tcW w:w="282" w:type="pct"/>
                  <w:vMerge w:val="restart"/>
                  <w:tcBorders>
                    <w:tl2br w:val="nil"/>
                    <w:tr2bl w:val="nil"/>
                  </w:tcBorders>
                  <w:noWrap w:val="0"/>
                  <w:vAlign w:val="center"/>
                </w:tcPr>
                <w:p w14:paraId="54C40773">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倒卷机</w:t>
                  </w:r>
                </w:p>
              </w:tc>
              <w:tc>
                <w:tcPr>
                  <w:tcW w:w="597" w:type="pct"/>
                  <w:vMerge w:val="restart"/>
                  <w:tcBorders>
                    <w:tl2br w:val="nil"/>
                    <w:tr2bl w:val="nil"/>
                  </w:tcBorders>
                  <w:noWrap w:val="0"/>
                  <w:vAlign w:val="center"/>
                </w:tcPr>
                <w:p w14:paraId="00A939F9">
                  <w:pPr>
                    <w:jc w:val="center"/>
                    <w:rPr>
                      <w:kern w:val="2"/>
                      <w:sz w:val="21"/>
                      <w:szCs w:val="24"/>
                      <w:u w:val="none"/>
                      <w:lang w:val="en-US" w:eastAsia="zh-CN" w:bidi="ar-SA"/>
                    </w:rPr>
                  </w:pPr>
                  <w:r>
                    <w:rPr>
                      <w:rFonts w:hint="eastAsia"/>
                      <w:u w:val="none"/>
                      <w:lang w:val="en-US" w:eastAsia="zh-CN"/>
                    </w:rPr>
                    <w:t>80</w:t>
                  </w:r>
                  <w:r>
                    <w:rPr>
                      <w:u w:val="none"/>
                    </w:rPr>
                    <w:t>/1</w:t>
                  </w:r>
                </w:p>
              </w:tc>
              <w:tc>
                <w:tcPr>
                  <w:tcW w:w="265" w:type="pct"/>
                  <w:vMerge w:val="continue"/>
                  <w:tcBorders>
                    <w:tl2br w:val="nil"/>
                    <w:tr2bl w:val="nil"/>
                  </w:tcBorders>
                  <w:noWrap w:val="0"/>
                  <w:vAlign w:val="center"/>
                </w:tcPr>
                <w:p w14:paraId="12F3A038">
                  <w:pPr>
                    <w:jc w:val="center"/>
                    <w:rPr>
                      <w:u w:val="none"/>
                    </w:rPr>
                  </w:pPr>
                </w:p>
              </w:tc>
              <w:tc>
                <w:tcPr>
                  <w:tcW w:w="179" w:type="pct"/>
                  <w:vMerge w:val="restart"/>
                  <w:tcBorders>
                    <w:tl2br w:val="nil"/>
                    <w:tr2bl w:val="nil"/>
                  </w:tcBorders>
                  <w:noWrap w:val="0"/>
                  <w:vAlign w:val="center"/>
                </w:tcPr>
                <w:p w14:paraId="786A679D">
                  <w:pPr>
                    <w:jc w:val="center"/>
                    <w:rPr>
                      <w:rFonts w:hint="default" w:eastAsia="宋体"/>
                      <w:u w:val="none"/>
                      <w:lang w:val="en-US" w:eastAsia="zh-CN"/>
                    </w:rPr>
                  </w:pPr>
                  <w:r>
                    <w:rPr>
                      <w:rFonts w:hint="eastAsia"/>
                      <w:u w:val="none"/>
                      <w:lang w:val="en-US" w:eastAsia="zh-CN"/>
                    </w:rPr>
                    <w:t>-27</w:t>
                  </w:r>
                </w:p>
              </w:tc>
              <w:tc>
                <w:tcPr>
                  <w:tcW w:w="243" w:type="pct"/>
                  <w:vMerge w:val="restart"/>
                  <w:tcBorders>
                    <w:tl2br w:val="nil"/>
                    <w:tr2bl w:val="nil"/>
                  </w:tcBorders>
                  <w:noWrap w:val="0"/>
                  <w:vAlign w:val="center"/>
                </w:tcPr>
                <w:p w14:paraId="69626855">
                  <w:pPr>
                    <w:jc w:val="center"/>
                    <w:rPr>
                      <w:rFonts w:hint="default" w:eastAsia="宋体"/>
                      <w:u w:val="none"/>
                      <w:lang w:val="en-US" w:eastAsia="zh-CN"/>
                    </w:rPr>
                  </w:pPr>
                  <w:r>
                    <w:rPr>
                      <w:rFonts w:hint="eastAsia"/>
                      <w:u w:val="none"/>
                      <w:lang w:val="en-US" w:eastAsia="zh-CN"/>
                    </w:rPr>
                    <w:t>-4</w:t>
                  </w:r>
                </w:p>
              </w:tc>
              <w:tc>
                <w:tcPr>
                  <w:tcW w:w="257" w:type="dxa"/>
                  <w:vMerge w:val="restart"/>
                  <w:tcBorders>
                    <w:tl2br w:val="nil"/>
                    <w:tr2bl w:val="nil"/>
                  </w:tcBorders>
                  <w:noWrap w:val="0"/>
                  <w:vAlign w:val="center"/>
                </w:tcPr>
                <w:p w14:paraId="39DAEDC3">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52237390">
                  <w:pPr>
                    <w:jc w:val="center"/>
                    <w:rPr>
                      <w:u w:val="none"/>
                    </w:rPr>
                  </w:pPr>
                  <w:r>
                    <w:rPr>
                      <w:u w:val="none"/>
                    </w:rPr>
                    <w:t>东</w:t>
                  </w:r>
                </w:p>
              </w:tc>
              <w:tc>
                <w:tcPr>
                  <w:tcW w:w="232" w:type="pct"/>
                  <w:tcBorders>
                    <w:tl2br w:val="nil"/>
                    <w:tr2bl w:val="nil"/>
                  </w:tcBorders>
                  <w:noWrap w:val="0"/>
                  <w:vAlign w:val="center"/>
                </w:tcPr>
                <w:p w14:paraId="0CB1F250">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68</w:t>
                  </w:r>
                </w:p>
              </w:tc>
              <w:tc>
                <w:tcPr>
                  <w:tcW w:w="1003" w:type="dxa"/>
                  <w:tcBorders>
                    <w:tl2br w:val="nil"/>
                    <w:tr2bl w:val="nil"/>
                  </w:tcBorders>
                  <w:noWrap w:val="0"/>
                  <w:vAlign w:val="center"/>
                </w:tcPr>
                <w:p w14:paraId="220570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43.3 </w:t>
                  </w:r>
                </w:p>
              </w:tc>
              <w:tc>
                <w:tcPr>
                  <w:tcW w:w="367" w:type="pct"/>
                  <w:vMerge w:val="continue"/>
                  <w:tcBorders>
                    <w:tl2br w:val="nil"/>
                    <w:tr2bl w:val="nil"/>
                  </w:tcBorders>
                  <w:noWrap w:val="0"/>
                  <w:vAlign w:val="center"/>
                </w:tcPr>
                <w:p w14:paraId="3567CE1C">
                  <w:pPr>
                    <w:jc w:val="center"/>
                    <w:rPr>
                      <w:u w:val="none"/>
                    </w:rPr>
                  </w:pPr>
                </w:p>
              </w:tc>
              <w:tc>
                <w:tcPr>
                  <w:tcW w:w="597" w:type="pct"/>
                  <w:tcBorders>
                    <w:tl2br w:val="nil"/>
                    <w:tr2bl w:val="nil"/>
                  </w:tcBorders>
                  <w:noWrap w:val="0"/>
                  <w:vAlign w:val="center"/>
                </w:tcPr>
                <w:p w14:paraId="64400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3EFFD7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28.3 </w:t>
                  </w:r>
                </w:p>
              </w:tc>
              <w:tc>
                <w:tcPr>
                  <w:tcW w:w="274" w:type="pct"/>
                  <w:tcBorders>
                    <w:tl2br w:val="nil"/>
                    <w:tr2bl w:val="nil"/>
                  </w:tcBorders>
                  <w:noWrap w:val="0"/>
                  <w:vAlign w:val="center"/>
                </w:tcPr>
                <w:p w14:paraId="12FEAF1E">
                  <w:pPr>
                    <w:jc w:val="center"/>
                    <w:rPr>
                      <w:u w:val="none"/>
                    </w:rPr>
                  </w:pPr>
                  <w:r>
                    <w:rPr>
                      <w:u w:val="none"/>
                    </w:rPr>
                    <w:t>1m</w:t>
                  </w:r>
                </w:p>
              </w:tc>
            </w:tr>
            <w:tr w14:paraId="549CE39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74AD97CB">
                  <w:pPr>
                    <w:jc w:val="center"/>
                    <w:rPr>
                      <w:u w:val="none"/>
                    </w:rPr>
                  </w:pPr>
                </w:p>
              </w:tc>
              <w:tc>
                <w:tcPr>
                  <w:tcW w:w="264" w:type="pct"/>
                  <w:vMerge w:val="continue"/>
                  <w:tcBorders>
                    <w:tl2br w:val="nil"/>
                    <w:tr2bl w:val="nil"/>
                  </w:tcBorders>
                  <w:noWrap w:val="0"/>
                  <w:vAlign w:val="center"/>
                </w:tcPr>
                <w:p w14:paraId="2FBA76A1">
                  <w:pPr>
                    <w:jc w:val="center"/>
                    <w:rPr>
                      <w:u w:val="none"/>
                    </w:rPr>
                  </w:pPr>
                </w:p>
              </w:tc>
              <w:tc>
                <w:tcPr>
                  <w:tcW w:w="282" w:type="pct"/>
                  <w:vMerge w:val="continue"/>
                  <w:tcBorders>
                    <w:tl2br w:val="nil"/>
                    <w:tr2bl w:val="nil"/>
                  </w:tcBorders>
                  <w:noWrap w:val="0"/>
                  <w:vAlign w:val="center"/>
                </w:tcPr>
                <w:p w14:paraId="3CC79B0A">
                  <w:pPr>
                    <w:jc w:val="center"/>
                    <w:rPr>
                      <w:u w:val="none"/>
                    </w:rPr>
                  </w:pPr>
                </w:p>
              </w:tc>
              <w:tc>
                <w:tcPr>
                  <w:tcW w:w="597" w:type="pct"/>
                  <w:vMerge w:val="continue"/>
                  <w:tcBorders>
                    <w:tl2br w:val="nil"/>
                    <w:tr2bl w:val="nil"/>
                  </w:tcBorders>
                  <w:noWrap w:val="0"/>
                  <w:vAlign w:val="center"/>
                </w:tcPr>
                <w:p w14:paraId="506730A3">
                  <w:pPr>
                    <w:jc w:val="center"/>
                    <w:rPr>
                      <w:u w:val="none"/>
                    </w:rPr>
                  </w:pPr>
                </w:p>
              </w:tc>
              <w:tc>
                <w:tcPr>
                  <w:tcW w:w="265" w:type="pct"/>
                  <w:vMerge w:val="continue"/>
                  <w:tcBorders>
                    <w:tl2br w:val="nil"/>
                    <w:tr2bl w:val="nil"/>
                  </w:tcBorders>
                  <w:noWrap w:val="0"/>
                  <w:vAlign w:val="center"/>
                </w:tcPr>
                <w:p w14:paraId="13AFC25A">
                  <w:pPr>
                    <w:jc w:val="center"/>
                    <w:rPr>
                      <w:u w:val="none"/>
                    </w:rPr>
                  </w:pPr>
                </w:p>
              </w:tc>
              <w:tc>
                <w:tcPr>
                  <w:tcW w:w="179" w:type="pct"/>
                  <w:vMerge w:val="continue"/>
                  <w:tcBorders>
                    <w:tl2br w:val="nil"/>
                    <w:tr2bl w:val="nil"/>
                  </w:tcBorders>
                  <w:noWrap w:val="0"/>
                  <w:vAlign w:val="center"/>
                </w:tcPr>
                <w:p w14:paraId="0D3F69F2">
                  <w:pPr>
                    <w:jc w:val="center"/>
                    <w:rPr>
                      <w:u w:val="none"/>
                    </w:rPr>
                  </w:pPr>
                </w:p>
              </w:tc>
              <w:tc>
                <w:tcPr>
                  <w:tcW w:w="243" w:type="pct"/>
                  <w:vMerge w:val="continue"/>
                  <w:tcBorders>
                    <w:tl2br w:val="nil"/>
                    <w:tr2bl w:val="nil"/>
                  </w:tcBorders>
                  <w:noWrap w:val="0"/>
                  <w:vAlign w:val="center"/>
                </w:tcPr>
                <w:p w14:paraId="5AE47DFA">
                  <w:pPr>
                    <w:jc w:val="center"/>
                    <w:rPr>
                      <w:u w:val="none"/>
                    </w:rPr>
                  </w:pPr>
                </w:p>
              </w:tc>
              <w:tc>
                <w:tcPr>
                  <w:tcW w:w="153" w:type="pct"/>
                  <w:vMerge w:val="continue"/>
                  <w:tcBorders>
                    <w:tl2br w:val="nil"/>
                    <w:tr2bl w:val="nil"/>
                  </w:tcBorders>
                  <w:noWrap w:val="0"/>
                  <w:vAlign w:val="center"/>
                </w:tcPr>
                <w:p w14:paraId="469841D4">
                  <w:pPr>
                    <w:jc w:val="center"/>
                    <w:rPr>
                      <w:u w:val="none"/>
                    </w:rPr>
                  </w:pPr>
                </w:p>
              </w:tc>
              <w:tc>
                <w:tcPr>
                  <w:tcW w:w="169" w:type="pct"/>
                  <w:tcBorders>
                    <w:tl2br w:val="nil"/>
                    <w:tr2bl w:val="nil"/>
                  </w:tcBorders>
                  <w:noWrap w:val="0"/>
                  <w:vAlign w:val="center"/>
                </w:tcPr>
                <w:p w14:paraId="06D61EE9">
                  <w:pPr>
                    <w:jc w:val="center"/>
                    <w:rPr>
                      <w:u w:val="none"/>
                    </w:rPr>
                  </w:pPr>
                  <w:r>
                    <w:rPr>
                      <w:u w:val="none"/>
                    </w:rPr>
                    <w:t>南</w:t>
                  </w:r>
                </w:p>
              </w:tc>
              <w:tc>
                <w:tcPr>
                  <w:tcW w:w="232" w:type="pct"/>
                  <w:tcBorders>
                    <w:tl2br w:val="nil"/>
                    <w:tr2bl w:val="nil"/>
                  </w:tcBorders>
                  <w:noWrap w:val="0"/>
                  <w:vAlign w:val="center"/>
                </w:tcPr>
                <w:p w14:paraId="70371C99">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35</w:t>
                  </w:r>
                </w:p>
              </w:tc>
              <w:tc>
                <w:tcPr>
                  <w:tcW w:w="1003" w:type="dxa"/>
                  <w:tcBorders>
                    <w:tl2br w:val="nil"/>
                    <w:tr2bl w:val="nil"/>
                  </w:tcBorders>
                  <w:noWrap w:val="0"/>
                  <w:vAlign w:val="center"/>
                </w:tcPr>
                <w:p w14:paraId="114520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49.1 </w:t>
                  </w:r>
                </w:p>
              </w:tc>
              <w:tc>
                <w:tcPr>
                  <w:tcW w:w="367" w:type="pct"/>
                  <w:vMerge w:val="continue"/>
                  <w:tcBorders>
                    <w:tl2br w:val="nil"/>
                    <w:tr2bl w:val="nil"/>
                  </w:tcBorders>
                  <w:noWrap w:val="0"/>
                  <w:vAlign w:val="center"/>
                </w:tcPr>
                <w:p w14:paraId="5509C8E2">
                  <w:pPr>
                    <w:jc w:val="center"/>
                    <w:rPr>
                      <w:u w:val="none"/>
                    </w:rPr>
                  </w:pPr>
                </w:p>
              </w:tc>
              <w:tc>
                <w:tcPr>
                  <w:tcW w:w="597" w:type="pct"/>
                  <w:tcBorders>
                    <w:tl2br w:val="nil"/>
                    <w:tr2bl w:val="nil"/>
                  </w:tcBorders>
                  <w:noWrap w:val="0"/>
                  <w:vAlign w:val="center"/>
                </w:tcPr>
                <w:p w14:paraId="697247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6CEDE0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34.1 </w:t>
                  </w:r>
                </w:p>
              </w:tc>
              <w:tc>
                <w:tcPr>
                  <w:tcW w:w="274" w:type="pct"/>
                  <w:tcBorders>
                    <w:tl2br w:val="nil"/>
                    <w:tr2bl w:val="nil"/>
                  </w:tcBorders>
                  <w:noWrap w:val="0"/>
                  <w:vAlign w:val="center"/>
                </w:tcPr>
                <w:p w14:paraId="7DE0D291">
                  <w:pPr>
                    <w:jc w:val="center"/>
                    <w:rPr>
                      <w:u w:val="none"/>
                    </w:rPr>
                  </w:pPr>
                  <w:r>
                    <w:rPr>
                      <w:u w:val="none"/>
                    </w:rPr>
                    <w:t>1m</w:t>
                  </w:r>
                </w:p>
              </w:tc>
            </w:tr>
            <w:tr w14:paraId="6176A71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79DBA57B">
                  <w:pPr>
                    <w:jc w:val="center"/>
                    <w:rPr>
                      <w:u w:val="none"/>
                    </w:rPr>
                  </w:pPr>
                </w:p>
              </w:tc>
              <w:tc>
                <w:tcPr>
                  <w:tcW w:w="264" w:type="pct"/>
                  <w:vMerge w:val="continue"/>
                  <w:tcBorders>
                    <w:tl2br w:val="nil"/>
                    <w:tr2bl w:val="nil"/>
                  </w:tcBorders>
                  <w:noWrap w:val="0"/>
                  <w:vAlign w:val="center"/>
                </w:tcPr>
                <w:p w14:paraId="581DF54C">
                  <w:pPr>
                    <w:jc w:val="center"/>
                    <w:rPr>
                      <w:u w:val="none"/>
                    </w:rPr>
                  </w:pPr>
                </w:p>
              </w:tc>
              <w:tc>
                <w:tcPr>
                  <w:tcW w:w="282" w:type="pct"/>
                  <w:vMerge w:val="continue"/>
                  <w:tcBorders>
                    <w:tl2br w:val="nil"/>
                    <w:tr2bl w:val="nil"/>
                  </w:tcBorders>
                  <w:noWrap w:val="0"/>
                  <w:vAlign w:val="center"/>
                </w:tcPr>
                <w:p w14:paraId="1754CEEA">
                  <w:pPr>
                    <w:jc w:val="center"/>
                    <w:rPr>
                      <w:u w:val="none"/>
                    </w:rPr>
                  </w:pPr>
                </w:p>
              </w:tc>
              <w:tc>
                <w:tcPr>
                  <w:tcW w:w="597" w:type="pct"/>
                  <w:vMerge w:val="continue"/>
                  <w:tcBorders>
                    <w:tl2br w:val="nil"/>
                    <w:tr2bl w:val="nil"/>
                  </w:tcBorders>
                  <w:noWrap w:val="0"/>
                  <w:vAlign w:val="center"/>
                </w:tcPr>
                <w:p w14:paraId="175138E2">
                  <w:pPr>
                    <w:jc w:val="center"/>
                    <w:rPr>
                      <w:u w:val="none"/>
                    </w:rPr>
                  </w:pPr>
                </w:p>
              </w:tc>
              <w:tc>
                <w:tcPr>
                  <w:tcW w:w="265" w:type="pct"/>
                  <w:vMerge w:val="continue"/>
                  <w:tcBorders>
                    <w:tl2br w:val="nil"/>
                    <w:tr2bl w:val="nil"/>
                  </w:tcBorders>
                  <w:noWrap w:val="0"/>
                  <w:vAlign w:val="center"/>
                </w:tcPr>
                <w:p w14:paraId="4EB27A80">
                  <w:pPr>
                    <w:jc w:val="center"/>
                    <w:rPr>
                      <w:u w:val="none"/>
                    </w:rPr>
                  </w:pPr>
                </w:p>
              </w:tc>
              <w:tc>
                <w:tcPr>
                  <w:tcW w:w="179" w:type="pct"/>
                  <w:vMerge w:val="continue"/>
                  <w:tcBorders>
                    <w:tl2br w:val="nil"/>
                    <w:tr2bl w:val="nil"/>
                  </w:tcBorders>
                  <w:noWrap w:val="0"/>
                  <w:vAlign w:val="center"/>
                </w:tcPr>
                <w:p w14:paraId="176B1200">
                  <w:pPr>
                    <w:jc w:val="center"/>
                    <w:rPr>
                      <w:u w:val="none"/>
                    </w:rPr>
                  </w:pPr>
                </w:p>
              </w:tc>
              <w:tc>
                <w:tcPr>
                  <w:tcW w:w="243" w:type="pct"/>
                  <w:vMerge w:val="continue"/>
                  <w:tcBorders>
                    <w:tl2br w:val="nil"/>
                    <w:tr2bl w:val="nil"/>
                  </w:tcBorders>
                  <w:noWrap w:val="0"/>
                  <w:vAlign w:val="center"/>
                </w:tcPr>
                <w:p w14:paraId="2BCFEC51">
                  <w:pPr>
                    <w:jc w:val="center"/>
                    <w:rPr>
                      <w:u w:val="none"/>
                    </w:rPr>
                  </w:pPr>
                </w:p>
              </w:tc>
              <w:tc>
                <w:tcPr>
                  <w:tcW w:w="153" w:type="pct"/>
                  <w:vMerge w:val="continue"/>
                  <w:tcBorders>
                    <w:tl2br w:val="nil"/>
                    <w:tr2bl w:val="nil"/>
                  </w:tcBorders>
                  <w:noWrap w:val="0"/>
                  <w:vAlign w:val="center"/>
                </w:tcPr>
                <w:p w14:paraId="256D17C5">
                  <w:pPr>
                    <w:jc w:val="center"/>
                    <w:rPr>
                      <w:u w:val="none"/>
                    </w:rPr>
                  </w:pPr>
                </w:p>
              </w:tc>
              <w:tc>
                <w:tcPr>
                  <w:tcW w:w="169" w:type="pct"/>
                  <w:tcBorders>
                    <w:tl2br w:val="nil"/>
                    <w:tr2bl w:val="nil"/>
                  </w:tcBorders>
                  <w:noWrap w:val="0"/>
                  <w:vAlign w:val="center"/>
                </w:tcPr>
                <w:p w14:paraId="1691A7F7">
                  <w:pPr>
                    <w:jc w:val="center"/>
                    <w:rPr>
                      <w:u w:val="none"/>
                    </w:rPr>
                  </w:pPr>
                  <w:r>
                    <w:rPr>
                      <w:u w:val="none"/>
                    </w:rPr>
                    <w:t>西</w:t>
                  </w:r>
                </w:p>
              </w:tc>
              <w:tc>
                <w:tcPr>
                  <w:tcW w:w="232" w:type="pct"/>
                  <w:tcBorders>
                    <w:tl2br w:val="nil"/>
                    <w:tr2bl w:val="nil"/>
                  </w:tcBorders>
                  <w:noWrap w:val="0"/>
                  <w:vAlign w:val="center"/>
                </w:tcPr>
                <w:p w14:paraId="009A3B42">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14</w:t>
                  </w:r>
                </w:p>
              </w:tc>
              <w:tc>
                <w:tcPr>
                  <w:tcW w:w="1003" w:type="dxa"/>
                  <w:tcBorders>
                    <w:tl2br w:val="nil"/>
                    <w:tr2bl w:val="nil"/>
                  </w:tcBorders>
                  <w:noWrap w:val="0"/>
                  <w:vAlign w:val="center"/>
                </w:tcPr>
                <w:p w14:paraId="2C7E20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57.1 </w:t>
                  </w:r>
                </w:p>
              </w:tc>
              <w:tc>
                <w:tcPr>
                  <w:tcW w:w="367" w:type="pct"/>
                  <w:vMerge w:val="continue"/>
                  <w:tcBorders>
                    <w:tl2br w:val="nil"/>
                    <w:tr2bl w:val="nil"/>
                  </w:tcBorders>
                  <w:noWrap w:val="0"/>
                  <w:vAlign w:val="center"/>
                </w:tcPr>
                <w:p w14:paraId="0FDB95A3">
                  <w:pPr>
                    <w:jc w:val="center"/>
                    <w:rPr>
                      <w:u w:val="none"/>
                    </w:rPr>
                  </w:pPr>
                </w:p>
              </w:tc>
              <w:tc>
                <w:tcPr>
                  <w:tcW w:w="597" w:type="pct"/>
                  <w:tcBorders>
                    <w:tl2br w:val="nil"/>
                    <w:tr2bl w:val="nil"/>
                  </w:tcBorders>
                  <w:noWrap w:val="0"/>
                  <w:vAlign w:val="center"/>
                </w:tcPr>
                <w:p w14:paraId="420C68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F8945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42.1 </w:t>
                  </w:r>
                </w:p>
              </w:tc>
              <w:tc>
                <w:tcPr>
                  <w:tcW w:w="274" w:type="pct"/>
                  <w:tcBorders>
                    <w:tl2br w:val="nil"/>
                    <w:tr2bl w:val="nil"/>
                  </w:tcBorders>
                  <w:noWrap w:val="0"/>
                  <w:vAlign w:val="center"/>
                </w:tcPr>
                <w:p w14:paraId="5D0DE8A2">
                  <w:pPr>
                    <w:jc w:val="center"/>
                    <w:rPr>
                      <w:u w:val="none"/>
                    </w:rPr>
                  </w:pPr>
                  <w:r>
                    <w:rPr>
                      <w:u w:val="none"/>
                    </w:rPr>
                    <w:t>1m</w:t>
                  </w:r>
                </w:p>
              </w:tc>
            </w:tr>
            <w:tr w14:paraId="22F6740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78" w:type="pct"/>
                  <w:vMerge w:val="continue"/>
                  <w:tcBorders>
                    <w:tl2br w:val="nil"/>
                    <w:tr2bl w:val="nil"/>
                  </w:tcBorders>
                  <w:noWrap w:val="0"/>
                  <w:vAlign w:val="center"/>
                </w:tcPr>
                <w:p w14:paraId="3597F240">
                  <w:pPr>
                    <w:jc w:val="center"/>
                    <w:rPr>
                      <w:u w:val="none"/>
                    </w:rPr>
                  </w:pPr>
                </w:p>
              </w:tc>
              <w:tc>
                <w:tcPr>
                  <w:tcW w:w="264" w:type="pct"/>
                  <w:vMerge w:val="continue"/>
                  <w:tcBorders>
                    <w:tl2br w:val="nil"/>
                    <w:tr2bl w:val="nil"/>
                  </w:tcBorders>
                  <w:noWrap w:val="0"/>
                  <w:vAlign w:val="center"/>
                </w:tcPr>
                <w:p w14:paraId="0591EF41">
                  <w:pPr>
                    <w:jc w:val="center"/>
                    <w:rPr>
                      <w:u w:val="none"/>
                    </w:rPr>
                  </w:pPr>
                </w:p>
              </w:tc>
              <w:tc>
                <w:tcPr>
                  <w:tcW w:w="282" w:type="pct"/>
                  <w:vMerge w:val="continue"/>
                  <w:tcBorders>
                    <w:tl2br w:val="nil"/>
                    <w:tr2bl w:val="nil"/>
                  </w:tcBorders>
                  <w:noWrap w:val="0"/>
                  <w:vAlign w:val="center"/>
                </w:tcPr>
                <w:p w14:paraId="245A63FB">
                  <w:pPr>
                    <w:jc w:val="center"/>
                    <w:rPr>
                      <w:u w:val="none"/>
                    </w:rPr>
                  </w:pPr>
                </w:p>
              </w:tc>
              <w:tc>
                <w:tcPr>
                  <w:tcW w:w="597" w:type="pct"/>
                  <w:vMerge w:val="continue"/>
                  <w:tcBorders>
                    <w:tl2br w:val="nil"/>
                    <w:tr2bl w:val="nil"/>
                  </w:tcBorders>
                  <w:noWrap w:val="0"/>
                  <w:vAlign w:val="center"/>
                </w:tcPr>
                <w:p w14:paraId="224287D6">
                  <w:pPr>
                    <w:jc w:val="center"/>
                    <w:rPr>
                      <w:u w:val="none"/>
                    </w:rPr>
                  </w:pPr>
                </w:p>
              </w:tc>
              <w:tc>
                <w:tcPr>
                  <w:tcW w:w="265" w:type="pct"/>
                  <w:vMerge w:val="continue"/>
                  <w:tcBorders>
                    <w:tl2br w:val="nil"/>
                    <w:tr2bl w:val="nil"/>
                  </w:tcBorders>
                  <w:noWrap w:val="0"/>
                  <w:vAlign w:val="center"/>
                </w:tcPr>
                <w:p w14:paraId="69D0ACA6">
                  <w:pPr>
                    <w:jc w:val="center"/>
                    <w:rPr>
                      <w:u w:val="none"/>
                    </w:rPr>
                  </w:pPr>
                </w:p>
              </w:tc>
              <w:tc>
                <w:tcPr>
                  <w:tcW w:w="179" w:type="pct"/>
                  <w:vMerge w:val="continue"/>
                  <w:tcBorders>
                    <w:tl2br w:val="nil"/>
                    <w:tr2bl w:val="nil"/>
                  </w:tcBorders>
                  <w:noWrap w:val="0"/>
                  <w:vAlign w:val="center"/>
                </w:tcPr>
                <w:p w14:paraId="578D3B9C">
                  <w:pPr>
                    <w:jc w:val="center"/>
                    <w:rPr>
                      <w:u w:val="none"/>
                    </w:rPr>
                  </w:pPr>
                </w:p>
              </w:tc>
              <w:tc>
                <w:tcPr>
                  <w:tcW w:w="243" w:type="pct"/>
                  <w:vMerge w:val="continue"/>
                  <w:tcBorders>
                    <w:tl2br w:val="nil"/>
                    <w:tr2bl w:val="nil"/>
                  </w:tcBorders>
                  <w:noWrap w:val="0"/>
                  <w:vAlign w:val="center"/>
                </w:tcPr>
                <w:p w14:paraId="7737A8A8">
                  <w:pPr>
                    <w:jc w:val="center"/>
                    <w:rPr>
                      <w:u w:val="none"/>
                    </w:rPr>
                  </w:pPr>
                </w:p>
              </w:tc>
              <w:tc>
                <w:tcPr>
                  <w:tcW w:w="153" w:type="pct"/>
                  <w:vMerge w:val="continue"/>
                  <w:tcBorders>
                    <w:tl2br w:val="nil"/>
                    <w:tr2bl w:val="nil"/>
                  </w:tcBorders>
                  <w:noWrap w:val="0"/>
                  <w:vAlign w:val="center"/>
                </w:tcPr>
                <w:p w14:paraId="32833732">
                  <w:pPr>
                    <w:jc w:val="center"/>
                    <w:rPr>
                      <w:u w:val="none"/>
                    </w:rPr>
                  </w:pPr>
                </w:p>
              </w:tc>
              <w:tc>
                <w:tcPr>
                  <w:tcW w:w="169" w:type="pct"/>
                  <w:tcBorders>
                    <w:tl2br w:val="nil"/>
                    <w:tr2bl w:val="nil"/>
                  </w:tcBorders>
                  <w:noWrap w:val="0"/>
                  <w:vAlign w:val="center"/>
                </w:tcPr>
                <w:p w14:paraId="2E97DB80">
                  <w:pPr>
                    <w:jc w:val="center"/>
                    <w:rPr>
                      <w:u w:val="none"/>
                    </w:rPr>
                  </w:pPr>
                  <w:r>
                    <w:rPr>
                      <w:u w:val="none"/>
                    </w:rPr>
                    <w:t>北</w:t>
                  </w:r>
                </w:p>
              </w:tc>
              <w:tc>
                <w:tcPr>
                  <w:tcW w:w="232" w:type="pct"/>
                  <w:tcBorders>
                    <w:tl2br w:val="nil"/>
                    <w:tr2bl w:val="nil"/>
                  </w:tcBorders>
                  <w:noWrap w:val="0"/>
                  <w:vAlign w:val="center"/>
                </w:tcPr>
                <w:p w14:paraId="4C9B4815">
                  <w:pPr>
                    <w:keepNext w:val="0"/>
                    <w:keepLines w:val="0"/>
                    <w:widowControl/>
                    <w:suppressLineNumbers w:val="0"/>
                    <w:jc w:val="center"/>
                    <w:textAlignment w:val="center"/>
                    <w:rPr>
                      <w:rFonts w:hint="default" w:eastAsia="宋体"/>
                      <w:u w:val="none"/>
                      <w:lang w:val="en-US" w:eastAsia="zh-CN"/>
                    </w:rPr>
                  </w:pPr>
                  <w:r>
                    <w:rPr>
                      <w:rFonts w:hint="eastAsia"/>
                      <w:u w:val="none"/>
                      <w:lang w:val="en-US" w:eastAsia="zh-CN"/>
                    </w:rPr>
                    <w:t>43</w:t>
                  </w:r>
                </w:p>
              </w:tc>
              <w:tc>
                <w:tcPr>
                  <w:tcW w:w="1003" w:type="dxa"/>
                  <w:tcBorders>
                    <w:tl2br w:val="nil"/>
                    <w:tr2bl w:val="nil"/>
                  </w:tcBorders>
                  <w:noWrap w:val="0"/>
                  <w:vAlign w:val="center"/>
                </w:tcPr>
                <w:p w14:paraId="4E3109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47.3 </w:t>
                  </w:r>
                </w:p>
              </w:tc>
              <w:tc>
                <w:tcPr>
                  <w:tcW w:w="367" w:type="pct"/>
                  <w:vMerge w:val="continue"/>
                  <w:tcBorders>
                    <w:tl2br w:val="nil"/>
                    <w:tr2bl w:val="nil"/>
                  </w:tcBorders>
                  <w:noWrap w:val="0"/>
                  <w:vAlign w:val="center"/>
                </w:tcPr>
                <w:p w14:paraId="41210503">
                  <w:pPr>
                    <w:jc w:val="center"/>
                    <w:rPr>
                      <w:u w:val="none"/>
                    </w:rPr>
                  </w:pPr>
                </w:p>
              </w:tc>
              <w:tc>
                <w:tcPr>
                  <w:tcW w:w="597" w:type="pct"/>
                  <w:tcBorders>
                    <w:tl2br w:val="nil"/>
                    <w:tr2bl w:val="nil"/>
                  </w:tcBorders>
                  <w:noWrap w:val="0"/>
                  <w:vAlign w:val="center"/>
                </w:tcPr>
                <w:p w14:paraId="677396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2F1D1F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32.3 </w:t>
                  </w:r>
                </w:p>
              </w:tc>
              <w:tc>
                <w:tcPr>
                  <w:tcW w:w="274" w:type="pct"/>
                  <w:tcBorders>
                    <w:tl2br w:val="nil"/>
                    <w:tr2bl w:val="nil"/>
                  </w:tcBorders>
                  <w:noWrap w:val="0"/>
                  <w:vAlign w:val="center"/>
                </w:tcPr>
                <w:p w14:paraId="32C18837">
                  <w:pPr>
                    <w:jc w:val="center"/>
                    <w:rPr>
                      <w:u w:val="none"/>
                    </w:rPr>
                  </w:pPr>
                  <w:r>
                    <w:rPr>
                      <w:u w:val="none"/>
                    </w:rPr>
                    <w:t>1m</w:t>
                  </w:r>
                </w:p>
              </w:tc>
            </w:tr>
            <w:tr w14:paraId="3CF23A9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tcBorders>
                    <w:tl2br w:val="nil"/>
                    <w:tr2bl w:val="nil"/>
                  </w:tcBorders>
                  <w:noWrap w:val="0"/>
                  <w:vAlign w:val="center"/>
                </w:tcPr>
                <w:p w14:paraId="47507E4D">
                  <w:pPr>
                    <w:jc w:val="center"/>
                    <w:rPr>
                      <w:rFonts w:hint="default"/>
                      <w:kern w:val="2"/>
                      <w:sz w:val="21"/>
                      <w:szCs w:val="24"/>
                      <w:u w:val="none"/>
                      <w:lang w:val="en-US" w:eastAsia="zh-CN" w:bidi="ar-SA"/>
                    </w:rPr>
                  </w:pPr>
                  <w:r>
                    <w:rPr>
                      <w:rFonts w:hint="eastAsia"/>
                      <w:kern w:val="2"/>
                      <w:sz w:val="21"/>
                      <w:szCs w:val="24"/>
                      <w:u w:val="none"/>
                      <w:lang w:val="en-US" w:eastAsia="zh-CN" w:bidi="ar-SA"/>
                    </w:rPr>
                    <w:t>8</w:t>
                  </w:r>
                </w:p>
                <w:p w14:paraId="0D7777FC">
                  <w:pPr>
                    <w:jc w:val="center"/>
                    <w:rPr>
                      <w:rFonts w:hint="default"/>
                      <w:kern w:val="2"/>
                      <w:sz w:val="21"/>
                      <w:szCs w:val="24"/>
                      <w:u w:val="none"/>
                      <w:lang w:val="en-US" w:eastAsia="zh-CN" w:bidi="ar-SA"/>
                    </w:rPr>
                  </w:pPr>
                </w:p>
                <w:p w14:paraId="6DAB255A">
                  <w:pPr>
                    <w:jc w:val="center"/>
                    <w:rPr>
                      <w:rFonts w:hint="eastAsia" w:eastAsia="宋体"/>
                      <w:u w:val="none"/>
                      <w:lang w:val="en-US" w:eastAsia="zh-CN"/>
                    </w:rPr>
                  </w:pPr>
                </w:p>
              </w:tc>
              <w:tc>
                <w:tcPr>
                  <w:tcW w:w="264" w:type="pct"/>
                  <w:vMerge w:val="continue"/>
                  <w:tcBorders>
                    <w:tl2br w:val="nil"/>
                    <w:tr2bl w:val="nil"/>
                  </w:tcBorders>
                  <w:noWrap w:val="0"/>
                  <w:vAlign w:val="center"/>
                </w:tcPr>
                <w:p w14:paraId="636B88DE">
                  <w:pPr>
                    <w:jc w:val="center"/>
                    <w:rPr>
                      <w:kern w:val="2"/>
                      <w:sz w:val="21"/>
                      <w:szCs w:val="24"/>
                      <w:u w:val="none"/>
                      <w:lang w:val="en-US" w:eastAsia="zh-CN" w:bidi="ar-SA"/>
                    </w:rPr>
                  </w:pPr>
                </w:p>
              </w:tc>
              <w:tc>
                <w:tcPr>
                  <w:tcW w:w="282" w:type="pct"/>
                  <w:vMerge w:val="restart"/>
                  <w:tcBorders>
                    <w:tl2br w:val="nil"/>
                    <w:tr2bl w:val="nil"/>
                  </w:tcBorders>
                  <w:noWrap w:val="0"/>
                  <w:vAlign w:val="center"/>
                </w:tcPr>
                <w:p w14:paraId="1B320ED6">
                  <w:pPr>
                    <w:jc w:val="center"/>
                    <w:rPr>
                      <w:rFonts w:hint="default"/>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制袋机</w:t>
                  </w:r>
                </w:p>
              </w:tc>
              <w:tc>
                <w:tcPr>
                  <w:tcW w:w="597" w:type="pct"/>
                  <w:vMerge w:val="restart"/>
                  <w:tcBorders>
                    <w:tl2br w:val="nil"/>
                    <w:tr2bl w:val="nil"/>
                  </w:tcBorders>
                  <w:noWrap w:val="0"/>
                  <w:vAlign w:val="center"/>
                </w:tcPr>
                <w:p w14:paraId="6ED6B271">
                  <w:pPr>
                    <w:jc w:val="center"/>
                    <w:rPr>
                      <w:kern w:val="2"/>
                      <w:sz w:val="21"/>
                      <w:szCs w:val="24"/>
                      <w:u w:val="none"/>
                      <w:lang w:val="en-US" w:eastAsia="zh-CN" w:bidi="ar-SA"/>
                    </w:rPr>
                  </w:pPr>
                  <w:r>
                    <w:rPr>
                      <w:rFonts w:hint="eastAsia"/>
                      <w:u w:val="none"/>
                      <w:lang w:val="en-US" w:eastAsia="zh-CN"/>
                    </w:rPr>
                    <w:t>95</w:t>
                  </w:r>
                  <w:r>
                    <w:rPr>
                      <w:u w:val="none"/>
                    </w:rPr>
                    <w:t>/1</w:t>
                  </w:r>
                </w:p>
              </w:tc>
              <w:tc>
                <w:tcPr>
                  <w:tcW w:w="265" w:type="pct"/>
                  <w:vMerge w:val="continue"/>
                  <w:tcBorders>
                    <w:tl2br w:val="nil"/>
                    <w:tr2bl w:val="nil"/>
                  </w:tcBorders>
                  <w:noWrap w:val="0"/>
                  <w:vAlign w:val="center"/>
                </w:tcPr>
                <w:p w14:paraId="33FD7B0A">
                  <w:pPr>
                    <w:jc w:val="center"/>
                    <w:rPr>
                      <w:u w:val="none"/>
                    </w:rPr>
                  </w:pPr>
                </w:p>
              </w:tc>
              <w:tc>
                <w:tcPr>
                  <w:tcW w:w="179" w:type="pct"/>
                  <w:vMerge w:val="restart"/>
                  <w:tcBorders>
                    <w:tl2br w:val="nil"/>
                    <w:tr2bl w:val="nil"/>
                  </w:tcBorders>
                  <w:noWrap w:val="0"/>
                  <w:vAlign w:val="center"/>
                </w:tcPr>
                <w:p w14:paraId="1A4E1FF0">
                  <w:pPr>
                    <w:jc w:val="center"/>
                    <w:rPr>
                      <w:rFonts w:hint="default" w:eastAsia="宋体"/>
                      <w:u w:val="none"/>
                      <w:lang w:val="en-US" w:eastAsia="zh-CN"/>
                    </w:rPr>
                  </w:pPr>
                  <w:r>
                    <w:rPr>
                      <w:rFonts w:hint="eastAsia"/>
                      <w:u w:val="none"/>
                      <w:lang w:val="en-US" w:eastAsia="zh-CN"/>
                    </w:rPr>
                    <w:t>-7</w:t>
                  </w:r>
                </w:p>
              </w:tc>
              <w:tc>
                <w:tcPr>
                  <w:tcW w:w="243" w:type="pct"/>
                  <w:vMerge w:val="restart"/>
                  <w:tcBorders>
                    <w:tl2br w:val="nil"/>
                    <w:tr2bl w:val="nil"/>
                  </w:tcBorders>
                  <w:noWrap w:val="0"/>
                  <w:vAlign w:val="center"/>
                </w:tcPr>
                <w:p w14:paraId="02EDA9F4">
                  <w:pPr>
                    <w:jc w:val="center"/>
                    <w:rPr>
                      <w:rFonts w:hint="default" w:eastAsia="宋体"/>
                      <w:u w:val="none"/>
                      <w:lang w:val="en-US" w:eastAsia="zh-CN"/>
                    </w:rPr>
                  </w:pPr>
                  <w:r>
                    <w:rPr>
                      <w:rFonts w:hint="eastAsia"/>
                      <w:u w:val="none"/>
                      <w:lang w:val="en-US" w:eastAsia="zh-CN"/>
                    </w:rPr>
                    <w:t>19</w:t>
                  </w:r>
                </w:p>
              </w:tc>
              <w:tc>
                <w:tcPr>
                  <w:tcW w:w="257" w:type="dxa"/>
                  <w:vMerge w:val="restart"/>
                  <w:tcBorders>
                    <w:tl2br w:val="nil"/>
                    <w:tr2bl w:val="nil"/>
                  </w:tcBorders>
                  <w:noWrap w:val="0"/>
                  <w:vAlign w:val="center"/>
                </w:tcPr>
                <w:p w14:paraId="274D62EF">
                  <w:pPr>
                    <w:jc w:val="center"/>
                    <w:rPr>
                      <w:rFonts w:hint="eastAsia" w:eastAsia="宋体"/>
                      <w:u w:val="none"/>
                      <w:lang w:val="en-US" w:eastAsia="zh-CN"/>
                    </w:rPr>
                  </w:pPr>
                  <w:r>
                    <w:rPr>
                      <w:rFonts w:hint="eastAsia"/>
                      <w:u w:val="none"/>
                      <w:lang w:val="en-US" w:eastAsia="zh-CN"/>
                    </w:rPr>
                    <w:t>1</w:t>
                  </w:r>
                </w:p>
              </w:tc>
              <w:tc>
                <w:tcPr>
                  <w:tcW w:w="169" w:type="pct"/>
                  <w:tcBorders>
                    <w:tl2br w:val="nil"/>
                    <w:tr2bl w:val="nil"/>
                  </w:tcBorders>
                  <w:noWrap w:val="0"/>
                  <w:vAlign w:val="center"/>
                </w:tcPr>
                <w:p w14:paraId="5926983A">
                  <w:pPr>
                    <w:jc w:val="center"/>
                    <w:rPr>
                      <w:u w:val="none"/>
                    </w:rPr>
                  </w:pPr>
                  <w:r>
                    <w:rPr>
                      <w:u w:val="none"/>
                    </w:rPr>
                    <w:t>东</w:t>
                  </w:r>
                </w:p>
              </w:tc>
              <w:tc>
                <w:tcPr>
                  <w:tcW w:w="232" w:type="pct"/>
                  <w:tcBorders>
                    <w:tl2br w:val="nil"/>
                    <w:tr2bl w:val="nil"/>
                  </w:tcBorders>
                  <w:noWrap w:val="0"/>
                  <w:vAlign w:val="center"/>
                </w:tcPr>
                <w:p w14:paraId="29DD4C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48</w:t>
                  </w:r>
                </w:p>
              </w:tc>
              <w:tc>
                <w:tcPr>
                  <w:tcW w:w="1003" w:type="dxa"/>
                  <w:tcBorders>
                    <w:tl2br w:val="nil"/>
                    <w:tr2bl w:val="nil"/>
                  </w:tcBorders>
                  <w:noWrap w:val="0"/>
                  <w:vAlign w:val="center"/>
                </w:tcPr>
                <w:p w14:paraId="1AD12B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61.4 </w:t>
                  </w:r>
                </w:p>
              </w:tc>
              <w:tc>
                <w:tcPr>
                  <w:tcW w:w="367" w:type="pct"/>
                  <w:vMerge w:val="continue"/>
                  <w:tcBorders>
                    <w:tl2br w:val="nil"/>
                    <w:tr2bl w:val="nil"/>
                  </w:tcBorders>
                  <w:noWrap w:val="0"/>
                  <w:vAlign w:val="center"/>
                </w:tcPr>
                <w:p w14:paraId="3D30E0A5">
                  <w:pPr>
                    <w:jc w:val="center"/>
                    <w:rPr>
                      <w:u w:val="none"/>
                    </w:rPr>
                  </w:pPr>
                </w:p>
              </w:tc>
              <w:tc>
                <w:tcPr>
                  <w:tcW w:w="597" w:type="pct"/>
                  <w:tcBorders>
                    <w:tl2br w:val="nil"/>
                    <w:tr2bl w:val="nil"/>
                  </w:tcBorders>
                  <w:noWrap w:val="0"/>
                  <w:vAlign w:val="center"/>
                </w:tcPr>
                <w:p w14:paraId="2E52CB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D84BF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46.4 </w:t>
                  </w:r>
                </w:p>
              </w:tc>
              <w:tc>
                <w:tcPr>
                  <w:tcW w:w="274" w:type="pct"/>
                  <w:tcBorders>
                    <w:tl2br w:val="nil"/>
                    <w:tr2bl w:val="nil"/>
                  </w:tcBorders>
                  <w:noWrap w:val="0"/>
                  <w:vAlign w:val="center"/>
                </w:tcPr>
                <w:p w14:paraId="5397EB80">
                  <w:pPr>
                    <w:jc w:val="center"/>
                    <w:rPr>
                      <w:u w:val="none"/>
                    </w:rPr>
                  </w:pPr>
                  <w:r>
                    <w:rPr>
                      <w:u w:val="none"/>
                    </w:rPr>
                    <w:t>1m</w:t>
                  </w:r>
                </w:p>
              </w:tc>
            </w:tr>
            <w:tr w14:paraId="138621A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Borders>
                    <w:tl2br w:val="nil"/>
                    <w:tr2bl w:val="nil"/>
                  </w:tcBorders>
                  <w:noWrap w:val="0"/>
                  <w:vAlign w:val="center"/>
                </w:tcPr>
                <w:p w14:paraId="28F8780D">
                  <w:pPr>
                    <w:jc w:val="center"/>
                    <w:rPr>
                      <w:u w:val="none"/>
                    </w:rPr>
                  </w:pPr>
                </w:p>
              </w:tc>
              <w:tc>
                <w:tcPr>
                  <w:tcW w:w="264" w:type="pct"/>
                  <w:vMerge w:val="continue"/>
                  <w:tcBorders>
                    <w:tl2br w:val="nil"/>
                    <w:tr2bl w:val="nil"/>
                  </w:tcBorders>
                  <w:noWrap w:val="0"/>
                  <w:vAlign w:val="center"/>
                </w:tcPr>
                <w:p w14:paraId="507EFBD0">
                  <w:pPr>
                    <w:jc w:val="center"/>
                    <w:rPr>
                      <w:u w:val="none"/>
                    </w:rPr>
                  </w:pPr>
                </w:p>
              </w:tc>
              <w:tc>
                <w:tcPr>
                  <w:tcW w:w="282" w:type="pct"/>
                  <w:vMerge w:val="continue"/>
                  <w:tcBorders>
                    <w:tl2br w:val="nil"/>
                    <w:tr2bl w:val="nil"/>
                  </w:tcBorders>
                  <w:noWrap w:val="0"/>
                  <w:vAlign w:val="center"/>
                </w:tcPr>
                <w:p w14:paraId="207DA646">
                  <w:pPr>
                    <w:jc w:val="center"/>
                    <w:rPr>
                      <w:u w:val="none"/>
                    </w:rPr>
                  </w:pPr>
                </w:p>
              </w:tc>
              <w:tc>
                <w:tcPr>
                  <w:tcW w:w="597" w:type="pct"/>
                  <w:vMerge w:val="continue"/>
                  <w:tcBorders>
                    <w:tl2br w:val="nil"/>
                    <w:tr2bl w:val="nil"/>
                  </w:tcBorders>
                  <w:noWrap w:val="0"/>
                  <w:vAlign w:val="center"/>
                </w:tcPr>
                <w:p w14:paraId="7EB63A20">
                  <w:pPr>
                    <w:jc w:val="center"/>
                    <w:rPr>
                      <w:u w:val="none"/>
                    </w:rPr>
                  </w:pPr>
                </w:p>
              </w:tc>
              <w:tc>
                <w:tcPr>
                  <w:tcW w:w="265" w:type="pct"/>
                  <w:vMerge w:val="continue"/>
                  <w:tcBorders>
                    <w:tl2br w:val="nil"/>
                    <w:tr2bl w:val="nil"/>
                  </w:tcBorders>
                  <w:noWrap w:val="0"/>
                  <w:vAlign w:val="center"/>
                </w:tcPr>
                <w:p w14:paraId="4739A3D8">
                  <w:pPr>
                    <w:jc w:val="center"/>
                    <w:rPr>
                      <w:u w:val="none"/>
                    </w:rPr>
                  </w:pPr>
                </w:p>
              </w:tc>
              <w:tc>
                <w:tcPr>
                  <w:tcW w:w="179" w:type="pct"/>
                  <w:vMerge w:val="continue"/>
                  <w:tcBorders>
                    <w:tl2br w:val="nil"/>
                    <w:tr2bl w:val="nil"/>
                  </w:tcBorders>
                  <w:noWrap w:val="0"/>
                  <w:vAlign w:val="center"/>
                </w:tcPr>
                <w:p w14:paraId="074CE404">
                  <w:pPr>
                    <w:jc w:val="center"/>
                    <w:rPr>
                      <w:u w:val="none"/>
                    </w:rPr>
                  </w:pPr>
                </w:p>
              </w:tc>
              <w:tc>
                <w:tcPr>
                  <w:tcW w:w="243" w:type="pct"/>
                  <w:vMerge w:val="continue"/>
                  <w:tcBorders>
                    <w:tl2br w:val="nil"/>
                    <w:tr2bl w:val="nil"/>
                  </w:tcBorders>
                  <w:noWrap w:val="0"/>
                  <w:vAlign w:val="center"/>
                </w:tcPr>
                <w:p w14:paraId="55E8B2F7">
                  <w:pPr>
                    <w:jc w:val="center"/>
                    <w:rPr>
                      <w:u w:val="none"/>
                    </w:rPr>
                  </w:pPr>
                </w:p>
              </w:tc>
              <w:tc>
                <w:tcPr>
                  <w:tcW w:w="153" w:type="pct"/>
                  <w:vMerge w:val="continue"/>
                  <w:tcBorders>
                    <w:tl2br w:val="nil"/>
                    <w:tr2bl w:val="nil"/>
                  </w:tcBorders>
                  <w:noWrap w:val="0"/>
                  <w:vAlign w:val="center"/>
                </w:tcPr>
                <w:p w14:paraId="3C659876">
                  <w:pPr>
                    <w:jc w:val="center"/>
                    <w:rPr>
                      <w:u w:val="none"/>
                    </w:rPr>
                  </w:pPr>
                </w:p>
              </w:tc>
              <w:tc>
                <w:tcPr>
                  <w:tcW w:w="169" w:type="pct"/>
                  <w:tcBorders>
                    <w:tl2br w:val="nil"/>
                    <w:tr2bl w:val="nil"/>
                  </w:tcBorders>
                  <w:noWrap w:val="0"/>
                  <w:vAlign w:val="center"/>
                </w:tcPr>
                <w:p w14:paraId="25BBF512">
                  <w:pPr>
                    <w:jc w:val="center"/>
                    <w:rPr>
                      <w:u w:val="none"/>
                    </w:rPr>
                  </w:pPr>
                  <w:r>
                    <w:rPr>
                      <w:u w:val="none"/>
                    </w:rPr>
                    <w:t>南</w:t>
                  </w:r>
                </w:p>
              </w:tc>
              <w:tc>
                <w:tcPr>
                  <w:tcW w:w="232" w:type="pct"/>
                  <w:tcBorders>
                    <w:tl2br w:val="nil"/>
                    <w:tr2bl w:val="nil"/>
                  </w:tcBorders>
                  <w:noWrap w:val="0"/>
                  <w:vAlign w:val="center"/>
                </w:tcPr>
                <w:p w14:paraId="3B15F7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58</w:t>
                  </w:r>
                </w:p>
              </w:tc>
              <w:tc>
                <w:tcPr>
                  <w:tcW w:w="1003" w:type="dxa"/>
                  <w:tcBorders>
                    <w:tl2br w:val="nil"/>
                    <w:tr2bl w:val="nil"/>
                  </w:tcBorders>
                  <w:noWrap w:val="0"/>
                  <w:vAlign w:val="center"/>
                </w:tcPr>
                <w:p w14:paraId="01A425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59.7 </w:t>
                  </w:r>
                </w:p>
              </w:tc>
              <w:tc>
                <w:tcPr>
                  <w:tcW w:w="367" w:type="pct"/>
                  <w:vMerge w:val="continue"/>
                  <w:tcBorders>
                    <w:tl2br w:val="nil"/>
                    <w:tr2bl w:val="nil"/>
                  </w:tcBorders>
                  <w:noWrap w:val="0"/>
                  <w:vAlign w:val="center"/>
                </w:tcPr>
                <w:p w14:paraId="2ACEA8B7">
                  <w:pPr>
                    <w:jc w:val="center"/>
                    <w:rPr>
                      <w:u w:val="none"/>
                    </w:rPr>
                  </w:pPr>
                </w:p>
              </w:tc>
              <w:tc>
                <w:tcPr>
                  <w:tcW w:w="597" w:type="pct"/>
                  <w:tcBorders>
                    <w:tl2br w:val="nil"/>
                    <w:tr2bl w:val="nil"/>
                  </w:tcBorders>
                  <w:noWrap w:val="0"/>
                  <w:vAlign w:val="center"/>
                </w:tcPr>
                <w:p w14:paraId="063AA2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5CB921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44.7 </w:t>
                  </w:r>
                </w:p>
              </w:tc>
              <w:tc>
                <w:tcPr>
                  <w:tcW w:w="274" w:type="pct"/>
                  <w:tcBorders>
                    <w:tl2br w:val="nil"/>
                    <w:tr2bl w:val="nil"/>
                  </w:tcBorders>
                  <w:noWrap w:val="0"/>
                  <w:vAlign w:val="center"/>
                </w:tcPr>
                <w:p w14:paraId="6D0EB115">
                  <w:pPr>
                    <w:jc w:val="center"/>
                    <w:rPr>
                      <w:u w:val="none"/>
                    </w:rPr>
                  </w:pPr>
                  <w:r>
                    <w:rPr>
                      <w:u w:val="none"/>
                    </w:rPr>
                    <w:t>1m</w:t>
                  </w:r>
                </w:p>
              </w:tc>
            </w:tr>
            <w:tr w14:paraId="17D99EF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Borders>
                    <w:tl2br w:val="nil"/>
                    <w:tr2bl w:val="nil"/>
                  </w:tcBorders>
                  <w:noWrap w:val="0"/>
                  <w:vAlign w:val="center"/>
                </w:tcPr>
                <w:p w14:paraId="7372D7DE">
                  <w:pPr>
                    <w:jc w:val="center"/>
                    <w:rPr>
                      <w:u w:val="none"/>
                    </w:rPr>
                  </w:pPr>
                </w:p>
              </w:tc>
              <w:tc>
                <w:tcPr>
                  <w:tcW w:w="264" w:type="pct"/>
                  <w:vMerge w:val="continue"/>
                  <w:tcBorders>
                    <w:tl2br w:val="nil"/>
                    <w:tr2bl w:val="nil"/>
                  </w:tcBorders>
                  <w:noWrap w:val="0"/>
                  <w:vAlign w:val="center"/>
                </w:tcPr>
                <w:p w14:paraId="08DF99A2">
                  <w:pPr>
                    <w:jc w:val="center"/>
                    <w:rPr>
                      <w:u w:val="none"/>
                    </w:rPr>
                  </w:pPr>
                </w:p>
              </w:tc>
              <w:tc>
                <w:tcPr>
                  <w:tcW w:w="282" w:type="pct"/>
                  <w:vMerge w:val="continue"/>
                  <w:tcBorders>
                    <w:tl2br w:val="nil"/>
                    <w:tr2bl w:val="nil"/>
                  </w:tcBorders>
                  <w:noWrap w:val="0"/>
                  <w:vAlign w:val="center"/>
                </w:tcPr>
                <w:p w14:paraId="02D356FD">
                  <w:pPr>
                    <w:jc w:val="center"/>
                    <w:rPr>
                      <w:u w:val="none"/>
                    </w:rPr>
                  </w:pPr>
                </w:p>
              </w:tc>
              <w:tc>
                <w:tcPr>
                  <w:tcW w:w="597" w:type="pct"/>
                  <w:vMerge w:val="continue"/>
                  <w:tcBorders>
                    <w:tl2br w:val="nil"/>
                    <w:tr2bl w:val="nil"/>
                  </w:tcBorders>
                  <w:noWrap w:val="0"/>
                  <w:vAlign w:val="center"/>
                </w:tcPr>
                <w:p w14:paraId="339CB65C">
                  <w:pPr>
                    <w:jc w:val="center"/>
                    <w:rPr>
                      <w:u w:val="none"/>
                    </w:rPr>
                  </w:pPr>
                </w:p>
              </w:tc>
              <w:tc>
                <w:tcPr>
                  <w:tcW w:w="265" w:type="pct"/>
                  <w:vMerge w:val="continue"/>
                  <w:tcBorders>
                    <w:tl2br w:val="nil"/>
                    <w:tr2bl w:val="nil"/>
                  </w:tcBorders>
                  <w:noWrap w:val="0"/>
                  <w:vAlign w:val="center"/>
                </w:tcPr>
                <w:p w14:paraId="50B80B3F">
                  <w:pPr>
                    <w:jc w:val="center"/>
                    <w:rPr>
                      <w:u w:val="none"/>
                    </w:rPr>
                  </w:pPr>
                </w:p>
              </w:tc>
              <w:tc>
                <w:tcPr>
                  <w:tcW w:w="179" w:type="pct"/>
                  <w:vMerge w:val="continue"/>
                  <w:tcBorders>
                    <w:tl2br w:val="nil"/>
                    <w:tr2bl w:val="nil"/>
                  </w:tcBorders>
                  <w:noWrap w:val="0"/>
                  <w:vAlign w:val="center"/>
                </w:tcPr>
                <w:p w14:paraId="0A14C152">
                  <w:pPr>
                    <w:jc w:val="center"/>
                    <w:rPr>
                      <w:u w:val="none"/>
                    </w:rPr>
                  </w:pPr>
                </w:p>
              </w:tc>
              <w:tc>
                <w:tcPr>
                  <w:tcW w:w="243" w:type="pct"/>
                  <w:vMerge w:val="continue"/>
                  <w:tcBorders>
                    <w:tl2br w:val="nil"/>
                    <w:tr2bl w:val="nil"/>
                  </w:tcBorders>
                  <w:noWrap w:val="0"/>
                  <w:vAlign w:val="center"/>
                </w:tcPr>
                <w:p w14:paraId="0750B966">
                  <w:pPr>
                    <w:jc w:val="center"/>
                    <w:rPr>
                      <w:u w:val="none"/>
                    </w:rPr>
                  </w:pPr>
                </w:p>
              </w:tc>
              <w:tc>
                <w:tcPr>
                  <w:tcW w:w="153" w:type="pct"/>
                  <w:vMerge w:val="continue"/>
                  <w:tcBorders>
                    <w:tl2br w:val="nil"/>
                    <w:tr2bl w:val="nil"/>
                  </w:tcBorders>
                  <w:noWrap w:val="0"/>
                  <w:vAlign w:val="center"/>
                </w:tcPr>
                <w:p w14:paraId="1A92027D">
                  <w:pPr>
                    <w:jc w:val="center"/>
                    <w:rPr>
                      <w:u w:val="none"/>
                    </w:rPr>
                  </w:pPr>
                </w:p>
              </w:tc>
              <w:tc>
                <w:tcPr>
                  <w:tcW w:w="169" w:type="pct"/>
                  <w:tcBorders>
                    <w:tl2br w:val="nil"/>
                    <w:tr2bl w:val="nil"/>
                  </w:tcBorders>
                  <w:noWrap w:val="0"/>
                  <w:vAlign w:val="center"/>
                </w:tcPr>
                <w:p w14:paraId="4B441881">
                  <w:pPr>
                    <w:jc w:val="center"/>
                    <w:rPr>
                      <w:u w:val="none"/>
                    </w:rPr>
                  </w:pPr>
                  <w:r>
                    <w:rPr>
                      <w:u w:val="none"/>
                    </w:rPr>
                    <w:t>西</w:t>
                  </w:r>
                </w:p>
              </w:tc>
              <w:tc>
                <w:tcPr>
                  <w:tcW w:w="232" w:type="pct"/>
                  <w:tcBorders>
                    <w:tl2br w:val="nil"/>
                    <w:tr2bl w:val="nil"/>
                  </w:tcBorders>
                  <w:noWrap w:val="0"/>
                  <w:vAlign w:val="center"/>
                </w:tcPr>
                <w:p w14:paraId="483EBD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34</w:t>
                  </w:r>
                </w:p>
              </w:tc>
              <w:tc>
                <w:tcPr>
                  <w:tcW w:w="1003" w:type="dxa"/>
                  <w:tcBorders>
                    <w:tl2br w:val="nil"/>
                    <w:tr2bl w:val="nil"/>
                  </w:tcBorders>
                  <w:noWrap w:val="0"/>
                  <w:vAlign w:val="center"/>
                </w:tcPr>
                <w:p w14:paraId="52961D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64.4 </w:t>
                  </w:r>
                </w:p>
              </w:tc>
              <w:tc>
                <w:tcPr>
                  <w:tcW w:w="367" w:type="pct"/>
                  <w:vMerge w:val="continue"/>
                  <w:tcBorders>
                    <w:tl2br w:val="nil"/>
                    <w:tr2bl w:val="nil"/>
                  </w:tcBorders>
                  <w:noWrap w:val="0"/>
                  <w:vAlign w:val="center"/>
                </w:tcPr>
                <w:p w14:paraId="414AA313">
                  <w:pPr>
                    <w:jc w:val="center"/>
                    <w:rPr>
                      <w:u w:val="none"/>
                    </w:rPr>
                  </w:pPr>
                </w:p>
              </w:tc>
              <w:tc>
                <w:tcPr>
                  <w:tcW w:w="597" w:type="pct"/>
                  <w:tcBorders>
                    <w:tl2br w:val="nil"/>
                    <w:tr2bl w:val="nil"/>
                  </w:tcBorders>
                  <w:noWrap w:val="0"/>
                  <w:vAlign w:val="center"/>
                </w:tcPr>
                <w:p w14:paraId="0B96FE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3E906E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49.4 </w:t>
                  </w:r>
                </w:p>
              </w:tc>
              <w:tc>
                <w:tcPr>
                  <w:tcW w:w="274" w:type="pct"/>
                  <w:tcBorders>
                    <w:tl2br w:val="nil"/>
                    <w:tr2bl w:val="nil"/>
                  </w:tcBorders>
                  <w:noWrap w:val="0"/>
                  <w:vAlign w:val="center"/>
                </w:tcPr>
                <w:p w14:paraId="4E4CFA83">
                  <w:pPr>
                    <w:jc w:val="center"/>
                    <w:rPr>
                      <w:u w:val="none"/>
                    </w:rPr>
                  </w:pPr>
                  <w:r>
                    <w:rPr>
                      <w:u w:val="none"/>
                    </w:rPr>
                    <w:t>1m</w:t>
                  </w:r>
                </w:p>
              </w:tc>
            </w:tr>
            <w:tr w14:paraId="327DED2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Borders>
                    <w:tl2br w:val="nil"/>
                    <w:tr2bl w:val="nil"/>
                  </w:tcBorders>
                  <w:noWrap w:val="0"/>
                  <w:vAlign w:val="center"/>
                </w:tcPr>
                <w:p w14:paraId="662567B2">
                  <w:pPr>
                    <w:jc w:val="center"/>
                    <w:rPr>
                      <w:u w:val="none"/>
                    </w:rPr>
                  </w:pPr>
                </w:p>
              </w:tc>
              <w:tc>
                <w:tcPr>
                  <w:tcW w:w="264" w:type="pct"/>
                  <w:vMerge w:val="continue"/>
                  <w:tcBorders>
                    <w:tl2br w:val="nil"/>
                    <w:tr2bl w:val="nil"/>
                  </w:tcBorders>
                  <w:noWrap w:val="0"/>
                  <w:vAlign w:val="center"/>
                </w:tcPr>
                <w:p w14:paraId="44BE6425">
                  <w:pPr>
                    <w:jc w:val="center"/>
                    <w:rPr>
                      <w:u w:val="none"/>
                    </w:rPr>
                  </w:pPr>
                </w:p>
              </w:tc>
              <w:tc>
                <w:tcPr>
                  <w:tcW w:w="282" w:type="pct"/>
                  <w:vMerge w:val="continue"/>
                  <w:tcBorders>
                    <w:tl2br w:val="nil"/>
                    <w:tr2bl w:val="nil"/>
                  </w:tcBorders>
                  <w:noWrap w:val="0"/>
                  <w:vAlign w:val="center"/>
                </w:tcPr>
                <w:p w14:paraId="6AA1910B">
                  <w:pPr>
                    <w:jc w:val="center"/>
                    <w:rPr>
                      <w:u w:val="none"/>
                    </w:rPr>
                  </w:pPr>
                </w:p>
              </w:tc>
              <w:tc>
                <w:tcPr>
                  <w:tcW w:w="597" w:type="pct"/>
                  <w:vMerge w:val="continue"/>
                  <w:tcBorders>
                    <w:tl2br w:val="nil"/>
                    <w:tr2bl w:val="nil"/>
                  </w:tcBorders>
                  <w:noWrap w:val="0"/>
                  <w:vAlign w:val="center"/>
                </w:tcPr>
                <w:p w14:paraId="79241F77">
                  <w:pPr>
                    <w:jc w:val="center"/>
                    <w:rPr>
                      <w:u w:val="none"/>
                    </w:rPr>
                  </w:pPr>
                </w:p>
              </w:tc>
              <w:tc>
                <w:tcPr>
                  <w:tcW w:w="265" w:type="pct"/>
                  <w:vMerge w:val="continue"/>
                  <w:tcBorders>
                    <w:tl2br w:val="nil"/>
                    <w:tr2bl w:val="nil"/>
                  </w:tcBorders>
                  <w:noWrap w:val="0"/>
                  <w:vAlign w:val="center"/>
                </w:tcPr>
                <w:p w14:paraId="5037A284">
                  <w:pPr>
                    <w:jc w:val="center"/>
                    <w:rPr>
                      <w:u w:val="none"/>
                    </w:rPr>
                  </w:pPr>
                </w:p>
              </w:tc>
              <w:tc>
                <w:tcPr>
                  <w:tcW w:w="179" w:type="pct"/>
                  <w:vMerge w:val="continue"/>
                  <w:tcBorders>
                    <w:tl2br w:val="nil"/>
                    <w:tr2bl w:val="nil"/>
                  </w:tcBorders>
                  <w:noWrap w:val="0"/>
                  <w:vAlign w:val="center"/>
                </w:tcPr>
                <w:p w14:paraId="468880B7">
                  <w:pPr>
                    <w:jc w:val="center"/>
                    <w:rPr>
                      <w:u w:val="none"/>
                    </w:rPr>
                  </w:pPr>
                </w:p>
              </w:tc>
              <w:tc>
                <w:tcPr>
                  <w:tcW w:w="243" w:type="pct"/>
                  <w:vMerge w:val="continue"/>
                  <w:tcBorders>
                    <w:tl2br w:val="nil"/>
                    <w:tr2bl w:val="nil"/>
                  </w:tcBorders>
                  <w:noWrap w:val="0"/>
                  <w:vAlign w:val="center"/>
                </w:tcPr>
                <w:p w14:paraId="1E6E4201">
                  <w:pPr>
                    <w:jc w:val="center"/>
                    <w:rPr>
                      <w:u w:val="none"/>
                    </w:rPr>
                  </w:pPr>
                </w:p>
              </w:tc>
              <w:tc>
                <w:tcPr>
                  <w:tcW w:w="153" w:type="pct"/>
                  <w:vMerge w:val="continue"/>
                  <w:tcBorders>
                    <w:tl2br w:val="nil"/>
                    <w:tr2bl w:val="nil"/>
                  </w:tcBorders>
                  <w:noWrap w:val="0"/>
                  <w:vAlign w:val="center"/>
                </w:tcPr>
                <w:p w14:paraId="1C9AC173">
                  <w:pPr>
                    <w:jc w:val="center"/>
                    <w:rPr>
                      <w:u w:val="none"/>
                    </w:rPr>
                  </w:pPr>
                </w:p>
              </w:tc>
              <w:tc>
                <w:tcPr>
                  <w:tcW w:w="169" w:type="pct"/>
                  <w:tcBorders>
                    <w:tl2br w:val="nil"/>
                    <w:tr2bl w:val="nil"/>
                  </w:tcBorders>
                  <w:noWrap w:val="0"/>
                  <w:vAlign w:val="center"/>
                </w:tcPr>
                <w:p w14:paraId="125DCE2D">
                  <w:pPr>
                    <w:jc w:val="center"/>
                    <w:rPr>
                      <w:u w:val="none"/>
                    </w:rPr>
                  </w:pPr>
                  <w:r>
                    <w:rPr>
                      <w:u w:val="none"/>
                    </w:rPr>
                    <w:t>北</w:t>
                  </w:r>
                </w:p>
              </w:tc>
              <w:tc>
                <w:tcPr>
                  <w:tcW w:w="232" w:type="pct"/>
                  <w:tcBorders>
                    <w:tl2br w:val="nil"/>
                    <w:tr2bl w:val="nil"/>
                  </w:tcBorders>
                  <w:noWrap w:val="0"/>
                  <w:vAlign w:val="center"/>
                </w:tcPr>
                <w:p w14:paraId="4CF23E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20</w:t>
                  </w:r>
                </w:p>
              </w:tc>
              <w:tc>
                <w:tcPr>
                  <w:tcW w:w="1003" w:type="dxa"/>
                  <w:tcBorders>
                    <w:tl2br w:val="nil"/>
                    <w:tr2bl w:val="nil"/>
                  </w:tcBorders>
                  <w:noWrap w:val="0"/>
                  <w:vAlign w:val="center"/>
                </w:tcPr>
                <w:p w14:paraId="2CDFD9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69.0 </w:t>
                  </w:r>
                </w:p>
              </w:tc>
              <w:tc>
                <w:tcPr>
                  <w:tcW w:w="367" w:type="pct"/>
                  <w:vMerge w:val="continue"/>
                  <w:tcBorders>
                    <w:tl2br w:val="nil"/>
                    <w:tr2bl w:val="nil"/>
                  </w:tcBorders>
                  <w:noWrap w:val="0"/>
                  <w:vAlign w:val="center"/>
                </w:tcPr>
                <w:p w14:paraId="7614B6D7">
                  <w:pPr>
                    <w:jc w:val="center"/>
                    <w:rPr>
                      <w:u w:val="none"/>
                    </w:rPr>
                  </w:pPr>
                </w:p>
              </w:tc>
              <w:tc>
                <w:tcPr>
                  <w:tcW w:w="597" w:type="pct"/>
                  <w:tcBorders>
                    <w:tl2br w:val="nil"/>
                    <w:tr2bl w:val="nil"/>
                  </w:tcBorders>
                  <w:noWrap w:val="0"/>
                  <w:vAlign w:val="center"/>
                </w:tcPr>
                <w:p w14:paraId="4A4C7A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63DDF8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54.0 </w:t>
                  </w:r>
                </w:p>
              </w:tc>
              <w:tc>
                <w:tcPr>
                  <w:tcW w:w="274" w:type="pct"/>
                  <w:tcBorders>
                    <w:tl2br w:val="nil"/>
                    <w:tr2bl w:val="nil"/>
                  </w:tcBorders>
                  <w:noWrap w:val="0"/>
                  <w:vAlign w:val="center"/>
                </w:tcPr>
                <w:p w14:paraId="0008013B">
                  <w:pPr>
                    <w:jc w:val="center"/>
                    <w:rPr>
                      <w:u w:val="none"/>
                    </w:rPr>
                  </w:pPr>
                  <w:r>
                    <w:rPr>
                      <w:u w:val="none"/>
                    </w:rPr>
                    <w:t>1m</w:t>
                  </w:r>
                </w:p>
              </w:tc>
            </w:tr>
            <w:tr w14:paraId="21A33D8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tcBorders>
                    <w:tl2br w:val="nil"/>
                    <w:tr2bl w:val="nil"/>
                  </w:tcBorders>
                  <w:noWrap w:val="0"/>
                  <w:vAlign w:val="center"/>
                </w:tcPr>
                <w:p w14:paraId="38DCFB89">
                  <w:pPr>
                    <w:jc w:val="center"/>
                    <w:rPr>
                      <w:rFonts w:hint="default" w:eastAsia="宋体"/>
                      <w:kern w:val="2"/>
                      <w:sz w:val="21"/>
                      <w:szCs w:val="24"/>
                      <w:u w:val="none"/>
                      <w:lang w:val="en-US" w:eastAsia="zh-CN" w:bidi="ar-SA"/>
                    </w:rPr>
                  </w:pPr>
                  <w:r>
                    <w:rPr>
                      <w:rFonts w:hint="eastAsia" w:eastAsia="宋体"/>
                      <w:kern w:val="2"/>
                      <w:sz w:val="21"/>
                      <w:szCs w:val="24"/>
                      <w:u w:val="none"/>
                      <w:lang w:val="en-US" w:eastAsia="zh-CN" w:bidi="ar-SA"/>
                    </w:rPr>
                    <w:t>9</w:t>
                  </w:r>
                </w:p>
              </w:tc>
              <w:tc>
                <w:tcPr>
                  <w:tcW w:w="264" w:type="pct"/>
                  <w:vMerge w:val="continue"/>
                  <w:tcBorders>
                    <w:tl2br w:val="nil"/>
                    <w:tr2bl w:val="nil"/>
                  </w:tcBorders>
                  <w:noWrap w:val="0"/>
                  <w:vAlign w:val="center"/>
                </w:tcPr>
                <w:p w14:paraId="5C44E484">
                  <w:pPr>
                    <w:jc w:val="center"/>
                    <w:rPr>
                      <w:kern w:val="2"/>
                      <w:sz w:val="21"/>
                      <w:szCs w:val="24"/>
                      <w:u w:val="none"/>
                      <w:lang w:val="en-US" w:eastAsia="zh-CN" w:bidi="ar-SA"/>
                    </w:rPr>
                  </w:pPr>
                </w:p>
              </w:tc>
              <w:tc>
                <w:tcPr>
                  <w:tcW w:w="282" w:type="pct"/>
                  <w:vMerge w:val="restart"/>
                  <w:tcBorders>
                    <w:tl2br w:val="nil"/>
                    <w:tr2bl w:val="nil"/>
                  </w:tcBorders>
                  <w:noWrap w:val="0"/>
                  <w:vAlign w:val="center"/>
                </w:tcPr>
                <w:p w14:paraId="30985037">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包装机</w:t>
                  </w:r>
                </w:p>
              </w:tc>
              <w:tc>
                <w:tcPr>
                  <w:tcW w:w="597" w:type="pct"/>
                  <w:vMerge w:val="restart"/>
                  <w:tcBorders>
                    <w:tl2br w:val="nil"/>
                    <w:tr2bl w:val="nil"/>
                  </w:tcBorders>
                  <w:noWrap w:val="0"/>
                  <w:vAlign w:val="center"/>
                </w:tcPr>
                <w:p w14:paraId="6ADB1301">
                  <w:pPr>
                    <w:jc w:val="center"/>
                    <w:rPr>
                      <w:kern w:val="2"/>
                      <w:sz w:val="21"/>
                      <w:szCs w:val="24"/>
                      <w:u w:val="none"/>
                      <w:lang w:val="en-US" w:eastAsia="zh-CN" w:bidi="ar-SA"/>
                    </w:rPr>
                  </w:pPr>
                  <w:r>
                    <w:rPr>
                      <w:rFonts w:hint="eastAsia"/>
                      <w:u w:val="none"/>
                      <w:lang w:val="en-US" w:eastAsia="zh-CN"/>
                    </w:rPr>
                    <w:t>75</w:t>
                  </w:r>
                  <w:r>
                    <w:rPr>
                      <w:u w:val="none"/>
                    </w:rPr>
                    <w:t>/1</w:t>
                  </w:r>
                </w:p>
              </w:tc>
              <w:tc>
                <w:tcPr>
                  <w:tcW w:w="265" w:type="pct"/>
                  <w:vMerge w:val="continue"/>
                  <w:tcBorders>
                    <w:tl2br w:val="nil"/>
                    <w:tr2bl w:val="nil"/>
                  </w:tcBorders>
                  <w:noWrap w:val="0"/>
                  <w:vAlign w:val="center"/>
                </w:tcPr>
                <w:p w14:paraId="7C082F5E">
                  <w:pPr>
                    <w:jc w:val="center"/>
                    <w:rPr>
                      <w:kern w:val="2"/>
                      <w:sz w:val="21"/>
                      <w:szCs w:val="24"/>
                      <w:u w:val="none"/>
                      <w:lang w:val="en-US" w:eastAsia="zh-CN" w:bidi="ar-SA"/>
                    </w:rPr>
                  </w:pPr>
                </w:p>
              </w:tc>
              <w:tc>
                <w:tcPr>
                  <w:tcW w:w="179" w:type="pct"/>
                  <w:vMerge w:val="restart"/>
                  <w:tcBorders>
                    <w:tl2br w:val="nil"/>
                    <w:tr2bl w:val="nil"/>
                  </w:tcBorders>
                  <w:noWrap w:val="0"/>
                  <w:vAlign w:val="center"/>
                </w:tcPr>
                <w:p w14:paraId="79D78725">
                  <w:pPr>
                    <w:jc w:val="center"/>
                    <w:rPr>
                      <w:rFonts w:hint="default"/>
                      <w:kern w:val="2"/>
                      <w:sz w:val="21"/>
                      <w:szCs w:val="24"/>
                      <w:u w:val="none"/>
                      <w:lang w:val="en-US" w:eastAsia="zh-CN" w:bidi="ar-SA"/>
                    </w:rPr>
                  </w:pPr>
                  <w:r>
                    <w:rPr>
                      <w:rFonts w:hint="eastAsia"/>
                      <w:kern w:val="2"/>
                      <w:sz w:val="21"/>
                      <w:szCs w:val="24"/>
                      <w:u w:val="none"/>
                      <w:lang w:val="en-US" w:eastAsia="zh-CN" w:bidi="ar-SA"/>
                    </w:rPr>
                    <w:t>-21</w:t>
                  </w:r>
                </w:p>
              </w:tc>
              <w:tc>
                <w:tcPr>
                  <w:tcW w:w="243" w:type="pct"/>
                  <w:vMerge w:val="restart"/>
                  <w:tcBorders>
                    <w:tl2br w:val="nil"/>
                    <w:tr2bl w:val="nil"/>
                  </w:tcBorders>
                  <w:noWrap w:val="0"/>
                  <w:vAlign w:val="center"/>
                </w:tcPr>
                <w:p w14:paraId="5011EFA6">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-19</w:t>
                  </w:r>
                </w:p>
              </w:tc>
              <w:tc>
                <w:tcPr>
                  <w:tcW w:w="257" w:type="dxa"/>
                  <w:vMerge w:val="restart"/>
                  <w:tcBorders>
                    <w:tl2br w:val="nil"/>
                    <w:tr2bl w:val="nil"/>
                  </w:tcBorders>
                  <w:noWrap w:val="0"/>
                  <w:vAlign w:val="center"/>
                </w:tcPr>
                <w:p w14:paraId="36318DF6">
                  <w:pPr>
                    <w:jc w:val="center"/>
                    <w:rPr>
                      <w:rFonts w:hint="eastAsia" w:eastAsia="宋体"/>
                      <w:kern w:val="2"/>
                      <w:sz w:val="21"/>
                      <w:szCs w:val="24"/>
                      <w:u w:val="none"/>
                      <w:lang w:val="en-US" w:eastAsia="zh-CN" w:bidi="ar-SA"/>
                    </w:rPr>
                  </w:pPr>
                  <w:r>
                    <w:rPr>
                      <w:rFonts w:hint="eastAsia"/>
                      <w:u w:val="none"/>
                      <w:lang w:val="en-US" w:eastAsia="zh-CN"/>
                    </w:rPr>
                    <w:t>1</w:t>
                  </w:r>
                </w:p>
              </w:tc>
              <w:tc>
                <w:tcPr>
                  <w:tcW w:w="169" w:type="pct"/>
                  <w:tcBorders>
                    <w:tl2br w:val="nil"/>
                    <w:tr2bl w:val="nil"/>
                  </w:tcBorders>
                  <w:noWrap w:val="0"/>
                  <w:vAlign w:val="center"/>
                </w:tcPr>
                <w:p w14:paraId="2606C960">
                  <w:pPr>
                    <w:jc w:val="center"/>
                    <w:rPr>
                      <w:kern w:val="2"/>
                      <w:sz w:val="21"/>
                      <w:szCs w:val="24"/>
                      <w:u w:val="none"/>
                      <w:lang w:val="en-US" w:eastAsia="zh-CN" w:bidi="ar-SA"/>
                    </w:rPr>
                  </w:pPr>
                  <w:r>
                    <w:rPr>
                      <w:u w:val="none"/>
                    </w:rPr>
                    <w:t>东</w:t>
                  </w:r>
                </w:p>
              </w:tc>
              <w:tc>
                <w:tcPr>
                  <w:tcW w:w="232" w:type="pct"/>
                  <w:tcBorders>
                    <w:tl2br w:val="nil"/>
                    <w:tr2bl w:val="nil"/>
                  </w:tcBorders>
                  <w:noWrap w:val="0"/>
                  <w:vAlign w:val="center"/>
                </w:tcPr>
                <w:p w14:paraId="27B0D578">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62</w:t>
                  </w:r>
                </w:p>
              </w:tc>
              <w:tc>
                <w:tcPr>
                  <w:tcW w:w="1003" w:type="dxa"/>
                  <w:tcBorders>
                    <w:tl2br w:val="nil"/>
                    <w:tr2bl w:val="nil"/>
                  </w:tcBorders>
                  <w:noWrap w:val="0"/>
                  <w:vAlign w:val="center"/>
                </w:tcPr>
                <w:p w14:paraId="21A44E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39.2 </w:t>
                  </w:r>
                </w:p>
              </w:tc>
              <w:tc>
                <w:tcPr>
                  <w:tcW w:w="367" w:type="pct"/>
                  <w:vMerge w:val="continue"/>
                  <w:tcBorders>
                    <w:tl2br w:val="nil"/>
                    <w:tr2bl w:val="nil"/>
                  </w:tcBorders>
                  <w:noWrap w:val="0"/>
                  <w:vAlign w:val="center"/>
                </w:tcPr>
                <w:p w14:paraId="674006EB">
                  <w:pPr>
                    <w:jc w:val="center"/>
                    <w:rPr>
                      <w:kern w:val="2"/>
                      <w:sz w:val="21"/>
                      <w:szCs w:val="24"/>
                      <w:u w:val="none"/>
                      <w:lang w:val="en-US" w:eastAsia="zh-CN" w:bidi="ar-SA"/>
                    </w:rPr>
                  </w:pPr>
                </w:p>
              </w:tc>
              <w:tc>
                <w:tcPr>
                  <w:tcW w:w="597" w:type="pct"/>
                  <w:tcBorders>
                    <w:tl2br w:val="nil"/>
                    <w:tr2bl w:val="nil"/>
                  </w:tcBorders>
                  <w:noWrap w:val="0"/>
                  <w:vAlign w:val="center"/>
                </w:tcPr>
                <w:p w14:paraId="392F36C4">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tcBorders>
                    <w:tl2br w:val="nil"/>
                    <w:tr2bl w:val="nil"/>
                  </w:tcBorders>
                  <w:noWrap w:val="0"/>
                  <w:vAlign w:val="center"/>
                </w:tcPr>
                <w:p w14:paraId="3DBDED33">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24.2 </w:t>
                  </w:r>
                </w:p>
              </w:tc>
              <w:tc>
                <w:tcPr>
                  <w:tcW w:w="274" w:type="pct"/>
                  <w:tcBorders>
                    <w:tl2br w:val="nil"/>
                    <w:tr2bl w:val="nil"/>
                  </w:tcBorders>
                  <w:noWrap w:val="0"/>
                  <w:vAlign w:val="center"/>
                </w:tcPr>
                <w:p w14:paraId="68EE0C5A">
                  <w:pPr>
                    <w:jc w:val="center"/>
                    <w:rPr>
                      <w:kern w:val="2"/>
                      <w:sz w:val="21"/>
                      <w:szCs w:val="24"/>
                      <w:u w:val="none"/>
                      <w:lang w:val="en-US" w:eastAsia="zh-CN" w:bidi="ar-SA"/>
                    </w:rPr>
                  </w:pPr>
                  <w:r>
                    <w:rPr>
                      <w:u w:val="none"/>
                    </w:rPr>
                    <w:t>1m</w:t>
                  </w:r>
                </w:p>
              </w:tc>
            </w:tr>
            <w:tr w14:paraId="77DAA9A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142F9ABC">
                  <w:pPr>
                    <w:jc w:val="center"/>
                    <w:rPr>
                      <w:u w:val="none"/>
                    </w:rPr>
                  </w:pPr>
                </w:p>
              </w:tc>
              <w:tc>
                <w:tcPr>
                  <w:tcW w:w="264" w:type="pct"/>
                  <w:vMerge w:val="continue"/>
                  <w:noWrap w:val="0"/>
                  <w:vAlign w:val="top"/>
                </w:tcPr>
                <w:p w14:paraId="74222195">
                  <w:pPr>
                    <w:jc w:val="center"/>
                    <w:rPr>
                      <w:u w:val="none"/>
                    </w:rPr>
                  </w:pPr>
                </w:p>
              </w:tc>
              <w:tc>
                <w:tcPr>
                  <w:tcW w:w="282" w:type="pct"/>
                  <w:vMerge w:val="continue"/>
                  <w:noWrap w:val="0"/>
                  <w:vAlign w:val="top"/>
                </w:tcPr>
                <w:p w14:paraId="4A45C8E5">
                  <w:pPr>
                    <w:jc w:val="center"/>
                    <w:rPr>
                      <w:u w:val="none"/>
                    </w:rPr>
                  </w:pPr>
                </w:p>
              </w:tc>
              <w:tc>
                <w:tcPr>
                  <w:tcW w:w="597" w:type="pct"/>
                  <w:vMerge w:val="continue"/>
                  <w:noWrap w:val="0"/>
                  <w:vAlign w:val="top"/>
                </w:tcPr>
                <w:p w14:paraId="0C1A7B75">
                  <w:pPr>
                    <w:jc w:val="center"/>
                    <w:rPr>
                      <w:u w:val="none"/>
                    </w:rPr>
                  </w:pPr>
                </w:p>
              </w:tc>
              <w:tc>
                <w:tcPr>
                  <w:tcW w:w="265" w:type="pct"/>
                  <w:vMerge w:val="continue"/>
                  <w:noWrap w:val="0"/>
                  <w:vAlign w:val="top"/>
                </w:tcPr>
                <w:p w14:paraId="6641B6BE">
                  <w:pPr>
                    <w:jc w:val="center"/>
                    <w:rPr>
                      <w:u w:val="none"/>
                    </w:rPr>
                  </w:pPr>
                </w:p>
              </w:tc>
              <w:tc>
                <w:tcPr>
                  <w:tcW w:w="179" w:type="pct"/>
                  <w:vMerge w:val="continue"/>
                  <w:noWrap w:val="0"/>
                  <w:vAlign w:val="top"/>
                </w:tcPr>
                <w:p w14:paraId="53E2FA72">
                  <w:pPr>
                    <w:jc w:val="center"/>
                    <w:rPr>
                      <w:u w:val="none"/>
                    </w:rPr>
                  </w:pPr>
                </w:p>
              </w:tc>
              <w:tc>
                <w:tcPr>
                  <w:tcW w:w="243" w:type="pct"/>
                  <w:vMerge w:val="continue"/>
                  <w:noWrap w:val="0"/>
                  <w:vAlign w:val="top"/>
                </w:tcPr>
                <w:p w14:paraId="00A013CB">
                  <w:pPr>
                    <w:jc w:val="center"/>
                    <w:rPr>
                      <w:u w:val="none"/>
                    </w:rPr>
                  </w:pPr>
                </w:p>
              </w:tc>
              <w:tc>
                <w:tcPr>
                  <w:tcW w:w="153" w:type="pct"/>
                  <w:vMerge w:val="continue"/>
                  <w:noWrap w:val="0"/>
                  <w:vAlign w:val="top"/>
                </w:tcPr>
                <w:p w14:paraId="4CAB2179">
                  <w:pPr>
                    <w:jc w:val="center"/>
                    <w:rPr>
                      <w:u w:val="none"/>
                    </w:rPr>
                  </w:pPr>
                </w:p>
              </w:tc>
              <w:tc>
                <w:tcPr>
                  <w:tcW w:w="0" w:type="auto"/>
                  <w:noWrap w:val="0"/>
                  <w:vAlign w:val="center"/>
                </w:tcPr>
                <w:p w14:paraId="3A1010DF">
                  <w:pPr>
                    <w:jc w:val="center"/>
                    <w:rPr>
                      <w:kern w:val="2"/>
                      <w:sz w:val="21"/>
                      <w:szCs w:val="24"/>
                      <w:u w:val="none"/>
                      <w:lang w:val="en-US" w:eastAsia="zh-CN" w:bidi="ar-SA"/>
                    </w:rPr>
                  </w:pPr>
                  <w:r>
                    <w:rPr>
                      <w:u w:val="none"/>
                    </w:rPr>
                    <w:t>南</w:t>
                  </w:r>
                </w:p>
              </w:tc>
              <w:tc>
                <w:tcPr>
                  <w:tcW w:w="232" w:type="pct"/>
                  <w:noWrap w:val="0"/>
                  <w:vAlign w:val="center"/>
                </w:tcPr>
                <w:p w14:paraId="557F3C09">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20</w:t>
                  </w:r>
                </w:p>
              </w:tc>
              <w:tc>
                <w:tcPr>
                  <w:tcW w:w="1003" w:type="dxa"/>
                  <w:noWrap w:val="0"/>
                  <w:vAlign w:val="center"/>
                </w:tcPr>
                <w:p w14:paraId="0D3BBF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49.0 </w:t>
                  </w:r>
                </w:p>
              </w:tc>
              <w:tc>
                <w:tcPr>
                  <w:tcW w:w="367" w:type="pct"/>
                  <w:vMerge w:val="continue"/>
                  <w:noWrap w:val="0"/>
                  <w:vAlign w:val="top"/>
                </w:tcPr>
                <w:p w14:paraId="450AE1C2">
                  <w:pPr>
                    <w:jc w:val="center"/>
                    <w:rPr>
                      <w:u w:val="none"/>
                    </w:rPr>
                  </w:pPr>
                </w:p>
              </w:tc>
              <w:tc>
                <w:tcPr>
                  <w:tcW w:w="0" w:type="auto"/>
                  <w:noWrap w:val="0"/>
                  <w:vAlign w:val="center"/>
                </w:tcPr>
                <w:p w14:paraId="6F20343E">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D5A00BD">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34.0 </w:t>
                  </w:r>
                </w:p>
              </w:tc>
              <w:tc>
                <w:tcPr>
                  <w:tcW w:w="0" w:type="auto"/>
                  <w:noWrap w:val="0"/>
                  <w:vAlign w:val="center"/>
                </w:tcPr>
                <w:p w14:paraId="524223AE">
                  <w:pPr>
                    <w:jc w:val="center"/>
                    <w:rPr>
                      <w:kern w:val="2"/>
                      <w:sz w:val="21"/>
                      <w:szCs w:val="24"/>
                      <w:u w:val="none"/>
                      <w:lang w:val="en-US" w:eastAsia="zh-CN" w:bidi="ar-SA"/>
                    </w:rPr>
                  </w:pPr>
                  <w:r>
                    <w:rPr>
                      <w:u w:val="none"/>
                    </w:rPr>
                    <w:t>1m</w:t>
                  </w:r>
                </w:p>
              </w:tc>
            </w:tr>
            <w:tr w14:paraId="1E741D1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49F9F591">
                  <w:pPr>
                    <w:jc w:val="center"/>
                    <w:rPr>
                      <w:u w:val="none"/>
                    </w:rPr>
                  </w:pPr>
                </w:p>
              </w:tc>
              <w:tc>
                <w:tcPr>
                  <w:tcW w:w="264" w:type="pct"/>
                  <w:vMerge w:val="continue"/>
                  <w:noWrap w:val="0"/>
                  <w:vAlign w:val="top"/>
                </w:tcPr>
                <w:p w14:paraId="512F470F">
                  <w:pPr>
                    <w:jc w:val="center"/>
                    <w:rPr>
                      <w:u w:val="none"/>
                    </w:rPr>
                  </w:pPr>
                </w:p>
              </w:tc>
              <w:tc>
                <w:tcPr>
                  <w:tcW w:w="282" w:type="pct"/>
                  <w:vMerge w:val="continue"/>
                  <w:noWrap w:val="0"/>
                  <w:vAlign w:val="top"/>
                </w:tcPr>
                <w:p w14:paraId="1525E747">
                  <w:pPr>
                    <w:jc w:val="center"/>
                    <w:rPr>
                      <w:u w:val="none"/>
                    </w:rPr>
                  </w:pPr>
                </w:p>
              </w:tc>
              <w:tc>
                <w:tcPr>
                  <w:tcW w:w="597" w:type="pct"/>
                  <w:vMerge w:val="continue"/>
                  <w:noWrap w:val="0"/>
                  <w:vAlign w:val="top"/>
                </w:tcPr>
                <w:p w14:paraId="6FF75ADF">
                  <w:pPr>
                    <w:jc w:val="center"/>
                    <w:rPr>
                      <w:u w:val="none"/>
                    </w:rPr>
                  </w:pPr>
                </w:p>
              </w:tc>
              <w:tc>
                <w:tcPr>
                  <w:tcW w:w="265" w:type="pct"/>
                  <w:vMerge w:val="continue"/>
                  <w:noWrap w:val="0"/>
                  <w:vAlign w:val="top"/>
                </w:tcPr>
                <w:p w14:paraId="0049DA95">
                  <w:pPr>
                    <w:jc w:val="center"/>
                    <w:rPr>
                      <w:u w:val="none"/>
                    </w:rPr>
                  </w:pPr>
                </w:p>
              </w:tc>
              <w:tc>
                <w:tcPr>
                  <w:tcW w:w="179" w:type="pct"/>
                  <w:vMerge w:val="continue"/>
                  <w:noWrap w:val="0"/>
                  <w:vAlign w:val="top"/>
                </w:tcPr>
                <w:p w14:paraId="36FC789E">
                  <w:pPr>
                    <w:jc w:val="center"/>
                    <w:rPr>
                      <w:u w:val="none"/>
                    </w:rPr>
                  </w:pPr>
                </w:p>
              </w:tc>
              <w:tc>
                <w:tcPr>
                  <w:tcW w:w="243" w:type="pct"/>
                  <w:vMerge w:val="continue"/>
                  <w:noWrap w:val="0"/>
                  <w:vAlign w:val="top"/>
                </w:tcPr>
                <w:p w14:paraId="5898FCFC">
                  <w:pPr>
                    <w:jc w:val="center"/>
                    <w:rPr>
                      <w:u w:val="none"/>
                    </w:rPr>
                  </w:pPr>
                </w:p>
              </w:tc>
              <w:tc>
                <w:tcPr>
                  <w:tcW w:w="153" w:type="pct"/>
                  <w:vMerge w:val="continue"/>
                  <w:noWrap w:val="0"/>
                  <w:vAlign w:val="top"/>
                </w:tcPr>
                <w:p w14:paraId="3739EFB0">
                  <w:pPr>
                    <w:jc w:val="center"/>
                    <w:rPr>
                      <w:u w:val="none"/>
                    </w:rPr>
                  </w:pPr>
                </w:p>
              </w:tc>
              <w:tc>
                <w:tcPr>
                  <w:tcW w:w="0" w:type="auto"/>
                  <w:noWrap w:val="0"/>
                  <w:vAlign w:val="center"/>
                </w:tcPr>
                <w:p w14:paraId="3CFE066B">
                  <w:pPr>
                    <w:jc w:val="center"/>
                    <w:rPr>
                      <w:kern w:val="2"/>
                      <w:sz w:val="21"/>
                      <w:szCs w:val="24"/>
                      <w:u w:val="none"/>
                      <w:lang w:val="en-US" w:eastAsia="zh-CN" w:bidi="ar-SA"/>
                    </w:rPr>
                  </w:pPr>
                  <w:r>
                    <w:rPr>
                      <w:u w:val="none"/>
                    </w:rPr>
                    <w:t>西</w:t>
                  </w:r>
                </w:p>
              </w:tc>
              <w:tc>
                <w:tcPr>
                  <w:tcW w:w="232" w:type="pct"/>
                  <w:noWrap w:val="0"/>
                  <w:vAlign w:val="center"/>
                </w:tcPr>
                <w:p w14:paraId="34D05DC4">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20</w:t>
                  </w:r>
                </w:p>
              </w:tc>
              <w:tc>
                <w:tcPr>
                  <w:tcW w:w="1003" w:type="dxa"/>
                  <w:noWrap w:val="0"/>
                  <w:vAlign w:val="center"/>
                </w:tcPr>
                <w:p w14:paraId="2E68BC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49.0 </w:t>
                  </w:r>
                </w:p>
              </w:tc>
              <w:tc>
                <w:tcPr>
                  <w:tcW w:w="367" w:type="pct"/>
                  <w:vMerge w:val="continue"/>
                  <w:noWrap w:val="0"/>
                  <w:vAlign w:val="top"/>
                </w:tcPr>
                <w:p w14:paraId="122553D7">
                  <w:pPr>
                    <w:jc w:val="center"/>
                    <w:rPr>
                      <w:u w:val="none"/>
                    </w:rPr>
                  </w:pPr>
                </w:p>
              </w:tc>
              <w:tc>
                <w:tcPr>
                  <w:tcW w:w="0" w:type="auto"/>
                  <w:noWrap w:val="0"/>
                  <w:vAlign w:val="center"/>
                </w:tcPr>
                <w:p w14:paraId="4B61B933">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6D31620D">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34.0 </w:t>
                  </w:r>
                </w:p>
              </w:tc>
              <w:tc>
                <w:tcPr>
                  <w:tcW w:w="0" w:type="auto"/>
                  <w:noWrap w:val="0"/>
                  <w:vAlign w:val="center"/>
                </w:tcPr>
                <w:p w14:paraId="72056BF8">
                  <w:pPr>
                    <w:jc w:val="center"/>
                    <w:rPr>
                      <w:kern w:val="2"/>
                      <w:sz w:val="21"/>
                      <w:szCs w:val="24"/>
                      <w:u w:val="none"/>
                      <w:lang w:val="en-US" w:eastAsia="zh-CN" w:bidi="ar-SA"/>
                    </w:rPr>
                  </w:pPr>
                  <w:r>
                    <w:rPr>
                      <w:u w:val="none"/>
                    </w:rPr>
                    <w:t>1m</w:t>
                  </w:r>
                </w:p>
              </w:tc>
            </w:tr>
            <w:tr w14:paraId="19A4D41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016A2E4A">
                  <w:pPr>
                    <w:jc w:val="center"/>
                    <w:rPr>
                      <w:u w:val="none"/>
                    </w:rPr>
                  </w:pPr>
                </w:p>
              </w:tc>
              <w:tc>
                <w:tcPr>
                  <w:tcW w:w="264" w:type="pct"/>
                  <w:vMerge w:val="continue"/>
                  <w:noWrap w:val="0"/>
                  <w:vAlign w:val="top"/>
                </w:tcPr>
                <w:p w14:paraId="7A88A1D0">
                  <w:pPr>
                    <w:jc w:val="center"/>
                    <w:rPr>
                      <w:u w:val="none"/>
                    </w:rPr>
                  </w:pPr>
                </w:p>
              </w:tc>
              <w:tc>
                <w:tcPr>
                  <w:tcW w:w="282" w:type="pct"/>
                  <w:vMerge w:val="continue"/>
                  <w:noWrap w:val="0"/>
                  <w:vAlign w:val="top"/>
                </w:tcPr>
                <w:p w14:paraId="34FB4ECB">
                  <w:pPr>
                    <w:jc w:val="center"/>
                    <w:rPr>
                      <w:u w:val="none"/>
                    </w:rPr>
                  </w:pPr>
                </w:p>
              </w:tc>
              <w:tc>
                <w:tcPr>
                  <w:tcW w:w="597" w:type="pct"/>
                  <w:vMerge w:val="continue"/>
                  <w:noWrap w:val="0"/>
                  <w:vAlign w:val="top"/>
                </w:tcPr>
                <w:p w14:paraId="10E38A86">
                  <w:pPr>
                    <w:jc w:val="center"/>
                    <w:rPr>
                      <w:u w:val="none"/>
                    </w:rPr>
                  </w:pPr>
                </w:p>
              </w:tc>
              <w:tc>
                <w:tcPr>
                  <w:tcW w:w="265" w:type="pct"/>
                  <w:vMerge w:val="continue"/>
                  <w:noWrap w:val="0"/>
                  <w:vAlign w:val="top"/>
                </w:tcPr>
                <w:p w14:paraId="3030A396">
                  <w:pPr>
                    <w:jc w:val="center"/>
                    <w:rPr>
                      <w:u w:val="none"/>
                    </w:rPr>
                  </w:pPr>
                </w:p>
              </w:tc>
              <w:tc>
                <w:tcPr>
                  <w:tcW w:w="179" w:type="pct"/>
                  <w:vMerge w:val="continue"/>
                  <w:noWrap w:val="0"/>
                  <w:vAlign w:val="top"/>
                </w:tcPr>
                <w:p w14:paraId="39A9951E">
                  <w:pPr>
                    <w:jc w:val="center"/>
                    <w:rPr>
                      <w:u w:val="none"/>
                    </w:rPr>
                  </w:pPr>
                </w:p>
              </w:tc>
              <w:tc>
                <w:tcPr>
                  <w:tcW w:w="243" w:type="pct"/>
                  <w:vMerge w:val="continue"/>
                  <w:noWrap w:val="0"/>
                  <w:vAlign w:val="top"/>
                </w:tcPr>
                <w:p w14:paraId="5ADB0721">
                  <w:pPr>
                    <w:jc w:val="center"/>
                    <w:rPr>
                      <w:u w:val="none"/>
                    </w:rPr>
                  </w:pPr>
                </w:p>
              </w:tc>
              <w:tc>
                <w:tcPr>
                  <w:tcW w:w="153" w:type="pct"/>
                  <w:vMerge w:val="continue"/>
                  <w:noWrap w:val="0"/>
                  <w:vAlign w:val="top"/>
                </w:tcPr>
                <w:p w14:paraId="1579B490">
                  <w:pPr>
                    <w:jc w:val="center"/>
                    <w:rPr>
                      <w:u w:val="none"/>
                    </w:rPr>
                  </w:pPr>
                </w:p>
              </w:tc>
              <w:tc>
                <w:tcPr>
                  <w:tcW w:w="0" w:type="auto"/>
                  <w:noWrap w:val="0"/>
                  <w:vAlign w:val="center"/>
                </w:tcPr>
                <w:p w14:paraId="1420A198">
                  <w:pPr>
                    <w:jc w:val="center"/>
                    <w:rPr>
                      <w:kern w:val="2"/>
                      <w:sz w:val="21"/>
                      <w:szCs w:val="24"/>
                      <w:u w:val="none"/>
                      <w:lang w:val="en-US" w:eastAsia="zh-CN" w:bidi="ar-SA"/>
                    </w:rPr>
                  </w:pPr>
                  <w:r>
                    <w:rPr>
                      <w:u w:val="none"/>
                    </w:rPr>
                    <w:t>北</w:t>
                  </w:r>
                </w:p>
              </w:tc>
              <w:tc>
                <w:tcPr>
                  <w:tcW w:w="232" w:type="pct"/>
                  <w:noWrap w:val="0"/>
                  <w:vAlign w:val="center"/>
                </w:tcPr>
                <w:p w14:paraId="7BD0EBF4">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58</w:t>
                  </w:r>
                </w:p>
              </w:tc>
              <w:tc>
                <w:tcPr>
                  <w:tcW w:w="1003" w:type="dxa"/>
                  <w:noWrap w:val="0"/>
                  <w:vAlign w:val="center"/>
                </w:tcPr>
                <w:p w14:paraId="3B6CBB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39.7 </w:t>
                  </w:r>
                </w:p>
              </w:tc>
              <w:tc>
                <w:tcPr>
                  <w:tcW w:w="367" w:type="pct"/>
                  <w:vMerge w:val="continue"/>
                  <w:noWrap w:val="0"/>
                  <w:vAlign w:val="top"/>
                </w:tcPr>
                <w:p w14:paraId="17133F3E">
                  <w:pPr>
                    <w:jc w:val="center"/>
                    <w:rPr>
                      <w:u w:val="none"/>
                    </w:rPr>
                  </w:pPr>
                </w:p>
              </w:tc>
              <w:tc>
                <w:tcPr>
                  <w:tcW w:w="0" w:type="auto"/>
                  <w:noWrap w:val="0"/>
                  <w:vAlign w:val="center"/>
                </w:tcPr>
                <w:p w14:paraId="5FAD6B31">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FEFF1C3">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24.7 </w:t>
                  </w:r>
                </w:p>
              </w:tc>
              <w:tc>
                <w:tcPr>
                  <w:tcW w:w="0" w:type="auto"/>
                  <w:noWrap w:val="0"/>
                  <w:vAlign w:val="center"/>
                </w:tcPr>
                <w:p w14:paraId="07E82A7E">
                  <w:pPr>
                    <w:jc w:val="center"/>
                    <w:rPr>
                      <w:kern w:val="2"/>
                      <w:sz w:val="21"/>
                      <w:szCs w:val="24"/>
                      <w:u w:val="none"/>
                      <w:lang w:val="en-US" w:eastAsia="zh-CN" w:bidi="ar-SA"/>
                    </w:rPr>
                  </w:pPr>
                  <w:r>
                    <w:rPr>
                      <w:u w:val="none"/>
                    </w:rPr>
                    <w:t>1m</w:t>
                  </w:r>
                </w:p>
              </w:tc>
            </w:tr>
            <w:tr w14:paraId="20798E5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noWrap w:val="0"/>
                  <w:vAlign w:val="center"/>
                </w:tcPr>
                <w:p w14:paraId="479CB9C8">
                  <w:pPr>
                    <w:jc w:val="center"/>
                    <w:rPr>
                      <w:rFonts w:hint="default" w:eastAsia="宋体"/>
                      <w:kern w:val="2"/>
                      <w:sz w:val="21"/>
                      <w:szCs w:val="24"/>
                      <w:u w:val="none"/>
                      <w:lang w:val="en-US" w:eastAsia="zh-CN" w:bidi="ar-SA"/>
                    </w:rPr>
                  </w:pPr>
                  <w:r>
                    <w:rPr>
                      <w:rFonts w:hint="eastAsia" w:eastAsia="宋体"/>
                      <w:kern w:val="2"/>
                      <w:sz w:val="21"/>
                      <w:szCs w:val="24"/>
                      <w:u w:val="none"/>
                      <w:lang w:val="en-US" w:eastAsia="zh-CN" w:bidi="ar-SA"/>
                    </w:rPr>
                    <w:t>10</w:t>
                  </w:r>
                </w:p>
              </w:tc>
              <w:tc>
                <w:tcPr>
                  <w:tcW w:w="264" w:type="pct"/>
                  <w:vMerge w:val="restart"/>
                  <w:noWrap w:val="0"/>
                  <w:vAlign w:val="center"/>
                </w:tcPr>
                <w:p w14:paraId="166F1857">
                  <w:pPr>
                    <w:jc w:val="center"/>
                    <w:rPr>
                      <w:rFonts w:hint="default"/>
                      <w:kern w:val="2"/>
                      <w:sz w:val="21"/>
                      <w:szCs w:val="24"/>
                      <w:u w:val="none"/>
                      <w:lang w:val="en-US" w:eastAsia="zh-CN" w:bidi="ar-SA"/>
                    </w:rPr>
                  </w:pPr>
                  <w:r>
                    <w:rPr>
                      <w:rFonts w:hint="eastAsia"/>
                      <w:kern w:val="2"/>
                      <w:sz w:val="21"/>
                      <w:szCs w:val="24"/>
                      <w:u w:val="none"/>
                      <w:lang w:val="en-US" w:eastAsia="zh-CN" w:bidi="ar-SA"/>
                    </w:rPr>
                    <w:t>铝箔膜生产车间</w:t>
                  </w:r>
                </w:p>
              </w:tc>
              <w:tc>
                <w:tcPr>
                  <w:tcW w:w="282" w:type="pct"/>
                  <w:vMerge w:val="restart"/>
                  <w:noWrap w:val="0"/>
                  <w:vAlign w:val="center"/>
                </w:tcPr>
                <w:p w14:paraId="3153E2B4">
                  <w:pPr>
                    <w:jc w:val="center"/>
                    <w:rPr>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铝箔机</w:t>
                  </w:r>
                </w:p>
              </w:tc>
              <w:tc>
                <w:tcPr>
                  <w:tcW w:w="597" w:type="pct"/>
                  <w:vMerge w:val="restart"/>
                  <w:noWrap w:val="0"/>
                  <w:vAlign w:val="center"/>
                </w:tcPr>
                <w:p w14:paraId="6D6152F0">
                  <w:pPr>
                    <w:jc w:val="center"/>
                    <w:rPr>
                      <w:kern w:val="2"/>
                      <w:sz w:val="21"/>
                      <w:szCs w:val="24"/>
                      <w:u w:val="none"/>
                      <w:lang w:val="en-US" w:eastAsia="zh-CN" w:bidi="ar-SA"/>
                    </w:rPr>
                  </w:pPr>
                  <w:r>
                    <w:rPr>
                      <w:rFonts w:hint="eastAsia"/>
                      <w:u w:val="none"/>
                      <w:lang w:val="en-US" w:eastAsia="zh-CN"/>
                    </w:rPr>
                    <w:t>90</w:t>
                  </w:r>
                  <w:r>
                    <w:rPr>
                      <w:u w:val="none"/>
                    </w:rPr>
                    <w:t>/1</w:t>
                  </w:r>
                </w:p>
              </w:tc>
              <w:tc>
                <w:tcPr>
                  <w:tcW w:w="265" w:type="pct"/>
                  <w:vMerge w:val="continue"/>
                  <w:noWrap w:val="0"/>
                  <w:vAlign w:val="center"/>
                </w:tcPr>
                <w:p w14:paraId="1D00F6D3">
                  <w:pPr>
                    <w:jc w:val="center"/>
                    <w:rPr>
                      <w:kern w:val="2"/>
                      <w:sz w:val="21"/>
                      <w:szCs w:val="24"/>
                      <w:u w:val="none"/>
                      <w:lang w:val="en-US" w:eastAsia="zh-CN" w:bidi="ar-SA"/>
                    </w:rPr>
                  </w:pPr>
                </w:p>
              </w:tc>
              <w:tc>
                <w:tcPr>
                  <w:tcW w:w="179" w:type="pct"/>
                  <w:vMerge w:val="restart"/>
                  <w:noWrap w:val="0"/>
                  <w:vAlign w:val="center"/>
                </w:tcPr>
                <w:p w14:paraId="5D366396">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20</w:t>
                  </w:r>
                </w:p>
              </w:tc>
              <w:tc>
                <w:tcPr>
                  <w:tcW w:w="243" w:type="pct"/>
                  <w:vMerge w:val="restart"/>
                  <w:noWrap w:val="0"/>
                  <w:vAlign w:val="center"/>
                </w:tcPr>
                <w:p w14:paraId="3D1BB54E">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-1</w:t>
                  </w:r>
                </w:p>
              </w:tc>
              <w:tc>
                <w:tcPr>
                  <w:tcW w:w="257" w:type="dxa"/>
                  <w:vMerge w:val="restart"/>
                  <w:noWrap w:val="0"/>
                  <w:vAlign w:val="center"/>
                </w:tcPr>
                <w:p w14:paraId="7B5B7BDA">
                  <w:pPr>
                    <w:jc w:val="center"/>
                    <w:rPr>
                      <w:rFonts w:hint="eastAsia" w:eastAsia="宋体"/>
                      <w:kern w:val="2"/>
                      <w:sz w:val="21"/>
                      <w:szCs w:val="24"/>
                      <w:u w:val="none"/>
                      <w:lang w:val="en-US" w:eastAsia="zh-CN" w:bidi="ar-SA"/>
                    </w:rPr>
                  </w:pPr>
                  <w:r>
                    <w:rPr>
                      <w:rFonts w:hint="eastAsia"/>
                      <w:u w:val="none"/>
                      <w:lang w:val="en-US" w:eastAsia="zh-CN"/>
                    </w:rPr>
                    <w:t>1</w:t>
                  </w:r>
                </w:p>
              </w:tc>
              <w:tc>
                <w:tcPr>
                  <w:tcW w:w="0" w:type="auto"/>
                  <w:noWrap w:val="0"/>
                  <w:vAlign w:val="center"/>
                </w:tcPr>
                <w:p w14:paraId="17E3E392">
                  <w:pPr>
                    <w:jc w:val="center"/>
                    <w:rPr>
                      <w:kern w:val="2"/>
                      <w:sz w:val="21"/>
                      <w:szCs w:val="24"/>
                      <w:u w:val="none"/>
                      <w:lang w:val="en-US" w:eastAsia="zh-CN" w:bidi="ar-SA"/>
                    </w:rPr>
                  </w:pPr>
                  <w:r>
                    <w:rPr>
                      <w:u w:val="none"/>
                    </w:rPr>
                    <w:t>东</w:t>
                  </w:r>
                </w:p>
              </w:tc>
              <w:tc>
                <w:tcPr>
                  <w:tcW w:w="232" w:type="pct"/>
                  <w:noWrap w:val="0"/>
                  <w:vAlign w:val="center"/>
                </w:tcPr>
                <w:p w14:paraId="14D29C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21</w:t>
                  </w:r>
                </w:p>
              </w:tc>
              <w:tc>
                <w:tcPr>
                  <w:tcW w:w="1003" w:type="dxa"/>
                  <w:noWrap w:val="0"/>
                  <w:vAlign w:val="center"/>
                </w:tcPr>
                <w:p w14:paraId="3BF41B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63.6 </w:t>
                  </w:r>
                </w:p>
              </w:tc>
              <w:tc>
                <w:tcPr>
                  <w:tcW w:w="367" w:type="pct"/>
                  <w:vMerge w:val="continue"/>
                  <w:noWrap w:val="0"/>
                  <w:vAlign w:val="top"/>
                </w:tcPr>
                <w:p w14:paraId="485D4A9B">
                  <w:pPr>
                    <w:jc w:val="center"/>
                    <w:rPr>
                      <w:u w:val="none"/>
                    </w:rPr>
                  </w:pPr>
                </w:p>
              </w:tc>
              <w:tc>
                <w:tcPr>
                  <w:tcW w:w="0" w:type="auto"/>
                  <w:noWrap w:val="0"/>
                  <w:vAlign w:val="center"/>
                </w:tcPr>
                <w:p w14:paraId="74933C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2FD170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48.6 </w:t>
                  </w:r>
                </w:p>
              </w:tc>
              <w:tc>
                <w:tcPr>
                  <w:tcW w:w="0" w:type="auto"/>
                  <w:noWrap w:val="0"/>
                  <w:vAlign w:val="center"/>
                </w:tcPr>
                <w:p w14:paraId="0AC50F62">
                  <w:pPr>
                    <w:jc w:val="center"/>
                    <w:rPr>
                      <w:kern w:val="2"/>
                      <w:sz w:val="21"/>
                      <w:szCs w:val="24"/>
                      <w:u w:val="none"/>
                      <w:lang w:val="en-US" w:eastAsia="zh-CN" w:bidi="ar-SA"/>
                    </w:rPr>
                  </w:pPr>
                  <w:r>
                    <w:rPr>
                      <w:u w:val="none"/>
                    </w:rPr>
                    <w:t>1m</w:t>
                  </w:r>
                </w:p>
              </w:tc>
            </w:tr>
            <w:tr w14:paraId="0537351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55605858">
                  <w:pPr>
                    <w:jc w:val="center"/>
                    <w:rPr>
                      <w:u w:val="none"/>
                    </w:rPr>
                  </w:pPr>
                </w:p>
              </w:tc>
              <w:tc>
                <w:tcPr>
                  <w:tcW w:w="264" w:type="pct"/>
                  <w:vMerge w:val="continue"/>
                  <w:noWrap w:val="0"/>
                  <w:vAlign w:val="top"/>
                </w:tcPr>
                <w:p w14:paraId="3A0E2F58">
                  <w:pPr>
                    <w:jc w:val="center"/>
                    <w:rPr>
                      <w:u w:val="none"/>
                    </w:rPr>
                  </w:pPr>
                </w:p>
              </w:tc>
              <w:tc>
                <w:tcPr>
                  <w:tcW w:w="282" w:type="pct"/>
                  <w:vMerge w:val="continue"/>
                  <w:noWrap w:val="0"/>
                  <w:vAlign w:val="top"/>
                </w:tcPr>
                <w:p w14:paraId="6E092C35">
                  <w:pPr>
                    <w:jc w:val="center"/>
                    <w:rPr>
                      <w:u w:val="none"/>
                    </w:rPr>
                  </w:pPr>
                </w:p>
              </w:tc>
              <w:tc>
                <w:tcPr>
                  <w:tcW w:w="597" w:type="pct"/>
                  <w:vMerge w:val="continue"/>
                  <w:noWrap w:val="0"/>
                  <w:vAlign w:val="top"/>
                </w:tcPr>
                <w:p w14:paraId="1C40342C">
                  <w:pPr>
                    <w:jc w:val="center"/>
                    <w:rPr>
                      <w:u w:val="none"/>
                    </w:rPr>
                  </w:pPr>
                </w:p>
              </w:tc>
              <w:tc>
                <w:tcPr>
                  <w:tcW w:w="265" w:type="pct"/>
                  <w:vMerge w:val="continue"/>
                  <w:noWrap w:val="0"/>
                  <w:vAlign w:val="top"/>
                </w:tcPr>
                <w:p w14:paraId="3F122898">
                  <w:pPr>
                    <w:jc w:val="center"/>
                    <w:rPr>
                      <w:u w:val="none"/>
                    </w:rPr>
                  </w:pPr>
                </w:p>
              </w:tc>
              <w:tc>
                <w:tcPr>
                  <w:tcW w:w="179" w:type="pct"/>
                  <w:vMerge w:val="continue"/>
                  <w:noWrap w:val="0"/>
                  <w:vAlign w:val="top"/>
                </w:tcPr>
                <w:p w14:paraId="108A4250">
                  <w:pPr>
                    <w:jc w:val="center"/>
                    <w:rPr>
                      <w:u w:val="none"/>
                    </w:rPr>
                  </w:pPr>
                </w:p>
              </w:tc>
              <w:tc>
                <w:tcPr>
                  <w:tcW w:w="243" w:type="pct"/>
                  <w:vMerge w:val="continue"/>
                  <w:noWrap w:val="0"/>
                  <w:vAlign w:val="top"/>
                </w:tcPr>
                <w:p w14:paraId="12572B4D">
                  <w:pPr>
                    <w:jc w:val="center"/>
                    <w:rPr>
                      <w:u w:val="none"/>
                    </w:rPr>
                  </w:pPr>
                </w:p>
              </w:tc>
              <w:tc>
                <w:tcPr>
                  <w:tcW w:w="153" w:type="pct"/>
                  <w:vMerge w:val="continue"/>
                  <w:noWrap w:val="0"/>
                  <w:vAlign w:val="top"/>
                </w:tcPr>
                <w:p w14:paraId="7ABE04E5">
                  <w:pPr>
                    <w:jc w:val="center"/>
                    <w:rPr>
                      <w:u w:val="none"/>
                    </w:rPr>
                  </w:pPr>
                </w:p>
              </w:tc>
              <w:tc>
                <w:tcPr>
                  <w:tcW w:w="0" w:type="auto"/>
                  <w:noWrap w:val="0"/>
                  <w:vAlign w:val="center"/>
                </w:tcPr>
                <w:p w14:paraId="2852DF43">
                  <w:pPr>
                    <w:jc w:val="center"/>
                    <w:rPr>
                      <w:kern w:val="2"/>
                      <w:sz w:val="21"/>
                      <w:szCs w:val="24"/>
                      <w:u w:val="none"/>
                      <w:lang w:val="en-US" w:eastAsia="zh-CN" w:bidi="ar-SA"/>
                    </w:rPr>
                  </w:pPr>
                  <w:r>
                    <w:rPr>
                      <w:u w:val="none"/>
                    </w:rPr>
                    <w:t>南</w:t>
                  </w:r>
                </w:p>
              </w:tc>
              <w:tc>
                <w:tcPr>
                  <w:tcW w:w="232" w:type="pct"/>
                  <w:noWrap w:val="0"/>
                  <w:vAlign w:val="center"/>
                </w:tcPr>
                <w:p w14:paraId="0A3E05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38</w:t>
                  </w:r>
                </w:p>
              </w:tc>
              <w:tc>
                <w:tcPr>
                  <w:tcW w:w="1003" w:type="dxa"/>
                  <w:noWrap w:val="0"/>
                  <w:vAlign w:val="center"/>
                </w:tcPr>
                <w:p w14:paraId="61212A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58.4 </w:t>
                  </w:r>
                </w:p>
              </w:tc>
              <w:tc>
                <w:tcPr>
                  <w:tcW w:w="367" w:type="pct"/>
                  <w:vMerge w:val="continue"/>
                  <w:noWrap w:val="0"/>
                  <w:vAlign w:val="top"/>
                </w:tcPr>
                <w:p w14:paraId="4B65A209">
                  <w:pPr>
                    <w:jc w:val="center"/>
                    <w:rPr>
                      <w:u w:val="none"/>
                    </w:rPr>
                  </w:pPr>
                </w:p>
              </w:tc>
              <w:tc>
                <w:tcPr>
                  <w:tcW w:w="0" w:type="auto"/>
                  <w:noWrap w:val="0"/>
                  <w:vAlign w:val="center"/>
                </w:tcPr>
                <w:p w14:paraId="062E5C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229BF8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43.4 </w:t>
                  </w:r>
                </w:p>
              </w:tc>
              <w:tc>
                <w:tcPr>
                  <w:tcW w:w="0" w:type="auto"/>
                  <w:noWrap w:val="0"/>
                  <w:vAlign w:val="center"/>
                </w:tcPr>
                <w:p w14:paraId="304E27E9">
                  <w:pPr>
                    <w:jc w:val="center"/>
                    <w:rPr>
                      <w:kern w:val="2"/>
                      <w:sz w:val="21"/>
                      <w:szCs w:val="24"/>
                      <w:u w:val="none"/>
                      <w:lang w:val="en-US" w:eastAsia="zh-CN" w:bidi="ar-SA"/>
                    </w:rPr>
                  </w:pPr>
                  <w:r>
                    <w:rPr>
                      <w:u w:val="none"/>
                    </w:rPr>
                    <w:t>1m</w:t>
                  </w:r>
                </w:p>
              </w:tc>
            </w:tr>
            <w:tr w14:paraId="76F2FA5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079EDA32">
                  <w:pPr>
                    <w:jc w:val="center"/>
                    <w:rPr>
                      <w:u w:val="none"/>
                    </w:rPr>
                  </w:pPr>
                </w:p>
              </w:tc>
              <w:tc>
                <w:tcPr>
                  <w:tcW w:w="264" w:type="pct"/>
                  <w:vMerge w:val="continue"/>
                  <w:noWrap w:val="0"/>
                  <w:vAlign w:val="top"/>
                </w:tcPr>
                <w:p w14:paraId="0C13909F">
                  <w:pPr>
                    <w:jc w:val="center"/>
                    <w:rPr>
                      <w:u w:val="none"/>
                    </w:rPr>
                  </w:pPr>
                </w:p>
              </w:tc>
              <w:tc>
                <w:tcPr>
                  <w:tcW w:w="282" w:type="pct"/>
                  <w:vMerge w:val="continue"/>
                  <w:noWrap w:val="0"/>
                  <w:vAlign w:val="top"/>
                </w:tcPr>
                <w:p w14:paraId="02F46606">
                  <w:pPr>
                    <w:jc w:val="center"/>
                    <w:rPr>
                      <w:u w:val="none"/>
                    </w:rPr>
                  </w:pPr>
                </w:p>
              </w:tc>
              <w:tc>
                <w:tcPr>
                  <w:tcW w:w="597" w:type="pct"/>
                  <w:vMerge w:val="continue"/>
                  <w:noWrap w:val="0"/>
                  <w:vAlign w:val="top"/>
                </w:tcPr>
                <w:p w14:paraId="088B707C">
                  <w:pPr>
                    <w:jc w:val="center"/>
                    <w:rPr>
                      <w:u w:val="none"/>
                    </w:rPr>
                  </w:pPr>
                </w:p>
              </w:tc>
              <w:tc>
                <w:tcPr>
                  <w:tcW w:w="265" w:type="pct"/>
                  <w:vMerge w:val="continue"/>
                  <w:noWrap w:val="0"/>
                  <w:vAlign w:val="top"/>
                </w:tcPr>
                <w:p w14:paraId="67AB2F89">
                  <w:pPr>
                    <w:jc w:val="center"/>
                    <w:rPr>
                      <w:u w:val="none"/>
                    </w:rPr>
                  </w:pPr>
                </w:p>
              </w:tc>
              <w:tc>
                <w:tcPr>
                  <w:tcW w:w="179" w:type="pct"/>
                  <w:vMerge w:val="continue"/>
                  <w:noWrap w:val="0"/>
                  <w:vAlign w:val="top"/>
                </w:tcPr>
                <w:p w14:paraId="6D273D11">
                  <w:pPr>
                    <w:jc w:val="center"/>
                    <w:rPr>
                      <w:u w:val="none"/>
                    </w:rPr>
                  </w:pPr>
                </w:p>
              </w:tc>
              <w:tc>
                <w:tcPr>
                  <w:tcW w:w="243" w:type="pct"/>
                  <w:vMerge w:val="continue"/>
                  <w:noWrap w:val="0"/>
                  <w:vAlign w:val="top"/>
                </w:tcPr>
                <w:p w14:paraId="79671488">
                  <w:pPr>
                    <w:jc w:val="center"/>
                    <w:rPr>
                      <w:u w:val="none"/>
                    </w:rPr>
                  </w:pPr>
                </w:p>
              </w:tc>
              <w:tc>
                <w:tcPr>
                  <w:tcW w:w="153" w:type="pct"/>
                  <w:vMerge w:val="continue"/>
                  <w:noWrap w:val="0"/>
                  <w:vAlign w:val="top"/>
                </w:tcPr>
                <w:p w14:paraId="52F6672C">
                  <w:pPr>
                    <w:jc w:val="center"/>
                    <w:rPr>
                      <w:u w:val="none"/>
                    </w:rPr>
                  </w:pPr>
                </w:p>
              </w:tc>
              <w:tc>
                <w:tcPr>
                  <w:tcW w:w="0" w:type="auto"/>
                  <w:noWrap w:val="0"/>
                  <w:vAlign w:val="center"/>
                </w:tcPr>
                <w:p w14:paraId="52BAA054">
                  <w:pPr>
                    <w:jc w:val="center"/>
                    <w:rPr>
                      <w:kern w:val="2"/>
                      <w:sz w:val="21"/>
                      <w:szCs w:val="24"/>
                      <w:u w:val="none"/>
                      <w:lang w:val="en-US" w:eastAsia="zh-CN" w:bidi="ar-SA"/>
                    </w:rPr>
                  </w:pPr>
                  <w:r>
                    <w:rPr>
                      <w:u w:val="none"/>
                    </w:rPr>
                    <w:t>西</w:t>
                  </w:r>
                </w:p>
              </w:tc>
              <w:tc>
                <w:tcPr>
                  <w:tcW w:w="232" w:type="pct"/>
                  <w:noWrap w:val="0"/>
                  <w:vAlign w:val="center"/>
                </w:tcPr>
                <w:p w14:paraId="1D3CBD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61</w:t>
                  </w:r>
                </w:p>
              </w:tc>
              <w:tc>
                <w:tcPr>
                  <w:tcW w:w="1003" w:type="dxa"/>
                  <w:noWrap w:val="0"/>
                  <w:vAlign w:val="center"/>
                </w:tcPr>
                <w:p w14:paraId="599A3C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54.3 </w:t>
                  </w:r>
                </w:p>
              </w:tc>
              <w:tc>
                <w:tcPr>
                  <w:tcW w:w="367" w:type="pct"/>
                  <w:vMerge w:val="continue"/>
                  <w:noWrap w:val="0"/>
                  <w:vAlign w:val="top"/>
                </w:tcPr>
                <w:p w14:paraId="0EB3CCE0">
                  <w:pPr>
                    <w:jc w:val="center"/>
                    <w:rPr>
                      <w:u w:val="none"/>
                    </w:rPr>
                  </w:pPr>
                </w:p>
              </w:tc>
              <w:tc>
                <w:tcPr>
                  <w:tcW w:w="0" w:type="auto"/>
                  <w:noWrap w:val="0"/>
                  <w:vAlign w:val="center"/>
                </w:tcPr>
                <w:p w14:paraId="1E5C4F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0D07F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39.3 </w:t>
                  </w:r>
                </w:p>
              </w:tc>
              <w:tc>
                <w:tcPr>
                  <w:tcW w:w="0" w:type="auto"/>
                  <w:noWrap w:val="0"/>
                  <w:vAlign w:val="center"/>
                </w:tcPr>
                <w:p w14:paraId="090DB90D">
                  <w:pPr>
                    <w:jc w:val="center"/>
                    <w:rPr>
                      <w:kern w:val="2"/>
                      <w:sz w:val="21"/>
                      <w:szCs w:val="24"/>
                      <w:u w:val="none"/>
                      <w:lang w:val="en-US" w:eastAsia="zh-CN" w:bidi="ar-SA"/>
                    </w:rPr>
                  </w:pPr>
                  <w:r>
                    <w:rPr>
                      <w:u w:val="none"/>
                    </w:rPr>
                    <w:t>1m</w:t>
                  </w:r>
                </w:p>
              </w:tc>
            </w:tr>
            <w:tr w14:paraId="0D21179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1B5870F0">
                  <w:pPr>
                    <w:jc w:val="center"/>
                    <w:rPr>
                      <w:u w:val="none"/>
                    </w:rPr>
                  </w:pPr>
                </w:p>
              </w:tc>
              <w:tc>
                <w:tcPr>
                  <w:tcW w:w="264" w:type="pct"/>
                  <w:vMerge w:val="continue"/>
                  <w:noWrap w:val="0"/>
                  <w:vAlign w:val="top"/>
                </w:tcPr>
                <w:p w14:paraId="69B4892B">
                  <w:pPr>
                    <w:jc w:val="center"/>
                    <w:rPr>
                      <w:u w:val="none"/>
                    </w:rPr>
                  </w:pPr>
                </w:p>
              </w:tc>
              <w:tc>
                <w:tcPr>
                  <w:tcW w:w="282" w:type="pct"/>
                  <w:vMerge w:val="continue"/>
                  <w:noWrap w:val="0"/>
                  <w:vAlign w:val="top"/>
                </w:tcPr>
                <w:p w14:paraId="4F96FD7C">
                  <w:pPr>
                    <w:jc w:val="center"/>
                    <w:rPr>
                      <w:u w:val="none"/>
                    </w:rPr>
                  </w:pPr>
                </w:p>
              </w:tc>
              <w:tc>
                <w:tcPr>
                  <w:tcW w:w="597" w:type="pct"/>
                  <w:vMerge w:val="continue"/>
                  <w:noWrap w:val="0"/>
                  <w:vAlign w:val="top"/>
                </w:tcPr>
                <w:p w14:paraId="78705654">
                  <w:pPr>
                    <w:jc w:val="center"/>
                    <w:rPr>
                      <w:u w:val="none"/>
                    </w:rPr>
                  </w:pPr>
                </w:p>
              </w:tc>
              <w:tc>
                <w:tcPr>
                  <w:tcW w:w="265" w:type="pct"/>
                  <w:vMerge w:val="continue"/>
                  <w:noWrap w:val="0"/>
                  <w:vAlign w:val="top"/>
                </w:tcPr>
                <w:p w14:paraId="1232299E">
                  <w:pPr>
                    <w:jc w:val="center"/>
                    <w:rPr>
                      <w:u w:val="none"/>
                    </w:rPr>
                  </w:pPr>
                </w:p>
              </w:tc>
              <w:tc>
                <w:tcPr>
                  <w:tcW w:w="179" w:type="pct"/>
                  <w:vMerge w:val="continue"/>
                  <w:noWrap w:val="0"/>
                  <w:vAlign w:val="top"/>
                </w:tcPr>
                <w:p w14:paraId="31298C3A">
                  <w:pPr>
                    <w:jc w:val="center"/>
                    <w:rPr>
                      <w:u w:val="none"/>
                    </w:rPr>
                  </w:pPr>
                </w:p>
              </w:tc>
              <w:tc>
                <w:tcPr>
                  <w:tcW w:w="243" w:type="pct"/>
                  <w:vMerge w:val="continue"/>
                  <w:noWrap w:val="0"/>
                  <w:vAlign w:val="top"/>
                </w:tcPr>
                <w:p w14:paraId="67EF6026">
                  <w:pPr>
                    <w:jc w:val="center"/>
                    <w:rPr>
                      <w:u w:val="none"/>
                    </w:rPr>
                  </w:pPr>
                </w:p>
              </w:tc>
              <w:tc>
                <w:tcPr>
                  <w:tcW w:w="153" w:type="pct"/>
                  <w:vMerge w:val="continue"/>
                  <w:noWrap w:val="0"/>
                  <w:vAlign w:val="top"/>
                </w:tcPr>
                <w:p w14:paraId="639C76CB">
                  <w:pPr>
                    <w:jc w:val="center"/>
                    <w:rPr>
                      <w:u w:val="none"/>
                    </w:rPr>
                  </w:pPr>
                </w:p>
              </w:tc>
              <w:tc>
                <w:tcPr>
                  <w:tcW w:w="0" w:type="auto"/>
                  <w:noWrap w:val="0"/>
                  <w:vAlign w:val="center"/>
                </w:tcPr>
                <w:p w14:paraId="1A0B0A70">
                  <w:pPr>
                    <w:jc w:val="center"/>
                    <w:rPr>
                      <w:kern w:val="2"/>
                      <w:sz w:val="21"/>
                      <w:szCs w:val="24"/>
                      <w:u w:val="none"/>
                      <w:lang w:val="en-US" w:eastAsia="zh-CN" w:bidi="ar-SA"/>
                    </w:rPr>
                  </w:pPr>
                  <w:r>
                    <w:rPr>
                      <w:u w:val="none"/>
                    </w:rPr>
                    <w:t>北</w:t>
                  </w:r>
                </w:p>
              </w:tc>
              <w:tc>
                <w:tcPr>
                  <w:tcW w:w="232" w:type="pct"/>
                  <w:noWrap w:val="0"/>
                  <w:vAlign w:val="center"/>
                </w:tcPr>
                <w:p w14:paraId="439B22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40</w:t>
                  </w:r>
                </w:p>
              </w:tc>
              <w:tc>
                <w:tcPr>
                  <w:tcW w:w="1003" w:type="dxa"/>
                  <w:noWrap w:val="0"/>
                  <w:vAlign w:val="center"/>
                </w:tcPr>
                <w:p w14:paraId="4F940B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7" w:type="pct"/>
                  <w:vMerge w:val="continue"/>
                  <w:noWrap w:val="0"/>
                  <w:vAlign w:val="top"/>
                </w:tcPr>
                <w:p w14:paraId="54CFA317">
                  <w:pPr>
                    <w:jc w:val="center"/>
                    <w:rPr>
                      <w:u w:val="none"/>
                    </w:rPr>
                  </w:pPr>
                </w:p>
              </w:tc>
              <w:tc>
                <w:tcPr>
                  <w:tcW w:w="0" w:type="auto"/>
                  <w:noWrap w:val="0"/>
                  <w:vAlign w:val="center"/>
                </w:tcPr>
                <w:p w14:paraId="71637B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8F75D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43.0 </w:t>
                  </w:r>
                </w:p>
              </w:tc>
              <w:tc>
                <w:tcPr>
                  <w:tcW w:w="0" w:type="auto"/>
                  <w:noWrap w:val="0"/>
                  <w:vAlign w:val="center"/>
                </w:tcPr>
                <w:p w14:paraId="24DD8E45">
                  <w:pPr>
                    <w:jc w:val="center"/>
                    <w:rPr>
                      <w:kern w:val="2"/>
                      <w:sz w:val="21"/>
                      <w:szCs w:val="24"/>
                      <w:u w:val="none"/>
                      <w:lang w:val="en-US" w:eastAsia="zh-CN" w:bidi="ar-SA"/>
                    </w:rPr>
                  </w:pPr>
                  <w:r>
                    <w:rPr>
                      <w:u w:val="none"/>
                    </w:rPr>
                    <w:t>1m</w:t>
                  </w:r>
                </w:p>
              </w:tc>
            </w:tr>
            <w:tr w14:paraId="17BDA36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noWrap w:val="0"/>
                  <w:vAlign w:val="center"/>
                </w:tcPr>
                <w:p w14:paraId="0E61C458">
                  <w:pPr>
                    <w:jc w:val="center"/>
                    <w:rPr>
                      <w:rFonts w:hint="default"/>
                      <w:kern w:val="2"/>
                      <w:sz w:val="21"/>
                      <w:szCs w:val="24"/>
                      <w:u w:val="none"/>
                      <w:lang w:val="en-US" w:eastAsia="zh-CN" w:bidi="ar-SA"/>
                    </w:rPr>
                  </w:pPr>
                  <w:r>
                    <w:rPr>
                      <w:rFonts w:hint="eastAsia"/>
                      <w:kern w:val="2"/>
                      <w:sz w:val="21"/>
                      <w:szCs w:val="24"/>
                      <w:u w:val="none"/>
                      <w:lang w:val="en-US" w:eastAsia="zh-CN" w:bidi="ar-SA"/>
                    </w:rPr>
                    <w:t>11</w:t>
                  </w:r>
                </w:p>
              </w:tc>
              <w:tc>
                <w:tcPr>
                  <w:tcW w:w="264" w:type="pct"/>
                  <w:vMerge w:val="continue"/>
                  <w:noWrap w:val="0"/>
                  <w:vAlign w:val="center"/>
                </w:tcPr>
                <w:p w14:paraId="6B845AE6">
                  <w:pPr>
                    <w:jc w:val="center"/>
                    <w:rPr>
                      <w:kern w:val="2"/>
                      <w:sz w:val="21"/>
                      <w:szCs w:val="24"/>
                      <w:u w:val="none"/>
                      <w:lang w:val="en-US" w:eastAsia="zh-CN" w:bidi="ar-SA"/>
                    </w:rPr>
                  </w:pPr>
                </w:p>
              </w:tc>
              <w:tc>
                <w:tcPr>
                  <w:tcW w:w="282" w:type="pct"/>
                  <w:vMerge w:val="restart"/>
                  <w:noWrap w:val="0"/>
                  <w:vAlign w:val="center"/>
                </w:tcPr>
                <w:p w14:paraId="6F9FC85B">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铝箔立式分切机</w:t>
                  </w:r>
                </w:p>
              </w:tc>
              <w:tc>
                <w:tcPr>
                  <w:tcW w:w="597" w:type="pct"/>
                  <w:vMerge w:val="restart"/>
                  <w:noWrap w:val="0"/>
                  <w:vAlign w:val="center"/>
                </w:tcPr>
                <w:p w14:paraId="42E2E65C">
                  <w:pPr>
                    <w:jc w:val="center"/>
                    <w:rPr>
                      <w:kern w:val="2"/>
                      <w:sz w:val="21"/>
                      <w:szCs w:val="24"/>
                      <w:u w:val="none"/>
                      <w:lang w:val="en-US" w:eastAsia="zh-CN" w:bidi="ar-SA"/>
                    </w:rPr>
                  </w:pPr>
                  <w:r>
                    <w:rPr>
                      <w:rFonts w:hint="eastAsia"/>
                      <w:u w:val="none"/>
                      <w:lang w:val="en-US" w:eastAsia="zh-CN"/>
                    </w:rPr>
                    <w:t>95</w:t>
                  </w:r>
                  <w:r>
                    <w:rPr>
                      <w:u w:val="none"/>
                    </w:rPr>
                    <w:t>/1</w:t>
                  </w:r>
                </w:p>
              </w:tc>
              <w:tc>
                <w:tcPr>
                  <w:tcW w:w="265" w:type="pct"/>
                  <w:vMerge w:val="continue"/>
                  <w:noWrap w:val="0"/>
                  <w:vAlign w:val="center"/>
                </w:tcPr>
                <w:p w14:paraId="32BE3F18">
                  <w:pPr>
                    <w:jc w:val="center"/>
                    <w:rPr>
                      <w:kern w:val="2"/>
                      <w:sz w:val="21"/>
                      <w:szCs w:val="24"/>
                      <w:u w:val="none"/>
                      <w:lang w:val="en-US" w:eastAsia="zh-CN" w:bidi="ar-SA"/>
                    </w:rPr>
                  </w:pPr>
                </w:p>
              </w:tc>
              <w:tc>
                <w:tcPr>
                  <w:tcW w:w="179" w:type="pct"/>
                  <w:vMerge w:val="restart"/>
                  <w:noWrap w:val="0"/>
                  <w:vAlign w:val="center"/>
                </w:tcPr>
                <w:p w14:paraId="7FE8A855">
                  <w:pPr>
                    <w:jc w:val="center"/>
                    <w:rPr>
                      <w:rFonts w:hint="default"/>
                      <w:kern w:val="2"/>
                      <w:sz w:val="21"/>
                      <w:szCs w:val="24"/>
                      <w:u w:val="none"/>
                      <w:lang w:val="en-US" w:eastAsia="zh-CN" w:bidi="ar-SA"/>
                    </w:rPr>
                  </w:pPr>
                  <w:r>
                    <w:rPr>
                      <w:rFonts w:hint="eastAsia"/>
                      <w:kern w:val="2"/>
                      <w:sz w:val="21"/>
                      <w:szCs w:val="24"/>
                      <w:u w:val="none"/>
                      <w:lang w:val="en-US" w:eastAsia="zh-CN" w:bidi="ar-SA"/>
                    </w:rPr>
                    <w:t>5</w:t>
                  </w:r>
                </w:p>
              </w:tc>
              <w:tc>
                <w:tcPr>
                  <w:tcW w:w="243" w:type="pct"/>
                  <w:vMerge w:val="restart"/>
                  <w:noWrap w:val="0"/>
                  <w:vAlign w:val="center"/>
                </w:tcPr>
                <w:p w14:paraId="149BA26A">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0</w:t>
                  </w:r>
                </w:p>
              </w:tc>
              <w:tc>
                <w:tcPr>
                  <w:tcW w:w="257" w:type="dxa"/>
                  <w:vMerge w:val="restart"/>
                  <w:noWrap w:val="0"/>
                  <w:vAlign w:val="center"/>
                </w:tcPr>
                <w:p w14:paraId="016AA5AD">
                  <w:pPr>
                    <w:jc w:val="center"/>
                    <w:rPr>
                      <w:rFonts w:hint="eastAsia" w:eastAsia="宋体"/>
                      <w:kern w:val="2"/>
                      <w:sz w:val="21"/>
                      <w:szCs w:val="24"/>
                      <w:u w:val="none"/>
                      <w:lang w:val="en-US" w:eastAsia="zh-CN" w:bidi="ar-SA"/>
                    </w:rPr>
                  </w:pPr>
                  <w:r>
                    <w:rPr>
                      <w:rFonts w:hint="eastAsia"/>
                      <w:u w:val="none"/>
                      <w:lang w:val="en-US" w:eastAsia="zh-CN"/>
                    </w:rPr>
                    <w:t>1</w:t>
                  </w:r>
                </w:p>
              </w:tc>
              <w:tc>
                <w:tcPr>
                  <w:tcW w:w="0" w:type="auto"/>
                  <w:noWrap w:val="0"/>
                  <w:vAlign w:val="center"/>
                </w:tcPr>
                <w:p w14:paraId="2B741CDF">
                  <w:pPr>
                    <w:jc w:val="center"/>
                    <w:rPr>
                      <w:kern w:val="2"/>
                      <w:sz w:val="21"/>
                      <w:szCs w:val="24"/>
                      <w:u w:val="none"/>
                      <w:lang w:val="en-US" w:eastAsia="zh-CN" w:bidi="ar-SA"/>
                    </w:rPr>
                  </w:pPr>
                  <w:r>
                    <w:rPr>
                      <w:u w:val="none"/>
                    </w:rPr>
                    <w:t>东</w:t>
                  </w:r>
                </w:p>
              </w:tc>
              <w:tc>
                <w:tcPr>
                  <w:tcW w:w="232" w:type="pct"/>
                  <w:noWrap w:val="0"/>
                  <w:vAlign w:val="center"/>
                </w:tcPr>
                <w:p w14:paraId="06D1DBED">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36</w:t>
                  </w:r>
                </w:p>
              </w:tc>
              <w:tc>
                <w:tcPr>
                  <w:tcW w:w="1003" w:type="dxa"/>
                  <w:noWrap w:val="0"/>
                  <w:vAlign w:val="center"/>
                </w:tcPr>
                <w:p w14:paraId="3D6B9B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63.9 </w:t>
                  </w:r>
                </w:p>
              </w:tc>
              <w:tc>
                <w:tcPr>
                  <w:tcW w:w="367" w:type="pct"/>
                  <w:vMerge w:val="continue"/>
                  <w:noWrap w:val="0"/>
                  <w:vAlign w:val="center"/>
                </w:tcPr>
                <w:p w14:paraId="40B6090A">
                  <w:pPr>
                    <w:jc w:val="center"/>
                    <w:rPr>
                      <w:kern w:val="2"/>
                      <w:sz w:val="21"/>
                      <w:szCs w:val="24"/>
                      <w:u w:val="none"/>
                      <w:lang w:val="en-US" w:eastAsia="zh-CN" w:bidi="ar-SA"/>
                    </w:rPr>
                  </w:pPr>
                </w:p>
              </w:tc>
              <w:tc>
                <w:tcPr>
                  <w:tcW w:w="0" w:type="auto"/>
                  <w:noWrap w:val="0"/>
                  <w:vAlign w:val="center"/>
                </w:tcPr>
                <w:p w14:paraId="2F548CF9">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56168DEA">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48.9 </w:t>
                  </w:r>
                </w:p>
              </w:tc>
              <w:tc>
                <w:tcPr>
                  <w:tcW w:w="0" w:type="auto"/>
                  <w:noWrap w:val="0"/>
                  <w:vAlign w:val="center"/>
                </w:tcPr>
                <w:p w14:paraId="28F745BA">
                  <w:pPr>
                    <w:jc w:val="center"/>
                    <w:rPr>
                      <w:kern w:val="2"/>
                      <w:sz w:val="21"/>
                      <w:szCs w:val="24"/>
                      <w:u w:val="none"/>
                      <w:lang w:val="en-US" w:eastAsia="zh-CN" w:bidi="ar-SA"/>
                    </w:rPr>
                  </w:pPr>
                  <w:r>
                    <w:rPr>
                      <w:u w:val="none"/>
                    </w:rPr>
                    <w:t>1m</w:t>
                  </w:r>
                </w:p>
              </w:tc>
            </w:tr>
            <w:tr w14:paraId="2DD12B3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61F64FE0">
                  <w:pPr>
                    <w:jc w:val="center"/>
                    <w:rPr>
                      <w:u w:val="none"/>
                    </w:rPr>
                  </w:pPr>
                </w:p>
              </w:tc>
              <w:tc>
                <w:tcPr>
                  <w:tcW w:w="264" w:type="pct"/>
                  <w:vMerge w:val="continue"/>
                  <w:noWrap w:val="0"/>
                  <w:vAlign w:val="top"/>
                </w:tcPr>
                <w:p w14:paraId="5AF949E9">
                  <w:pPr>
                    <w:jc w:val="center"/>
                    <w:rPr>
                      <w:u w:val="none"/>
                    </w:rPr>
                  </w:pPr>
                </w:p>
              </w:tc>
              <w:tc>
                <w:tcPr>
                  <w:tcW w:w="282" w:type="pct"/>
                  <w:vMerge w:val="continue"/>
                  <w:noWrap w:val="0"/>
                  <w:vAlign w:val="top"/>
                </w:tcPr>
                <w:p w14:paraId="0ED14FD4">
                  <w:pPr>
                    <w:jc w:val="center"/>
                    <w:rPr>
                      <w:u w:val="none"/>
                    </w:rPr>
                  </w:pPr>
                </w:p>
              </w:tc>
              <w:tc>
                <w:tcPr>
                  <w:tcW w:w="597" w:type="pct"/>
                  <w:vMerge w:val="continue"/>
                  <w:noWrap w:val="0"/>
                  <w:vAlign w:val="top"/>
                </w:tcPr>
                <w:p w14:paraId="1CDF616C">
                  <w:pPr>
                    <w:jc w:val="center"/>
                    <w:rPr>
                      <w:u w:val="none"/>
                    </w:rPr>
                  </w:pPr>
                </w:p>
              </w:tc>
              <w:tc>
                <w:tcPr>
                  <w:tcW w:w="265" w:type="pct"/>
                  <w:vMerge w:val="continue"/>
                  <w:noWrap w:val="0"/>
                  <w:vAlign w:val="top"/>
                </w:tcPr>
                <w:p w14:paraId="3403A93D">
                  <w:pPr>
                    <w:jc w:val="center"/>
                    <w:rPr>
                      <w:u w:val="none"/>
                    </w:rPr>
                  </w:pPr>
                </w:p>
              </w:tc>
              <w:tc>
                <w:tcPr>
                  <w:tcW w:w="179" w:type="pct"/>
                  <w:vMerge w:val="continue"/>
                  <w:noWrap w:val="0"/>
                  <w:vAlign w:val="top"/>
                </w:tcPr>
                <w:p w14:paraId="25BF6254">
                  <w:pPr>
                    <w:jc w:val="center"/>
                    <w:rPr>
                      <w:u w:val="none"/>
                    </w:rPr>
                  </w:pPr>
                </w:p>
              </w:tc>
              <w:tc>
                <w:tcPr>
                  <w:tcW w:w="243" w:type="pct"/>
                  <w:vMerge w:val="continue"/>
                  <w:noWrap w:val="0"/>
                  <w:vAlign w:val="top"/>
                </w:tcPr>
                <w:p w14:paraId="13D20AD5">
                  <w:pPr>
                    <w:jc w:val="center"/>
                    <w:rPr>
                      <w:u w:val="none"/>
                    </w:rPr>
                  </w:pPr>
                </w:p>
              </w:tc>
              <w:tc>
                <w:tcPr>
                  <w:tcW w:w="153" w:type="pct"/>
                  <w:vMerge w:val="continue"/>
                  <w:noWrap w:val="0"/>
                  <w:vAlign w:val="top"/>
                </w:tcPr>
                <w:p w14:paraId="2295F6F8">
                  <w:pPr>
                    <w:jc w:val="center"/>
                    <w:rPr>
                      <w:u w:val="none"/>
                    </w:rPr>
                  </w:pPr>
                </w:p>
              </w:tc>
              <w:tc>
                <w:tcPr>
                  <w:tcW w:w="0" w:type="auto"/>
                  <w:noWrap w:val="0"/>
                  <w:vAlign w:val="center"/>
                </w:tcPr>
                <w:p w14:paraId="4F093D95">
                  <w:pPr>
                    <w:jc w:val="center"/>
                    <w:rPr>
                      <w:kern w:val="2"/>
                      <w:sz w:val="21"/>
                      <w:szCs w:val="24"/>
                      <w:u w:val="none"/>
                      <w:lang w:val="en-US" w:eastAsia="zh-CN" w:bidi="ar-SA"/>
                    </w:rPr>
                  </w:pPr>
                  <w:r>
                    <w:rPr>
                      <w:u w:val="none"/>
                    </w:rPr>
                    <w:t>南</w:t>
                  </w:r>
                </w:p>
              </w:tc>
              <w:tc>
                <w:tcPr>
                  <w:tcW w:w="232" w:type="pct"/>
                  <w:noWrap w:val="0"/>
                  <w:vAlign w:val="center"/>
                </w:tcPr>
                <w:p w14:paraId="1F9B0233">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39</w:t>
                  </w:r>
                </w:p>
              </w:tc>
              <w:tc>
                <w:tcPr>
                  <w:tcW w:w="1003" w:type="dxa"/>
                  <w:noWrap w:val="0"/>
                  <w:vAlign w:val="center"/>
                </w:tcPr>
                <w:p w14:paraId="3098ED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63.2 </w:t>
                  </w:r>
                </w:p>
              </w:tc>
              <w:tc>
                <w:tcPr>
                  <w:tcW w:w="367" w:type="pct"/>
                  <w:vMerge w:val="continue"/>
                  <w:noWrap w:val="0"/>
                  <w:vAlign w:val="top"/>
                </w:tcPr>
                <w:p w14:paraId="0F11283B">
                  <w:pPr>
                    <w:jc w:val="center"/>
                    <w:rPr>
                      <w:u w:val="none"/>
                    </w:rPr>
                  </w:pPr>
                </w:p>
              </w:tc>
              <w:tc>
                <w:tcPr>
                  <w:tcW w:w="0" w:type="auto"/>
                  <w:noWrap w:val="0"/>
                  <w:vAlign w:val="center"/>
                </w:tcPr>
                <w:p w14:paraId="36969D42">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0E6F923A">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48.2 </w:t>
                  </w:r>
                </w:p>
              </w:tc>
              <w:tc>
                <w:tcPr>
                  <w:tcW w:w="0" w:type="auto"/>
                  <w:noWrap w:val="0"/>
                  <w:vAlign w:val="center"/>
                </w:tcPr>
                <w:p w14:paraId="3329E3D0">
                  <w:pPr>
                    <w:jc w:val="center"/>
                    <w:rPr>
                      <w:kern w:val="2"/>
                      <w:sz w:val="21"/>
                      <w:szCs w:val="24"/>
                      <w:u w:val="none"/>
                      <w:lang w:val="en-US" w:eastAsia="zh-CN" w:bidi="ar-SA"/>
                    </w:rPr>
                  </w:pPr>
                  <w:r>
                    <w:rPr>
                      <w:u w:val="none"/>
                    </w:rPr>
                    <w:t>1m</w:t>
                  </w:r>
                </w:p>
              </w:tc>
            </w:tr>
            <w:tr w14:paraId="0B9A12F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033E4B54">
                  <w:pPr>
                    <w:jc w:val="center"/>
                    <w:rPr>
                      <w:u w:val="none"/>
                    </w:rPr>
                  </w:pPr>
                </w:p>
              </w:tc>
              <w:tc>
                <w:tcPr>
                  <w:tcW w:w="264" w:type="pct"/>
                  <w:vMerge w:val="continue"/>
                  <w:noWrap w:val="0"/>
                  <w:vAlign w:val="top"/>
                </w:tcPr>
                <w:p w14:paraId="67E5FA38">
                  <w:pPr>
                    <w:jc w:val="center"/>
                    <w:rPr>
                      <w:u w:val="none"/>
                    </w:rPr>
                  </w:pPr>
                </w:p>
              </w:tc>
              <w:tc>
                <w:tcPr>
                  <w:tcW w:w="282" w:type="pct"/>
                  <w:vMerge w:val="continue"/>
                  <w:noWrap w:val="0"/>
                  <w:vAlign w:val="top"/>
                </w:tcPr>
                <w:p w14:paraId="432EEA58">
                  <w:pPr>
                    <w:jc w:val="center"/>
                    <w:rPr>
                      <w:u w:val="none"/>
                    </w:rPr>
                  </w:pPr>
                </w:p>
              </w:tc>
              <w:tc>
                <w:tcPr>
                  <w:tcW w:w="597" w:type="pct"/>
                  <w:vMerge w:val="continue"/>
                  <w:noWrap w:val="0"/>
                  <w:vAlign w:val="top"/>
                </w:tcPr>
                <w:p w14:paraId="5D5B9752">
                  <w:pPr>
                    <w:jc w:val="center"/>
                    <w:rPr>
                      <w:u w:val="none"/>
                    </w:rPr>
                  </w:pPr>
                </w:p>
              </w:tc>
              <w:tc>
                <w:tcPr>
                  <w:tcW w:w="265" w:type="pct"/>
                  <w:vMerge w:val="continue"/>
                  <w:noWrap w:val="0"/>
                  <w:vAlign w:val="top"/>
                </w:tcPr>
                <w:p w14:paraId="0D76907B">
                  <w:pPr>
                    <w:jc w:val="center"/>
                    <w:rPr>
                      <w:u w:val="none"/>
                    </w:rPr>
                  </w:pPr>
                </w:p>
              </w:tc>
              <w:tc>
                <w:tcPr>
                  <w:tcW w:w="179" w:type="pct"/>
                  <w:vMerge w:val="continue"/>
                  <w:noWrap w:val="0"/>
                  <w:vAlign w:val="top"/>
                </w:tcPr>
                <w:p w14:paraId="31E05D5D">
                  <w:pPr>
                    <w:jc w:val="center"/>
                    <w:rPr>
                      <w:u w:val="none"/>
                    </w:rPr>
                  </w:pPr>
                </w:p>
              </w:tc>
              <w:tc>
                <w:tcPr>
                  <w:tcW w:w="243" w:type="pct"/>
                  <w:vMerge w:val="continue"/>
                  <w:noWrap w:val="0"/>
                  <w:vAlign w:val="top"/>
                </w:tcPr>
                <w:p w14:paraId="5E50E7EF">
                  <w:pPr>
                    <w:jc w:val="center"/>
                    <w:rPr>
                      <w:u w:val="none"/>
                    </w:rPr>
                  </w:pPr>
                </w:p>
              </w:tc>
              <w:tc>
                <w:tcPr>
                  <w:tcW w:w="153" w:type="pct"/>
                  <w:vMerge w:val="continue"/>
                  <w:noWrap w:val="0"/>
                  <w:vAlign w:val="top"/>
                </w:tcPr>
                <w:p w14:paraId="7FC31396">
                  <w:pPr>
                    <w:jc w:val="center"/>
                    <w:rPr>
                      <w:u w:val="none"/>
                    </w:rPr>
                  </w:pPr>
                </w:p>
              </w:tc>
              <w:tc>
                <w:tcPr>
                  <w:tcW w:w="0" w:type="auto"/>
                  <w:noWrap w:val="0"/>
                  <w:vAlign w:val="center"/>
                </w:tcPr>
                <w:p w14:paraId="6C51D20A">
                  <w:pPr>
                    <w:jc w:val="center"/>
                    <w:rPr>
                      <w:kern w:val="2"/>
                      <w:sz w:val="21"/>
                      <w:szCs w:val="24"/>
                      <w:u w:val="none"/>
                      <w:lang w:val="en-US" w:eastAsia="zh-CN" w:bidi="ar-SA"/>
                    </w:rPr>
                  </w:pPr>
                  <w:r>
                    <w:rPr>
                      <w:u w:val="none"/>
                    </w:rPr>
                    <w:t>西</w:t>
                  </w:r>
                </w:p>
              </w:tc>
              <w:tc>
                <w:tcPr>
                  <w:tcW w:w="232" w:type="pct"/>
                  <w:noWrap w:val="0"/>
                  <w:vAlign w:val="center"/>
                </w:tcPr>
                <w:p w14:paraId="5D05AEB6">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46</w:t>
                  </w:r>
                </w:p>
              </w:tc>
              <w:tc>
                <w:tcPr>
                  <w:tcW w:w="1003" w:type="dxa"/>
                  <w:noWrap w:val="0"/>
                  <w:vAlign w:val="center"/>
                </w:tcPr>
                <w:p w14:paraId="784F18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61.7 </w:t>
                  </w:r>
                </w:p>
              </w:tc>
              <w:tc>
                <w:tcPr>
                  <w:tcW w:w="367" w:type="pct"/>
                  <w:vMerge w:val="continue"/>
                  <w:noWrap w:val="0"/>
                  <w:vAlign w:val="top"/>
                </w:tcPr>
                <w:p w14:paraId="013E7D14">
                  <w:pPr>
                    <w:jc w:val="center"/>
                    <w:rPr>
                      <w:u w:val="none"/>
                    </w:rPr>
                  </w:pPr>
                </w:p>
              </w:tc>
              <w:tc>
                <w:tcPr>
                  <w:tcW w:w="0" w:type="auto"/>
                  <w:noWrap w:val="0"/>
                  <w:vAlign w:val="center"/>
                </w:tcPr>
                <w:p w14:paraId="61983905">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2088282D">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46.7 </w:t>
                  </w:r>
                </w:p>
              </w:tc>
              <w:tc>
                <w:tcPr>
                  <w:tcW w:w="0" w:type="auto"/>
                  <w:noWrap w:val="0"/>
                  <w:vAlign w:val="center"/>
                </w:tcPr>
                <w:p w14:paraId="31B30404">
                  <w:pPr>
                    <w:jc w:val="center"/>
                    <w:rPr>
                      <w:kern w:val="2"/>
                      <w:sz w:val="21"/>
                      <w:szCs w:val="24"/>
                      <w:u w:val="none"/>
                      <w:lang w:val="en-US" w:eastAsia="zh-CN" w:bidi="ar-SA"/>
                    </w:rPr>
                  </w:pPr>
                  <w:r>
                    <w:rPr>
                      <w:u w:val="none"/>
                    </w:rPr>
                    <w:t>1m</w:t>
                  </w:r>
                </w:p>
              </w:tc>
            </w:tr>
            <w:tr w14:paraId="5AB8F9A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4C1527DD">
                  <w:pPr>
                    <w:jc w:val="center"/>
                    <w:rPr>
                      <w:u w:val="none"/>
                    </w:rPr>
                  </w:pPr>
                </w:p>
              </w:tc>
              <w:tc>
                <w:tcPr>
                  <w:tcW w:w="264" w:type="pct"/>
                  <w:vMerge w:val="continue"/>
                  <w:noWrap w:val="0"/>
                  <w:vAlign w:val="top"/>
                </w:tcPr>
                <w:p w14:paraId="0BA43593">
                  <w:pPr>
                    <w:jc w:val="center"/>
                    <w:rPr>
                      <w:u w:val="none"/>
                    </w:rPr>
                  </w:pPr>
                </w:p>
              </w:tc>
              <w:tc>
                <w:tcPr>
                  <w:tcW w:w="282" w:type="pct"/>
                  <w:vMerge w:val="continue"/>
                  <w:noWrap w:val="0"/>
                  <w:vAlign w:val="top"/>
                </w:tcPr>
                <w:p w14:paraId="49D176CB">
                  <w:pPr>
                    <w:jc w:val="center"/>
                    <w:rPr>
                      <w:u w:val="none"/>
                    </w:rPr>
                  </w:pPr>
                </w:p>
              </w:tc>
              <w:tc>
                <w:tcPr>
                  <w:tcW w:w="597" w:type="pct"/>
                  <w:vMerge w:val="continue"/>
                  <w:noWrap w:val="0"/>
                  <w:vAlign w:val="top"/>
                </w:tcPr>
                <w:p w14:paraId="5470B01F">
                  <w:pPr>
                    <w:jc w:val="center"/>
                    <w:rPr>
                      <w:u w:val="none"/>
                    </w:rPr>
                  </w:pPr>
                </w:p>
              </w:tc>
              <w:tc>
                <w:tcPr>
                  <w:tcW w:w="265" w:type="pct"/>
                  <w:vMerge w:val="continue"/>
                  <w:noWrap w:val="0"/>
                  <w:vAlign w:val="top"/>
                </w:tcPr>
                <w:p w14:paraId="44A9099C">
                  <w:pPr>
                    <w:jc w:val="center"/>
                    <w:rPr>
                      <w:u w:val="none"/>
                    </w:rPr>
                  </w:pPr>
                </w:p>
              </w:tc>
              <w:tc>
                <w:tcPr>
                  <w:tcW w:w="179" w:type="pct"/>
                  <w:vMerge w:val="continue"/>
                  <w:noWrap w:val="0"/>
                  <w:vAlign w:val="top"/>
                </w:tcPr>
                <w:p w14:paraId="3175C50C">
                  <w:pPr>
                    <w:jc w:val="center"/>
                    <w:rPr>
                      <w:u w:val="none"/>
                    </w:rPr>
                  </w:pPr>
                </w:p>
              </w:tc>
              <w:tc>
                <w:tcPr>
                  <w:tcW w:w="243" w:type="pct"/>
                  <w:vMerge w:val="continue"/>
                  <w:noWrap w:val="0"/>
                  <w:vAlign w:val="top"/>
                </w:tcPr>
                <w:p w14:paraId="37F3D7D6">
                  <w:pPr>
                    <w:jc w:val="center"/>
                    <w:rPr>
                      <w:u w:val="none"/>
                    </w:rPr>
                  </w:pPr>
                </w:p>
              </w:tc>
              <w:tc>
                <w:tcPr>
                  <w:tcW w:w="153" w:type="pct"/>
                  <w:vMerge w:val="continue"/>
                  <w:noWrap w:val="0"/>
                  <w:vAlign w:val="top"/>
                </w:tcPr>
                <w:p w14:paraId="522A42DF">
                  <w:pPr>
                    <w:jc w:val="center"/>
                    <w:rPr>
                      <w:u w:val="none"/>
                    </w:rPr>
                  </w:pPr>
                </w:p>
              </w:tc>
              <w:tc>
                <w:tcPr>
                  <w:tcW w:w="0" w:type="auto"/>
                  <w:noWrap w:val="0"/>
                  <w:vAlign w:val="center"/>
                </w:tcPr>
                <w:p w14:paraId="3C25F437">
                  <w:pPr>
                    <w:jc w:val="center"/>
                    <w:rPr>
                      <w:kern w:val="2"/>
                      <w:sz w:val="21"/>
                      <w:szCs w:val="24"/>
                      <w:u w:val="none"/>
                      <w:lang w:val="en-US" w:eastAsia="zh-CN" w:bidi="ar-SA"/>
                    </w:rPr>
                  </w:pPr>
                  <w:r>
                    <w:rPr>
                      <w:u w:val="none"/>
                    </w:rPr>
                    <w:t>北</w:t>
                  </w:r>
                </w:p>
              </w:tc>
              <w:tc>
                <w:tcPr>
                  <w:tcW w:w="232" w:type="pct"/>
                  <w:noWrap w:val="0"/>
                  <w:vAlign w:val="center"/>
                </w:tcPr>
                <w:p w14:paraId="7BDCFAEB">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39</w:t>
                  </w:r>
                </w:p>
              </w:tc>
              <w:tc>
                <w:tcPr>
                  <w:tcW w:w="1003" w:type="dxa"/>
                  <w:noWrap w:val="0"/>
                  <w:vAlign w:val="center"/>
                </w:tcPr>
                <w:p w14:paraId="4544C6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63.2 </w:t>
                  </w:r>
                </w:p>
              </w:tc>
              <w:tc>
                <w:tcPr>
                  <w:tcW w:w="367" w:type="pct"/>
                  <w:vMerge w:val="continue"/>
                  <w:noWrap w:val="0"/>
                  <w:vAlign w:val="top"/>
                </w:tcPr>
                <w:p w14:paraId="5CC1CBD0">
                  <w:pPr>
                    <w:jc w:val="center"/>
                    <w:rPr>
                      <w:u w:val="none"/>
                    </w:rPr>
                  </w:pPr>
                </w:p>
              </w:tc>
              <w:tc>
                <w:tcPr>
                  <w:tcW w:w="0" w:type="auto"/>
                  <w:noWrap w:val="0"/>
                  <w:vAlign w:val="center"/>
                </w:tcPr>
                <w:p w14:paraId="5255C274">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5D3FA8F1">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48.2 </w:t>
                  </w:r>
                </w:p>
              </w:tc>
              <w:tc>
                <w:tcPr>
                  <w:tcW w:w="0" w:type="auto"/>
                  <w:noWrap w:val="0"/>
                  <w:vAlign w:val="center"/>
                </w:tcPr>
                <w:p w14:paraId="02E3926B">
                  <w:pPr>
                    <w:jc w:val="center"/>
                    <w:rPr>
                      <w:kern w:val="2"/>
                      <w:sz w:val="21"/>
                      <w:szCs w:val="24"/>
                      <w:u w:val="none"/>
                      <w:lang w:val="en-US" w:eastAsia="zh-CN" w:bidi="ar-SA"/>
                    </w:rPr>
                  </w:pPr>
                  <w:r>
                    <w:rPr>
                      <w:u w:val="none"/>
                    </w:rPr>
                    <w:t>1m</w:t>
                  </w:r>
                </w:p>
              </w:tc>
            </w:tr>
            <w:tr w14:paraId="3723173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noWrap w:val="0"/>
                  <w:vAlign w:val="center"/>
                </w:tcPr>
                <w:p w14:paraId="70E76E01">
                  <w:pPr>
                    <w:jc w:val="center"/>
                    <w:rPr>
                      <w:rFonts w:hint="default" w:eastAsia="宋体"/>
                      <w:kern w:val="2"/>
                      <w:sz w:val="21"/>
                      <w:szCs w:val="24"/>
                      <w:u w:val="none"/>
                      <w:lang w:val="en-US" w:eastAsia="zh-CN" w:bidi="ar-SA"/>
                    </w:rPr>
                  </w:pPr>
                  <w:r>
                    <w:rPr>
                      <w:rFonts w:hint="eastAsia" w:eastAsia="宋体"/>
                      <w:kern w:val="2"/>
                      <w:sz w:val="21"/>
                      <w:szCs w:val="24"/>
                      <w:u w:val="none"/>
                      <w:lang w:val="en-US" w:eastAsia="zh-CN" w:bidi="ar-SA"/>
                    </w:rPr>
                    <w:t>12</w:t>
                  </w:r>
                </w:p>
              </w:tc>
              <w:tc>
                <w:tcPr>
                  <w:tcW w:w="264" w:type="pct"/>
                  <w:vMerge w:val="restart"/>
                  <w:noWrap w:val="0"/>
                  <w:vAlign w:val="center"/>
                </w:tcPr>
                <w:p w14:paraId="1AA218FB">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PE膜生产车间</w:t>
                  </w:r>
                </w:p>
              </w:tc>
              <w:tc>
                <w:tcPr>
                  <w:tcW w:w="282" w:type="pct"/>
                  <w:vMerge w:val="restart"/>
                  <w:noWrap w:val="0"/>
                  <w:vAlign w:val="center"/>
                </w:tcPr>
                <w:p w14:paraId="49F258E5">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吹膜机</w:t>
                  </w:r>
                </w:p>
              </w:tc>
              <w:tc>
                <w:tcPr>
                  <w:tcW w:w="597" w:type="pct"/>
                  <w:vMerge w:val="restart"/>
                  <w:noWrap w:val="0"/>
                  <w:vAlign w:val="center"/>
                </w:tcPr>
                <w:p w14:paraId="28F436E8">
                  <w:pPr>
                    <w:jc w:val="center"/>
                    <w:rPr>
                      <w:kern w:val="2"/>
                      <w:sz w:val="21"/>
                      <w:szCs w:val="24"/>
                      <w:u w:val="none"/>
                      <w:lang w:val="en-US" w:eastAsia="zh-CN" w:bidi="ar-SA"/>
                    </w:rPr>
                  </w:pPr>
                  <w:r>
                    <w:rPr>
                      <w:rFonts w:hint="eastAsia"/>
                      <w:u w:val="none"/>
                      <w:lang w:val="en-US" w:eastAsia="zh-CN"/>
                    </w:rPr>
                    <w:t>75</w:t>
                  </w:r>
                  <w:r>
                    <w:rPr>
                      <w:u w:val="none"/>
                    </w:rPr>
                    <w:t>/1</w:t>
                  </w:r>
                </w:p>
              </w:tc>
              <w:tc>
                <w:tcPr>
                  <w:tcW w:w="265" w:type="pct"/>
                  <w:vMerge w:val="continue"/>
                  <w:noWrap w:val="0"/>
                  <w:vAlign w:val="top"/>
                </w:tcPr>
                <w:p w14:paraId="56220F4F">
                  <w:pPr>
                    <w:jc w:val="center"/>
                    <w:rPr>
                      <w:u w:val="none"/>
                    </w:rPr>
                  </w:pPr>
                </w:p>
              </w:tc>
              <w:tc>
                <w:tcPr>
                  <w:tcW w:w="179" w:type="pct"/>
                  <w:vMerge w:val="restart"/>
                  <w:noWrap w:val="0"/>
                  <w:vAlign w:val="center"/>
                </w:tcPr>
                <w:p w14:paraId="405F8623">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19</w:t>
                  </w:r>
                </w:p>
              </w:tc>
              <w:tc>
                <w:tcPr>
                  <w:tcW w:w="243" w:type="pct"/>
                  <w:vMerge w:val="restart"/>
                  <w:noWrap w:val="0"/>
                  <w:vAlign w:val="center"/>
                </w:tcPr>
                <w:p w14:paraId="591D86C5">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-16</w:t>
                  </w:r>
                </w:p>
              </w:tc>
              <w:tc>
                <w:tcPr>
                  <w:tcW w:w="257" w:type="dxa"/>
                  <w:vMerge w:val="restart"/>
                  <w:noWrap w:val="0"/>
                  <w:vAlign w:val="center"/>
                </w:tcPr>
                <w:p w14:paraId="4F0A8F7A">
                  <w:pPr>
                    <w:jc w:val="center"/>
                    <w:rPr>
                      <w:rFonts w:hint="eastAsia" w:eastAsia="宋体"/>
                      <w:kern w:val="2"/>
                      <w:sz w:val="21"/>
                      <w:szCs w:val="24"/>
                      <w:u w:val="none"/>
                      <w:lang w:val="en-US" w:eastAsia="zh-CN" w:bidi="ar-SA"/>
                    </w:rPr>
                  </w:pPr>
                  <w:r>
                    <w:rPr>
                      <w:rFonts w:hint="eastAsia"/>
                      <w:u w:val="none"/>
                      <w:lang w:val="en-US" w:eastAsia="zh-CN"/>
                    </w:rPr>
                    <w:t>1</w:t>
                  </w:r>
                </w:p>
              </w:tc>
              <w:tc>
                <w:tcPr>
                  <w:tcW w:w="0" w:type="auto"/>
                  <w:noWrap w:val="0"/>
                  <w:vAlign w:val="center"/>
                </w:tcPr>
                <w:p w14:paraId="55D8FBA9">
                  <w:pPr>
                    <w:jc w:val="center"/>
                    <w:rPr>
                      <w:rFonts w:ascii="Times New Roman" w:hAnsi="Times New Roman" w:eastAsia="宋体" w:cs="Times New Roman"/>
                      <w:kern w:val="2"/>
                      <w:sz w:val="21"/>
                      <w:szCs w:val="24"/>
                      <w:u w:val="none"/>
                      <w:lang w:val="en-US" w:eastAsia="zh-CN" w:bidi="ar-SA"/>
                    </w:rPr>
                  </w:pPr>
                  <w:r>
                    <w:rPr>
                      <w:u w:val="none"/>
                    </w:rPr>
                    <w:t>东</w:t>
                  </w:r>
                </w:p>
              </w:tc>
              <w:tc>
                <w:tcPr>
                  <w:tcW w:w="232" w:type="pct"/>
                  <w:noWrap w:val="0"/>
                  <w:vAlign w:val="center"/>
                </w:tcPr>
                <w:p w14:paraId="3A68BF9D">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22</w:t>
                  </w:r>
                </w:p>
              </w:tc>
              <w:tc>
                <w:tcPr>
                  <w:tcW w:w="1003" w:type="dxa"/>
                  <w:noWrap w:val="0"/>
                  <w:vAlign w:val="center"/>
                </w:tcPr>
                <w:p w14:paraId="76F300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48.2 </w:t>
                  </w:r>
                </w:p>
              </w:tc>
              <w:tc>
                <w:tcPr>
                  <w:tcW w:w="367" w:type="pct"/>
                  <w:vMerge w:val="continue"/>
                  <w:noWrap w:val="0"/>
                  <w:vAlign w:val="top"/>
                </w:tcPr>
                <w:p w14:paraId="136E14B4">
                  <w:pPr>
                    <w:jc w:val="center"/>
                    <w:rPr>
                      <w:u w:val="none"/>
                    </w:rPr>
                  </w:pPr>
                </w:p>
              </w:tc>
              <w:tc>
                <w:tcPr>
                  <w:tcW w:w="0" w:type="auto"/>
                  <w:noWrap w:val="0"/>
                  <w:vAlign w:val="center"/>
                </w:tcPr>
                <w:p w14:paraId="61DDAC6A">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5A1C62CE">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33.2 </w:t>
                  </w:r>
                </w:p>
              </w:tc>
              <w:tc>
                <w:tcPr>
                  <w:tcW w:w="0" w:type="auto"/>
                  <w:noWrap w:val="0"/>
                  <w:vAlign w:val="center"/>
                </w:tcPr>
                <w:p w14:paraId="61F467EB">
                  <w:pPr>
                    <w:jc w:val="center"/>
                    <w:rPr>
                      <w:kern w:val="2"/>
                      <w:sz w:val="21"/>
                      <w:szCs w:val="24"/>
                      <w:u w:val="none"/>
                      <w:lang w:val="en-US" w:eastAsia="zh-CN" w:bidi="ar-SA"/>
                    </w:rPr>
                  </w:pPr>
                  <w:r>
                    <w:rPr>
                      <w:u w:val="none"/>
                    </w:rPr>
                    <w:t>1m</w:t>
                  </w:r>
                </w:p>
              </w:tc>
            </w:tr>
            <w:tr w14:paraId="5B1197C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794AE1AB">
                  <w:pPr>
                    <w:jc w:val="center"/>
                    <w:rPr>
                      <w:u w:val="none"/>
                    </w:rPr>
                  </w:pPr>
                </w:p>
              </w:tc>
              <w:tc>
                <w:tcPr>
                  <w:tcW w:w="264" w:type="pct"/>
                  <w:vMerge w:val="continue"/>
                  <w:noWrap w:val="0"/>
                  <w:vAlign w:val="top"/>
                </w:tcPr>
                <w:p w14:paraId="4D614F2B">
                  <w:pPr>
                    <w:jc w:val="center"/>
                    <w:rPr>
                      <w:u w:val="none"/>
                    </w:rPr>
                  </w:pPr>
                </w:p>
              </w:tc>
              <w:tc>
                <w:tcPr>
                  <w:tcW w:w="282" w:type="pct"/>
                  <w:vMerge w:val="continue"/>
                  <w:noWrap w:val="0"/>
                  <w:vAlign w:val="top"/>
                </w:tcPr>
                <w:p w14:paraId="3939D6E9">
                  <w:pPr>
                    <w:jc w:val="center"/>
                    <w:rPr>
                      <w:u w:val="none"/>
                    </w:rPr>
                  </w:pPr>
                </w:p>
              </w:tc>
              <w:tc>
                <w:tcPr>
                  <w:tcW w:w="597" w:type="pct"/>
                  <w:vMerge w:val="continue"/>
                  <w:noWrap w:val="0"/>
                  <w:vAlign w:val="top"/>
                </w:tcPr>
                <w:p w14:paraId="115D6E24">
                  <w:pPr>
                    <w:jc w:val="center"/>
                    <w:rPr>
                      <w:u w:val="none"/>
                    </w:rPr>
                  </w:pPr>
                </w:p>
              </w:tc>
              <w:tc>
                <w:tcPr>
                  <w:tcW w:w="265" w:type="pct"/>
                  <w:vMerge w:val="continue"/>
                  <w:noWrap w:val="0"/>
                  <w:vAlign w:val="top"/>
                </w:tcPr>
                <w:p w14:paraId="6C986BB5">
                  <w:pPr>
                    <w:jc w:val="center"/>
                    <w:rPr>
                      <w:u w:val="none"/>
                    </w:rPr>
                  </w:pPr>
                </w:p>
              </w:tc>
              <w:tc>
                <w:tcPr>
                  <w:tcW w:w="179" w:type="pct"/>
                  <w:vMerge w:val="continue"/>
                  <w:noWrap w:val="0"/>
                  <w:vAlign w:val="top"/>
                </w:tcPr>
                <w:p w14:paraId="1FC5A10B">
                  <w:pPr>
                    <w:jc w:val="center"/>
                    <w:rPr>
                      <w:u w:val="none"/>
                    </w:rPr>
                  </w:pPr>
                </w:p>
              </w:tc>
              <w:tc>
                <w:tcPr>
                  <w:tcW w:w="243" w:type="pct"/>
                  <w:vMerge w:val="continue"/>
                  <w:noWrap w:val="0"/>
                  <w:vAlign w:val="top"/>
                </w:tcPr>
                <w:p w14:paraId="3AABAE40">
                  <w:pPr>
                    <w:jc w:val="center"/>
                    <w:rPr>
                      <w:u w:val="none"/>
                    </w:rPr>
                  </w:pPr>
                </w:p>
              </w:tc>
              <w:tc>
                <w:tcPr>
                  <w:tcW w:w="153" w:type="pct"/>
                  <w:vMerge w:val="continue"/>
                  <w:noWrap w:val="0"/>
                  <w:vAlign w:val="top"/>
                </w:tcPr>
                <w:p w14:paraId="6FB8ADAC">
                  <w:pPr>
                    <w:jc w:val="center"/>
                    <w:rPr>
                      <w:u w:val="none"/>
                    </w:rPr>
                  </w:pPr>
                </w:p>
              </w:tc>
              <w:tc>
                <w:tcPr>
                  <w:tcW w:w="0" w:type="auto"/>
                  <w:noWrap w:val="0"/>
                  <w:vAlign w:val="center"/>
                </w:tcPr>
                <w:p w14:paraId="54EFCB86">
                  <w:pPr>
                    <w:jc w:val="center"/>
                    <w:rPr>
                      <w:rFonts w:ascii="Times New Roman" w:hAnsi="Times New Roman" w:eastAsia="宋体" w:cs="Times New Roman"/>
                      <w:kern w:val="2"/>
                      <w:sz w:val="21"/>
                      <w:szCs w:val="24"/>
                      <w:u w:val="none"/>
                      <w:lang w:val="en-US" w:eastAsia="zh-CN" w:bidi="ar-SA"/>
                    </w:rPr>
                  </w:pPr>
                  <w:r>
                    <w:rPr>
                      <w:u w:val="none"/>
                    </w:rPr>
                    <w:t>南</w:t>
                  </w:r>
                </w:p>
              </w:tc>
              <w:tc>
                <w:tcPr>
                  <w:tcW w:w="232" w:type="pct"/>
                  <w:noWrap w:val="0"/>
                  <w:vAlign w:val="center"/>
                </w:tcPr>
                <w:p w14:paraId="077E9699">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23</w:t>
                  </w:r>
                </w:p>
              </w:tc>
              <w:tc>
                <w:tcPr>
                  <w:tcW w:w="1003" w:type="dxa"/>
                  <w:noWrap w:val="0"/>
                  <w:vAlign w:val="center"/>
                </w:tcPr>
                <w:p w14:paraId="53B2DF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47.8 </w:t>
                  </w:r>
                </w:p>
              </w:tc>
              <w:tc>
                <w:tcPr>
                  <w:tcW w:w="367" w:type="pct"/>
                  <w:vMerge w:val="continue"/>
                  <w:noWrap w:val="0"/>
                  <w:vAlign w:val="top"/>
                </w:tcPr>
                <w:p w14:paraId="59F7DF02">
                  <w:pPr>
                    <w:jc w:val="center"/>
                    <w:rPr>
                      <w:u w:val="none"/>
                    </w:rPr>
                  </w:pPr>
                </w:p>
              </w:tc>
              <w:tc>
                <w:tcPr>
                  <w:tcW w:w="0" w:type="auto"/>
                  <w:noWrap w:val="0"/>
                  <w:vAlign w:val="center"/>
                </w:tcPr>
                <w:p w14:paraId="6269C032">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6832D95C">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32.8 </w:t>
                  </w:r>
                </w:p>
              </w:tc>
              <w:tc>
                <w:tcPr>
                  <w:tcW w:w="0" w:type="auto"/>
                  <w:noWrap w:val="0"/>
                  <w:vAlign w:val="center"/>
                </w:tcPr>
                <w:p w14:paraId="3C99B65E">
                  <w:pPr>
                    <w:jc w:val="center"/>
                    <w:rPr>
                      <w:kern w:val="2"/>
                      <w:sz w:val="21"/>
                      <w:szCs w:val="24"/>
                      <w:u w:val="none"/>
                      <w:lang w:val="en-US" w:eastAsia="zh-CN" w:bidi="ar-SA"/>
                    </w:rPr>
                  </w:pPr>
                  <w:r>
                    <w:rPr>
                      <w:u w:val="none"/>
                    </w:rPr>
                    <w:t>1m</w:t>
                  </w:r>
                </w:p>
              </w:tc>
            </w:tr>
            <w:tr w14:paraId="62A33C8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5AF5DAA1">
                  <w:pPr>
                    <w:jc w:val="center"/>
                    <w:rPr>
                      <w:u w:val="none"/>
                    </w:rPr>
                  </w:pPr>
                </w:p>
              </w:tc>
              <w:tc>
                <w:tcPr>
                  <w:tcW w:w="264" w:type="pct"/>
                  <w:vMerge w:val="continue"/>
                  <w:noWrap w:val="0"/>
                  <w:vAlign w:val="top"/>
                </w:tcPr>
                <w:p w14:paraId="126276F6">
                  <w:pPr>
                    <w:jc w:val="center"/>
                    <w:rPr>
                      <w:u w:val="none"/>
                    </w:rPr>
                  </w:pPr>
                </w:p>
              </w:tc>
              <w:tc>
                <w:tcPr>
                  <w:tcW w:w="282" w:type="pct"/>
                  <w:vMerge w:val="continue"/>
                  <w:noWrap w:val="0"/>
                  <w:vAlign w:val="top"/>
                </w:tcPr>
                <w:p w14:paraId="51B7418F">
                  <w:pPr>
                    <w:jc w:val="center"/>
                    <w:rPr>
                      <w:u w:val="none"/>
                    </w:rPr>
                  </w:pPr>
                </w:p>
              </w:tc>
              <w:tc>
                <w:tcPr>
                  <w:tcW w:w="597" w:type="pct"/>
                  <w:vMerge w:val="continue"/>
                  <w:noWrap w:val="0"/>
                  <w:vAlign w:val="top"/>
                </w:tcPr>
                <w:p w14:paraId="40A36999">
                  <w:pPr>
                    <w:jc w:val="center"/>
                    <w:rPr>
                      <w:u w:val="none"/>
                    </w:rPr>
                  </w:pPr>
                </w:p>
              </w:tc>
              <w:tc>
                <w:tcPr>
                  <w:tcW w:w="265" w:type="pct"/>
                  <w:vMerge w:val="continue"/>
                  <w:noWrap w:val="0"/>
                  <w:vAlign w:val="top"/>
                </w:tcPr>
                <w:p w14:paraId="22692DF7">
                  <w:pPr>
                    <w:jc w:val="center"/>
                    <w:rPr>
                      <w:u w:val="none"/>
                    </w:rPr>
                  </w:pPr>
                </w:p>
              </w:tc>
              <w:tc>
                <w:tcPr>
                  <w:tcW w:w="179" w:type="pct"/>
                  <w:vMerge w:val="continue"/>
                  <w:noWrap w:val="0"/>
                  <w:vAlign w:val="top"/>
                </w:tcPr>
                <w:p w14:paraId="1BAD1E48">
                  <w:pPr>
                    <w:jc w:val="center"/>
                    <w:rPr>
                      <w:u w:val="none"/>
                    </w:rPr>
                  </w:pPr>
                </w:p>
              </w:tc>
              <w:tc>
                <w:tcPr>
                  <w:tcW w:w="243" w:type="pct"/>
                  <w:vMerge w:val="continue"/>
                  <w:noWrap w:val="0"/>
                  <w:vAlign w:val="top"/>
                </w:tcPr>
                <w:p w14:paraId="0DD78EED">
                  <w:pPr>
                    <w:jc w:val="center"/>
                    <w:rPr>
                      <w:u w:val="none"/>
                    </w:rPr>
                  </w:pPr>
                </w:p>
              </w:tc>
              <w:tc>
                <w:tcPr>
                  <w:tcW w:w="153" w:type="pct"/>
                  <w:vMerge w:val="continue"/>
                  <w:noWrap w:val="0"/>
                  <w:vAlign w:val="top"/>
                </w:tcPr>
                <w:p w14:paraId="1E37B795">
                  <w:pPr>
                    <w:jc w:val="center"/>
                    <w:rPr>
                      <w:u w:val="none"/>
                    </w:rPr>
                  </w:pPr>
                </w:p>
              </w:tc>
              <w:tc>
                <w:tcPr>
                  <w:tcW w:w="0" w:type="auto"/>
                  <w:noWrap w:val="0"/>
                  <w:vAlign w:val="center"/>
                </w:tcPr>
                <w:p w14:paraId="76C66428">
                  <w:pPr>
                    <w:jc w:val="center"/>
                    <w:rPr>
                      <w:rFonts w:ascii="Times New Roman" w:hAnsi="Times New Roman" w:eastAsia="宋体" w:cs="Times New Roman"/>
                      <w:kern w:val="2"/>
                      <w:sz w:val="21"/>
                      <w:szCs w:val="24"/>
                      <w:u w:val="none"/>
                      <w:lang w:val="en-US" w:eastAsia="zh-CN" w:bidi="ar-SA"/>
                    </w:rPr>
                  </w:pPr>
                  <w:r>
                    <w:rPr>
                      <w:u w:val="none"/>
                    </w:rPr>
                    <w:t>西</w:t>
                  </w:r>
                </w:p>
              </w:tc>
              <w:tc>
                <w:tcPr>
                  <w:tcW w:w="232" w:type="pct"/>
                  <w:noWrap w:val="0"/>
                  <w:vAlign w:val="center"/>
                </w:tcPr>
                <w:p w14:paraId="6C391D2F">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60</w:t>
                  </w:r>
                </w:p>
              </w:tc>
              <w:tc>
                <w:tcPr>
                  <w:tcW w:w="1003" w:type="dxa"/>
                  <w:noWrap w:val="0"/>
                  <w:vAlign w:val="center"/>
                </w:tcPr>
                <w:p w14:paraId="70027B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39.4 </w:t>
                  </w:r>
                </w:p>
              </w:tc>
              <w:tc>
                <w:tcPr>
                  <w:tcW w:w="367" w:type="pct"/>
                  <w:vMerge w:val="continue"/>
                  <w:noWrap w:val="0"/>
                  <w:vAlign w:val="top"/>
                </w:tcPr>
                <w:p w14:paraId="4F177B84">
                  <w:pPr>
                    <w:jc w:val="center"/>
                    <w:rPr>
                      <w:u w:val="none"/>
                    </w:rPr>
                  </w:pPr>
                </w:p>
              </w:tc>
              <w:tc>
                <w:tcPr>
                  <w:tcW w:w="0" w:type="auto"/>
                  <w:noWrap w:val="0"/>
                  <w:vAlign w:val="center"/>
                </w:tcPr>
                <w:p w14:paraId="46AEDC11">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C7AAD4F">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24.4 </w:t>
                  </w:r>
                </w:p>
              </w:tc>
              <w:tc>
                <w:tcPr>
                  <w:tcW w:w="0" w:type="auto"/>
                  <w:noWrap w:val="0"/>
                  <w:vAlign w:val="center"/>
                </w:tcPr>
                <w:p w14:paraId="5B2CB5FD">
                  <w:pPr>
                    <w:jc w:val="center"/>
                    <w:rPr>
                      <w:kern w:val="2"/>
                      <w:sz w:val="21"/>
                      <w:szCs w:val="24"/>
                      <w:u w:val="none"/>
                      <w:lang w:val="en-US" w:eastAsia="zh-CN" w:bidi="ar-SA"/>
                    </w:rPr>
                  </w:pPr>
                  <w:r>
                    <w:rPr>
                      <w:u w:val="none"/>
                    </w:rPr>
                    <w:t>1m</w:t>
                  </w:r>
                </w:p>
              </w:tc>
            </w:tr>
            <w:tr w14:paraId="7537E65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5BE1F8D5">
                  <w:pPr>
                    <w:jc w:val="center"/>
                    <w:rPr>
                      <w:u w:val="none"/>
                    </w:rPr>
                  </w:pPr>
                </w:p>
              </w:tc>
              <w:tc>
                <w:tcPr>
                  <w:tcW w:w="264" w:type="pct"/>
                  <w:vMerge w:val="continue"/>
                  <w:noWrap w:val="0"/>
                  <w:vAlign w:val="top"/>
                </w:tcPr>
                <w:p w14:paraId="2CDA9A32">
                  <w:pPr>
                    <w:jc w:val="center"/>
                    <w:rPr>
                      <w:u w:val="none"/>
                    </w:rPr>
                  </w:pPr>
                </w:p>
              </w:tc>
              <w:tc>
                <w:tcPr>
                  <w:tcW w:w="282" w:type="pct"/>
                  <w:vMerge w:val="continue"/>
                  <w:noWrap w:val="0"/>
                  <w:vAlign w:val="top"/>
                </w:tcPr>
                <w:p w14:paraId="53DE0F82">
                  <w:pPr>
                    <w:jc w:val="center"/>
                    <w:rPr>
                      <w:u w:val="none"/>
                    </w:rPr>
                  </w:pPr>
                </w:p>
              </w:tc>
              <w:tc>
                <w:tcPr>
                  <w:tcW w:w="597" w:type="pct"/>
                  <w:vMerge w:val="continue"/>
                  <w:noWrap w:val="0"/>
                  <w:vAlign w:val="top"/>
                </w:tcPr>
                <w:p w14:paraId="3FB1A543">
                  <w:pPr>
                    <w:jc w:val="center"/>
                    <w:rPr>
                      <w:u w:val="none"/>
                    </w:rPr>
                  </w:pPr>
                </w:p>
              </w:tc>
              <w:tc>
                <w:tcPr>
                  <w:tcW w:w="265" w:type="pct"/>
                  <w:vMerge w:val="continue"/>
                  <w:noWrap w:val="0"/>
                  <w:vAlign w:val="top"/>
                </w:tcPr>
                <w:p w14:paraId="34435DA8">
                  <w:pPr>
                    <w:jc w:val="center"/>
                    <w:rPr>
                      <w:u w:val="none"/>
                    </w:rPr>
                  </w:pPr>
                </w:p>
              </w:tc>
              <w:tc>
                <w:tcPr>
                  <w:tcW w:w="179" w:type="pct"/>
                  <w:vMerge w:val="continue"/>
                  <w:noWrap w:val="0"/>
                  <w:vAlign w:val="top"/>
                </w:tcPr>
                <w:p w14:paraId="2C1E9460">
                  <w:pPr>
                    <w:jc w:val="center"/>
                    <w:rPr>
                      <w:u w:val="none"/>
                    </w:rPr>
                  </w:pPr>
                </w:p>
              </w:tc>
              <w:tc>
                <w:tcPr>
                  <w:tcW w:w="243" w:type="pct"/>
                  <w:vMerge w:val="continue"/>
                  <w:noWrap w:val="0"/>
                  <w:vAlign w:val="top"/>
                </w:tcPr>
                <w:p w14:paraId="2B3732C1">
                  <w:pPr>
                    <w:jc w:val="center"/>
                    <w:rPr>
                      <w:u w:val="none"/>
                    </w:rPr>
                  </w:pPr>
                </w:p>
              </w:tc>
              <w:tc>
                <w:tcPr>
                  <w:tcW w:w="153" w:type="pct"/>
                  <w:vMerge w:val="continue"/>
                  <w:noWrap w:val="0"/>
                  <w:vAlign w:val="top"/>
                </w:tcPr>
                <w:p w14:paraId="50F2B7EA">
                  <w:pPr>
                    <w:jc w:val="center"/>
                    <w:rPr>
                      <w:u w:val="none"/>
                    </w:rPr>
                  </w:pPr>
                </w:p>
              </w:tc>
              <w:tc>
                <w:tcPr>
                  <w:tcW w:w="0" w:type="auto"/>
                  <w:noWrap w:val="0"/>
                  <w:vAlign w:val="center"/>
                </w:tcPr>
                <w:p w14:paraId="27E10CC4">
                  <w:pPr>
                    <w:jc w:val="center"/>
                    <w:rPr>
                      <w:rFonts w:ascii="Times New Roman" w:hAnsi="Times New Roman" w:eastAsia="宋体" w:cs="Times New Roman"/>
                      <w:kern w:val="2"/>
                      <w:sz w:val="21"/>
                      <w:szCs w:val="24"/>
                      <w:u w:val="none"/>
                      <w:lang w:val="en-US" w:eastAsia="zh-CN" w:bidi="ar-SA"/>
                    </w:rPr>
                  </w:pPr>
                  <w:r>
                    <w:rPr>
                      <w:u w:val="none"/>
                    </w:rPr>
                    <w:t>北</w:t>
                  </w:r>
                </w:p>
              </w:tc>
              <w:tc>
                <w:tcPr>
                  <w:tcW w:w="232" w:type="pct"/>
                  <w:noWrap w:val="0"/>
                  <w:vAlign w:val="center"/>
                </w:tcPr>
                <w:p w14:paraId="10511032">
                  <w:pPr>
                    <w:keepNext w:val="0"/>
                    <w:keepLines w:val="0"/>
                    <w:widowControl/>
                    <w:suppressLineNumbers w:val="0"/>
                    <w:jc w:val="center"/>
                    <w:textAlignment w:val="center"/>
                    <w:rPr>
                      <w:rFonts w:hint="default" w:eastAsia="宋体"/>
                      <w:kern w:val="2"/>
                      <w:sz w:val="21"/>
                      <w:szCs w:val="24"/>
                      <w:u w:val="none"/>
                      <w:lang w:val="en-US" w:eastAsia="zh-CN" w:bidi="ar-SA"/>
                    </w:rPr>
                  </w:pPr>
                  <w:r>
                    <w:rPr>
                      <w:rFonts w:hint="eastAsia"/>
                      <w:kern w:val="2"/>
                      <w:sz w:val="21"/>
                      <w:szCs w:val="24"/>
                      <w:u w:val="none"/>
                      <w:lang w:val="en-US" w:eastAsia="zh-CN" w:bidi="ar-SA"/>
                    </w:rPr>
                    <w:t>55</w:t>
                  </w:r>
                </w:p>
              </w:tc>
              <w:tc>
                <w:tcPr>
                  <w:tcW w:w="1003" w:type="dxa"/>
                  <w:noWrap w:val="0"/>
                  <w:vAlign w:val="center"/>
                </w:tcPr>
                <w:p w14:paraId="178589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40.2 </w:t>
                  </w:r>
                </w:p>
              </w:tc>
              <w:tc>
                <w:tcPr>
                  <w:tcW w:w="367" w:type="pct"/>
                  <w:vMerge w:val="continue"/>
                  <w:noWrap w:val="0"/>
                  <w:vAlign w:val="top"/>
                </w:tcPr>
                <w:p w14:paraId="7953C874">
                  <w:pPr>
                    <w:jc w:val="center"/>
                    <w:rPr>
                      <w:u w:val="none"/>
                    </w:rPr>
                  </w:pPr>
                </w:p>
              </w:tc>
              <w:tc>
                <w:tcPr>
                  <w:tcW w:w="0" w:type="auto"/>
                  <w:noWrap w:val="0"/>
                  <w:vAlign w:val="center"/>
                </w:tcPr>
                <w:p w14:paraId="16C52AF2">
                  <w:pPr>
                    <w:keepNext w:val="0"/>
                    <w:keepLines w:val="0"/>
                    <w:widowControl/>
                    <w:suppressLineNumbers w:val="0"/>
                    <w:jc w:val="center"/>
                    <w:textAlignment w:val="center"/>
                    <w:rPr>
                      <w:rFonts w:hint="default"/>
                      <w:kern w:val="2"/>
                      <w:sz w:val="21"/>
                      <w:szCs w:val="24"/>
                      <w:u w:val="none"/>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52FF5921">
                  <w:pPr>
                    <w:keepNext w:val="0"/>
                    <w:keepLines w:val="0"/>
                    <w:widowControl/>
                    <w:suppressLineNumbers w:val="0"/>
                    <w:jc w:val="center"/>
                    <w:textAlignment w:val="center"/>
                    <w:rPr>
                      <w:rFonts w:hint="default"/>
                      <w:kern w:val="2"/>
                      <w:sz w:val="21"/>
                      <w:szCs w:val="24"/>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25.2 </w:t>
                  </w:r>
                </w:p>
              </w:tc>
              <w:tc>
                <w:tcPr>
                  <w:tcW w:w="0" w:type="auto"/>
                  <w:noWrap w:val="0"/>
                  <w:vAlign w:val="center"/>
                </w:tcPr>
                <w:p w14:paraId="6D03A363">
                  <w:pPr>
                    <w:jc w:val="center"/>
                    <w:rPr>
                      <w:kern w:val="2"/>
                      <w:sz w:val="21"/>
                      <w:szCs w:val="24"/>
                      <w:u w:val="none"/>
                      <w:lang w:val="en-US" w:eastAsia="zh-CN" w:bidi="ar-SA"/>
                    </w:rPr>
                  </w:pPr>
                  <w:r>
                    <w:rPr>
                      <w:u w:val="none"/>
                    </w:rPr>
                    <w:t>1m</w:t>
                  </w:r>
                </w:p>
              </w:tc>
            </w:tr>
            <w:tr w14:paraId="17378F0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noWrap w:val="0"/>
                  <w:vAlign w:val="center"/>
                </w:tcPr>
                <w:p w14:paraId="4C753FAD">
                  <w:pPr>
                    <w:jc w:val="center"/>
                    <w:rPr>
                      <w:rFonts w:hint="default"/>
                      <w:kern w:val="2"/>
                      <w:sz w:val="21"/>
                      <w:szCs w:val="24"/>
                      <w:u w:val="none"/>
                      <w:lang w:val="en-US" w:eastAsia="zh-CN" w:bidi="ar-SA"/>
                    </w:rPr>
                  </w:pPr>
                  <w:r>
                    <w:rPr>
                      <w:rFonts w:hint="eastAsia"/>
                      <w:kern w:val="2"/>
                      <w:sz w:val="21"/>
                      <w:szCs w:val="24"/>
                      <w:u w:val="none"/>
                      <w:lang w:val="en-US" w:eastAsia="zh-CN" w:bidi="ar-SA"/>
                    </w:rPr>
                    <w:t>13</w:t>
                  </w:r>
                </w:p>
              </w:tc>
              <w:tc>
                <w:tcPr>
                  <w:tcW w:w="264" w:type="pct"/>
                  <w:vMerge w:val="continue"/>
                  <w:noWrap w:val="0"/>
                  <w:vAlign w:val="center"/>
                </w:tcPr>
                <w:p w14:paraId="77D1D925">
                  <w:pPr>
                    <w:jc w:val="center"/>
                    <w:rPr>
                      <w:kern w:val="2"/>
                      <w:sz w:val="21"/>
                      <w:szCs w:val="24"/>
                      <w:u w:val="none"/>
                      <w:lang w:val="en-US" w:eastAsia="zh-CN" w:bidi="ar-SA"/>
                    </w:rPr>
                  </w:pPr>
                </w:p>
              </w:tc>
              <w:tc>
                <w:tcPr>
                  <w:tcW w:w="282" w:type="pct"/>
                  <w:vMerge w:val="restart"/>
                  <w:noWrap w:val="0"/>
                  <w:vAlign w:val="center"/>
                </w:tcPr>
                <w:p w14:paraId="56243B8C">
                  <w:pPr>
                    <w:jc w:val="center"/>
                    <w:rPr>
                      <w:rFonts w:hint="default" w:eastAsia="宋体"/>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粉碎机</w:t>
                  </w:r>
                </w:p>
              </w:tc>
              <w:tc>
                <w:tcPr>
                  <w:tcW w:w="597" w:type="pct"/>
                  <w:vMerge w:val="restart"/>
                  <w:noWrap w:val="0"/>
                  <w:vAlign w:val="center"/>
                </w:tcPr>
                <w:p w14:paraId="182ED5AF">
                  <w:pPr>
                    <w:jc w:val="center"/>
                    <w:rPr>
                      <w:kern w:val="2"/>
                      <w:sz w:val="21"/>
                      <w:szCs w:val="24"/>
                      <w:u w:val="none"/>
                      <w:lang w:val="en-US" w:eastAsia="zh-CN" w:bidi="ar-SA"/>
                    </w:rPr>
                  </w:pPr>
                  <w:r>
                    <w:rPr>
                      <w:rFonts w:hint="eastAsia"/>
                      <w:u w:val="none"/>
                      <w:lang w:val="en-US" w:eastAsia="zh-CN"/>
                    </w:rPr>
                    <w:t>95</w:t>
                  </w:r>
                  <w:r>
                    <w:rPr>
                      <w:u w:val="none"/>
                    </w:rPr>
                    <w:t>/1</w:t>
                  </w:r>
                </w:p>
              </w:tc>
              <w:tc>
                <w:tcPr>
                  <w:tcW w:w="265" w:type="pct"/>
                  <w:vMerge w:val="continue"/>
                  <w:noWrap w:val="0"/>
                  <w:vAlign w:val="center"/>
                </w:tcPr>
                <w:p w14:paraId="0FCEB8C6">
                  <w:pPr>
                    <w:jc w:val="center"/>
                    <w:rPr>
                      <w:kern w:val="2"/>
                      <w:sz w:val="21"/>
                      <w:szCs w:val="24"/>
                      <w:u w:val="none"/>
                      <w:lang w:val="en-US" w:eastAsia="zh-CN" w:bidi="ar-SA"/>
                    </w:rPr>
                  </w:pPr>
                </w:p>
              </w:tc>
              <w:tc>
                <w:tcPr>
                  <w:tcW w:w="179" w:type="pct"/>
                  <w:vMerge w:val="restart"/>
                  <w:noWrap w:val="0"/>
                  <w:vAlign w:val="center"/>
                </w:tcPr>
                <w:p w14:paraId="011EA780">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28</w:t>
                  </w:r>
                </w:p>
              </w:tc>
              <w:tc>
                <w:tcPr>
                  <w:tcW w:w="243" w:type="pct"/>
                  <w:vMerge w:val="restart"/>
                  <w:noWrap w:val="0"/>
                  <w:vAlign w:val="center"/>
                </w:tcPr>
                <w:p w14:paraId="3DD68D90">
                  <w:pPr>
                    <w:jc w:val="center"/>
                    <w:rPr>
                      <w:rFonts w:hint="default" w:eastAsia="宋体"/>
                      <w:kern w:val="2"/>
                      <w:sz w:val="21"/>
                      <w:szCs w:val="24"/>
                      <w:u w:val="none"/>
                      <w:lang w:val="en-US" w:eastAsia="zh-CN" w:bidi="ar-SA"/>
                    </w:rPr>
                  </w:pPr>
                  <w:r>
                    <w:rPr>
                      <w:rFonts w:hint="eastAsia"/>
                      <w:kern w:val="2"/>
                      <w:sz w:val="21"/>
                      <w:szCs w:val="24"/>
                      <w:u w:val="none"/>
                      <w:lang w:val="en-US" w:eastAsia="zh-CN" w:bidi="ar-SA"/>
                    </w:rPr>
                    <w:t>-17</w:t>
                  </w:r>
                </w:p>
              </w:tc>
              <w:tc>
                <w:tcPr>
                  <w:tcW w:w="257" w:type="dxa"/>
                  <w:vMerge w:val="restart"/>
                  <w:noWrap w:val="0"/>
                  <w:vAlign w:val="center"/>
                </w:tcPr>
                <w:p w14:paraId="5DCA0AB6">
                  <w:pPr>
                    <w:jc w:val="center"/>
                    <w:rPr>
                      <w:rFonts w:hint="eastAsia" w:eastAsia="宋体"/>
                      <w:kern w:val="2"/>
                      <w:sz w:val="21"/>
                      <w:szCs w:val="24"/>
                      <w:u w:val="none"/>
                      <w:lang w:val="en-US" w:eastAsia="zh-CN" w:bidi="ar-SA"/>
                    </w:rPr>
                  </w:pPr>
                  <w:r>
                    <w:rPr>
                      <w:rFonts w:hint="eastAsia"/>
                      <w:u w:val="none"/>
                      <w:lang w:val="en-US" w:eastAsia="zh-CN"/>
                    </w:rPr>
                    <w:t>1</w:t>
                  </w:r>
                </w:p>
              </w:tc>
              <w:tc>
                <w:tcPr>
                  <w:tcW w:w="0" w:type="auto"/>
                  <w:noWrap w:val="0"/>
                  <w:vAlign w:val="center"/>
                </w:tcPr>
                <w:p w14:paraId="7A740797">
                  <w:pPr>
                    <w:jc w:val="center"/>
                    <w:rPr>
                      <w:kern w:val="2"/>
                      <w:sz w:val="21"/>
                      <w:szCs w:val="24"/>
                      <w:u w:val="none"/>
                      <w:lang w:val="en-US" w:eastAsia="zh-CN" w:bidi="ar-SA"/>
                    </w:rPr>
                  </w:pPr>
                  <w:r>
                    <w:rPr>
                      <w:u w:val="none"/>
                    </w:rPr>
                    <w:t>东</w:t>
                  </w:r>
                </w:p>
              </w:tc>
              <w:tc>
                <w:tcPr>
                  <w:tcW w:w="232" w:type="pct"/>
                  <w:noWrap w:val="0"/>
                  <w:vAlign w:val="center"/>
                </w:tcPr>
                <w:p w14:paraId="4256F8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003" w:type="dxa"/>
                  <w:noWrap w:val="0"/>
                  <w:vAlign w:val="center"/>
                </w:tcPr>
                <w:p w14:paraId="45D891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72.7 </w:t>
                  </w:r>
                </w:p>
              </w:tc>
              <w:tc>
                <w:tcPr>
                  <w:tcW w:w="367" w:type="pct"/>
                  <w:vMerge w:val="continue"/>
                  <w:noWrap w:val="0"/>
                  <w:vAlign w:val="top"/>
                </w:tcPr>
                <w:p w14:paraId="0CAF3AF8">
                  <w:pPr>
                    <w:jc w:val="center"/>
                    <w:rPr>
                      <w:u w:val="none"/>
                    </w:rPr>
                  </w:pPr>
                </w:p>
              </w:tc>
              <w:tc>
                <w:tcPr>
                  <w:tcW w:w="0" w:type="auto"/>
                  <w:noWrap w:val="0"/>
                  <w:vAlign w:val="center"/>
                </w:tcPr>
                <w:p w14:paraId="7CAE23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0D1456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57.7 </w:t>
                  </w:r>
                </w:p>
              </w:tc>
              <w:tc>
                <w:tcPr>
                  <w:tcW w:w="0" w:type="auto"/>
                  <w:noWrap w:val="0"/>
                  <w:vAlign w:val="center"/>
                </w:tcPr>
                <w:p w14:paraId="3D7A6855">
                  <w:pPr>
                    <w:jc w:val="center"/>
                    <w:rPr>
                      <w:kern w:val="2"/>
                      <w:sz w:val="21"/>
                      <w:szCs w:val="24"/>
                      <w:u w:val="none"/>
                      <w:lang w:val="en-US" w:eastAsia="zh-CN" w:bidi="ar-SA"/>
                    </w:rPr>
                  </w:pPr>
                  <w:r>
                    <w:rPr>
                      <w:u w:val="none"/>
                    </w:rPr>
                    <w:t>1m</w:t>
                  </w:r>
                </w:p>
              </w:tc>
            </w:tr>
            <w:tr w14:paraId="7AC826C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2F9C870A">
                  <w:pPr>
                    <w:jc w:val="center"/>
                    <w:rPr>
                      <w:u w:val="none"/>
                    </w:rPr>
                  </w:pPr>
                </w:p>
              </w:tc>
              <w:tc>
                <w:tcPr>
                  <w:tcW w:w="264" w:type="pct"/>
                  <w:vMerge w:val="continue"/>
                  <w:noWrap w:val="0"/>
                  <w:vAlign w:val="top"/>
                </w:tcPr>
                <w:p w14:paraId="577A09E3">
                  <w:pPr>
                    <w:jc w:val="center"/>
                    <w:rPr>
                      <w:u w:val="none"/>
                    </w:rPr>
                  </w:pPr>
                </w:p>
              </w:tc>
              <w:tc>
                <w:tcPr>
                  <w:tcW w:w="282" w:type="pct"/>
                  <w:vMerge w:val="continue"/>
                  <w:noWrap w:val="0"/>
                  <w:vAlign w:val="top"/>
                </w:tcPr>
                <w:p w14:paraId="4F765ACD">
                  <w:pPr>
                    <w:jc w:val="center"/>
                    <w:rPr>
                      <w:u w:val="none"/>
                    </w:rPr>
                  </w:pPr>
                </w:p>
              </w:tc>
              <w:tc>
                <w:tcPr>
                  <w:tcW w:w="597" w:type="pct"/>
                  <w:vMerge w:val="continue"/>
                  <w:noWrap w:val="0"/>
                  <w:vAlign w:val="top"/>
                </w:tcPr>
                <w:p w14:paraId="4C3E03B7">
                  <w:pPr>
                    <w:jc w:val="center"/>
                    <w:rPr>
                      <w:u w:val="none"/>
                    </w:rPr>
                  </w:pPr>
                </w:p>
              </w:tc>
              <w:tc>
                <w:tcPr>
                  <w:tcW w:w="265" w:type="pct"/>
                  <w:vMerge w:val="continue"/>
                  <w:noWrap w:val="0"/>
                  <w:vAlign w:val="top"/>
                </w:tcPr>
                <w:p w14:paraId="497CA00A">
                  <w:pPr>
                    <w:jc w:val="center"/>
                    <w:rPr>
                      <w:u w:val="none"/>
                    </w:rPr>
                  </w:pPr>
                </w:p>
              </w:tc>
              <w:tc>
                <w:tcPr>
                  <w:tcW w:w="179" w:type="pct"/>
                  <w:vMerge w:val="continue"/>
                  <w:noWrap w:val="0"/>
                  <w:vAlign w:val="top"/>
                </w:tcPr>
                <w:p w14:paraId="3DF177C0">
                  <w:pPr>
                    <w:jc w:val="center"/>
                    <w:rPr>
                      <w:u w:val="none"/>
                    </w:rPr>
                  </w:pPr>
                </w:p>
              </w:tc>
              <w:tc>
                <w:tcPr>
                  <w:tcW w:w="243" w:type="pct"/>
                  <w:vMerge w:val="continue"/>
                  <w:noWrap w:val="0"/>
                  <w:vAlign w:val="top"/>
                </w:tcPr>
                <w:p w14:paraId="1522E305">
                  <w:pPr>
                    <w:jc w:val="center"/>
                    <w:rPr>
                      <w:u w:val="none"/>
                    </w:rPr>
                  </w:pPr>
                </w:p>
              </w:tc>
              <w:tc>
                <w:tcPr>
                  <w:tcW w:w="153" w:type="pct"/>
                  <w:vMerge w:val="continue"/>
                  <w:noWrap w:val="0"/>
                  <w:vAlign w:val="top"/>
                </w:tcPr>
                <w:p w14:paraId="0B09715B">
                  <w:pPr>
                    <w:jc w:val="center"/>
                    <w:rPr>
                      <w:u w:val="none"/>
                    </w:rPr>
                  </w:pPr>
                </w:p>
              </w:tc>
              <w:tc>
                <w:tcPr>
                  <w:tcW w:w="0" w:type="auto"/>
                  <w:noWrap w:val="0"/>
                  <w:vAlign w:val="center"/>
                </w:tcPr>
                <w:p w14:paraId="33C9C5F5">
                  <w:pPr>
                    <w:jc w:val="center"/>
                    <w:rPr>
                      <w:kern w:val="2"/>
                      <w:sz w:val="21"/>
                      <w:szCs w:val="24"/>
                      <w:u w:val="none"/>
                      <w:lang w:val="en-US" w:eastAsia="zh-CN" w:bidi="ar-SA"/>
                    </w:rPr>
                  </w:pPr>
                  <w:r>
                    <w:rPr>
                      <w:u w:val="none"/>
                    </w:rPr>
                    <w:t>南</w:t>
                  </w:r>
                </w:p>
              </w:tc>
              <w:tc>
                <w:tcPr>
                  <w:tcW w:w="232" w:type="pct"/>
                  <w:noWrap w:val="0"/>
                  <w:vAlign w:val="center"/>
                </w:tcPr>
                <w:p w14:paraId="35D4A3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22</w:t>
                  </w:r>
                </w:p>
              </w:tc>
              <w:tc>
                <w:tcPr>
                  <w:tcW w:w="1003" w:type="dxa"/>
                  <w:noWrap w:val="0"/>
                  <w:vAlign w:val="center"/>
                </w:tcPr>
                <w:p w14:paraId="6F8D8D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68.2 </w:t>
                  </w:r>
                </w:p>
              </w:tc>
              <w:tc>
                <w:tcPr>
                  <w:tcW w:w="367" w:type="pct"/>
                  <w:vMerge w:val="continue"/>
                  <w:noWrap w:val="0"/>
                  <w:vAlign w:val="top"/>
                </w:tcPr>
                <w:p w14:paraId="33250B7B">
                  <w:pPr>
                    <w:jc w:val="center"/>
                    <w:rPr>
                      <w:u w:val="none"/>
                    </w:rPr>
                  </w:pPr>
                </w:p>
              </w:tc>
              <w:tc>
                <w:tcPr>
                  <w:tcW w:w="0" w:type="auto"/>
                  <w:noWrap w:val="0"/>
                  <w:vAlign w:val="center"/>
                </w:tcPr>
                <w:p w14:paraId="544129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6F54B7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53.2 </w:t>
                  </w:r>
                </w:p>
              </w:tc>
              <w:tc>
                <w:tcPr>
                  <w:tcW w:w="0" w:type="auto"/>
                  <w:noWrap w:val="0"/>
                  <w:vAlign w:val="center"/>
                </w:tcPr>
                <w:p w14:paraId="56366921">
                  <w:pPr>
                    <w:jc w:val="center"/>
                    <w:rPr>
                      <w:kern w:val="2"/>
                      <w:sz w:val="21"/>
                      <w:szCs w:val="24"/>
                      <w:u w:val="none"/>
                      <w:lang w:val="en-US" w:eastAsia="zh-CN" w:bidi="ar-SA"/>
                    </w:rPr>
                  </w:pPr>
                  <w:r>
                    <w:rPr>
                      <w:u w:val="none"/>
                    </w:rPr>
                    <w:t>1m</w:t>
                  </w:r>
                </w:p>
              </w:tc>
            </w:tr>
            <w:tr w14:paraId="3A5FB36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7D9E45E8">
                  <w:pPr>
                    <w:jc w:val="center"/>
                    <w:rPr>
                      <w:u w:val="none"/>
                    </w:rPr>
                  </w:pPr>
                </w:p>
              </w:tc>
              <w:tc>
                <w:tcPr>
                  <w:tcW w:w="264" w:type="pct"/>
                  <w:vMerge w:val="continue"/>
                  <w:noWrap w:val="0"/>
                  <w:vAlign w:val="top"/>
                </w:tcPr>
                <w:p w14:paraId="29BF52A0">
                  <w:pPr>
                    <w:jc w:val="center"/>
                    <w:rPr>
                      <w:u w:val="none"/>
                    </w:rPr>
                  </w:pPr>
                </w:p>
              </w:tc>
              <w:tc>
                <w:tcPr>
                  <w:tcW w:w="282" w:type="pct"/>
                  <w:vMerge w:val="continue"/>
                  <w:noWrap w:val="0"/>
                  <w:vAlign w:val="top"/>
                </w:tcPr>
                <w:p w14:paraId="1ACAAA8F">
                  <w:pPr>
                    <w:jc w:val="center"/>
                    <w:rPr>
                      <w:u w:val="none"/>
                    </w:rPr>
                  </w:pPr>
                </w:p>
              </w:tc>
              <w:tc>
                <w:tcPr>
                  <w:tcW w:w="597" w:type="pct"/>
                  <w:vMerge w:val="continue"/>
                  <w:noWrap w:val="0"/>
                  <w:vAlign w:val="top"/>
                </w:tcPr>
                <w:p w14:paraId="001A53E8">
                  <w:pPr>
                    <w:jc w:val="center"/>
                    <w:rPr>
                      <w:u w:val="none"/>
                    </w:rPr>
                  </w:pPr>
                </w:p>
              </w:tc>
              <w:tc>
                <w:tcPr>
                  <w:tcW w:w="265" w:type="pct"/>
                  <w:vMerge w:val="continue"/>
                  <w:noWrap w:val="0"/>
                  <w:vAlign w:val="top"/>
                </w:tcPr>
                <w:p w14:paraId="417DF0FB">
                  <w:pPr>
                    <w:jc w:val="center"/>
                    <w:rPr>
                      <w:u w:val="none"/>
                    </w:rPr>
                  </w:pPr>
                </w:p>
              </w:tc>
              <w:tc>
                <w:tcPr>
                  <w:tcW w:w="179" w:type="pct"/>
                  <w:vMerge w:val="continue"/>
                  <w:noWrap w:val="0"/>
                  <w:vAlign w:val="top"/>
                </w:tcPr>
                <w:p w14:paraId="793793E1">
                  <w:pPr>
                    <w:jc w:val="center"/>
                    <w:rPr>
                      <w:u w:val="none"/>
                    </w:rPr>
                  </w:pPr>
                </w:p>
              </w:tc>
              <w:tc>
                <w:tcPr>
                  <w:tcW w:w="243" w:type="pct"/>
                  <w:vMerge w:val="continue"/>
                  <w:noWrap w:val="0"/>
                  <w:vAlign w:val="top"/>
                </w:tcPr>
                <w:p w14:paraId="5CC16C6D">
                  <w:pPr>
                    <w:jc w:val="center"/>
                    <w:rPr>
                      <w:u w:val="none"/>
                    </w:rPr>
                  </w:pPr>
                </w:p>
              </w:tc>
              <w:tc>
                <w:tcPr>
                  <w:tcW w:w="153" w:type="pct"/>
                  <w:vMerge w:val="continue"/>
                  <w:noWrap w:val="0"/>
                  <w:vAlign w:val="top"/>
                </w:tcPr>
                <w:p w14:paraId="4A01DA14">
                  <w:pPr>
                    <w:jc w:val="center"/>
                    <w:rPr>
                      <w:u w:val="none"/>
                    </w:rPr>
                  </w:pPr>
                </w:p>
              </w:tc>
              <w:tc>
                <w:tcPr>
                  <w:tcW w:w="0" w:type="auto"/>
                  <w:noWrap w:val="0"/>
                  <w:vAlign w:val="center"/>
                </w:tcPr>
                <w:p w14:paraId="08D4189D">
                  <w:pPr>
                    <w:jc w:val="center"/>
                    <w:rPr>
                      <w:kern w:val="2"/>
                      <w:sz w:val="21"/>
                      <w:szCs w:val="24"/>
                      <w:u w:val="none"/>
                      <w:lang w:val="en-US" w:eastAsia="zh-CN" w:bidi="ar-SA"/>
                    </w:rPr>
                  </w:pPr>
                  <w:r>
                    <w:rPr>
                      <w:u w:val="none"/>
                    </w:rPr>
                    <w:t>西</w:t>
                  </w:r>
                </w:p>
              </w:tc>
              <w:tc>
                <w:tcPr>
                  <w:tcW w:w="232" w:type="pct"/>
                  <w:noWrap w:val="0"/>
                  <w:vAlign w:val="center"/>
                </w:tcPr>
                <w:p w14:paraId="28C572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69</w:t>
                  </w:r>
                </w:p>
              </w:tc>
              <w:tc>
                <w:tcPr>
                  <w:tcW w:w="1003" w:type="dxa"/>
                  <w:noWrap w:val="0"/>
                  <w:vAlign w:val="center"/>
                </w:tcPr>
                <w:p w14:paraId="370984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58.2 </w:t>
                  </w:r>
                </w:p>
              </w:tc>
              <w:tc>
                <w:tcPr>
                  <w:tcW w:w="367" w:type="pct"/>
                  <w:vMerge w:val="continue"/>
                  <w:noWrap w:val="0"/>
                  <w:vAlign w:val="top"/>
                </w:tcPr>
                <w:p w14:paraId="3580EADA">
                  <w:pPr>
                    <w:jc w:val="center"/>
                    <w:rPr>
                      <w:u w:val="none"/>
                    </w:rPr>
                  </w:pPr>
                </w:p>
              </w:tc>
              <w:tc>
                <w:tcPr>
                  <w:tcW w:w="0" w:type="auto"/>
                  <w:noWrap w:val="0"/>
                  <w:vAlign w:val="center"/>
                </w:tcPr>
                <w:p w14:paraId="0602DE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7D46ED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43.2 </w:t>
                  </w:r>
                </w:p>
              </w:tc>
              <w:tc>
                <w:tcPr>
                  <w:tcW w:w="0" w:type="auto"/>
                  <w:noWrap w:val="0"/>
                  <w:vAlign w:val="center"/>
                </w:tcPr>
                <w:p w14:paraId="02361461">
                  <w:pPr>
                    <w:jc w:val="center"/>
                    <w:rPr>
                      <w:kern w:val="2"/>
                      <w:sz w:val="21"/>
                      <w:szCs w:val="24"/>
                      <w:u w:val="none"/>
                      <w:lang w:val="en-US" w:eastAsia="zh-CN" w:bidi="ar-SA"/>
                    </w:rPr>
                  </w:pPr>
                  <w:r>
                    <w:rPr>
                      <w:u w:val="none"/>
                    </w:rPr>
                    <w:t>1m</w:t>
                  </w:r>
                </w:p>
              </w:tc>
            </w:tr>
            <w:tr w14:paraId="719CDC8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noWrap w:val="0"/>
                  <w:vAlign w:val="top"/>
                </w:tcPr>
                <w:p w14:paraId="5FEB9B7F">
                  <w:pPr>
                    <w:jc w:val="center"/>
                    <w:rPr>
                      <w:u w:val="none"/>
                    </w:rPr>
                  </w:pPr>
                </w:p>
              </w:tc>
              <w:tc>
                <w:tcPr>
                  <w:tcW w:w="264" w:type="pct"/>
                  <w:vMerge w:val="continue"/>
                  <w:noWrap w:val="0"/>
                  <w:vAlign w:val="top"/>
                </w:tcPr>
                <w:p w14:paraId="3A0CA755">
                  <w:pPr>
                    <w:jc w:val="center"/>
                    <w:rPr>
                      <w:u w:val="none"/>
                    </w:rPr>
                  </w:pPr>
                </w:p>
              </w:tc>
              <w:tc>
                <w:tcPr>
                  <w:tcW w:w="282" w:type="pct"/>
                  <w:vMerge w:val="continue"/>
                  <w:noWrap w:val="0"/>
                  <w:vAlign w:val="top"/>
                </w:tcPr>
                <w:p w14:paraId="6A575A68">
                  <w:pPr>
                    <w:jc w:val="center"/>
                    <w:rPr>
                      <w:u w:val="none"/>
                    </w:rPr>
                  </w:pPr>
                </w:p>
              </w:tc>
              <w:tc>
                <w:tcPr>
                  <w:tcW w:w="597" w:type="pct"/>
                  <w:vMerge w:val="continue"/>
                  <w:noWrap w:val="0"/>
                  <w:vAlign w:val="top"/>
                </w:tcPr>
                <w:p w14:paraId="53B81B44">
                  <w:pPr>
                    <w:jc w:val="center"/>
                    <w:rPr>
                      <w:u w:val="none"/>
                    </w:rPr>
                  </w:pPr>
                </w:p>
              </w:tc>
              <w:tc>
                <w:tcPr>
                  <w:tcW w:w="265" w:type="pct"/>
                  <w:vMerge w:val="continue"/>
                  <w:noWrap w:val="0"/>
                  <w:vAlign w:val="top"/>
                </w:tcPr>
                <w:p w14:paraId="0DA5E2F2">
                  <w:pPr>
                    <w:jc w:val="center"/>
                    <w:rPr>
                      <w:u w:val="none"/>
                    </w:rPr>
                  </w:pPr>
                </w:p>
              </w:tc>
              <w:tc>
                <w:tcPr>
                  <w:tcW w:w="179" w:type="pct"/>
                  <w:vMerge w:val="continue"/>
                  <w:noWrap w:val="0"/>
                  <w:vAlign w:val="top"/>
                </w:tcPr>
                <w:p w14:paraId="5989BECC">
                  <w:pPr>
                    <w:jc w:val="center"/>
                    <w:rPr>
                      <w:u w:val="none"/>
                    </w:rPr>
                  </w:pPr>
                </w:p>
              </w:tc>
              <w:tc>
                <w:tcPr>
                  <w:tcW w:w="243" w:type="pct"/>
                  <w:vMerge w:val="continue"/>
                  <w:noWrap w:val="0"/>
                  <w:vAlign w:val="top"/>
                </w:tcPr>
                <w:p w14:paraId="2B79EE3A">
                  <w:pPr>
                    <w:jc w:val="center"/>
                    <w:rPr>
                      <w:u w:val="none"/>
                    </w:rPr>
                  </w:pPr>
                </w:p>
              </w:tc>
              <w:tc>
                <w:tcPr>
                  <w:tcW w:w="153" w:type="pct"/>
                  <w:vMerge w:val="continue"/>
                  <w:noWrap w:val="0"/>
                  <w:vAlign w:val="top"/>
                </w:tcPr>
                <w:p w14:paraId="56A2006F">
                  <w:pPr>
                    <w:jc w:val="center"/>
                    <w:rPr>
                      <w:u w:val="none"/>
                    </w:rPr>
                  </w:pPr>
                </w:p>
              </w:tc>
              <w:tc>
                <w:tcPr>
                  <w:tcW w:w="0" w:type="auto"/>
                  <w:noWrap w:val="0"/>
                  <w:vAlign w:val="center"/>
                </w:tcPr>
                <w:p w14:paraId="2D460D21">
                  <w:pPr>
                    <w:jc w:val="center"/>
                    <w:rPr>
                      <w:kern w:val="2"/>
                      <w:sz w:val="21"/>
                      <w:szCs w:val="24"/>
                      <w:u w:val="none"/>
                      <w:lang w:val="en-US" w:eastAsia="zh-CN" w:bidi="ar-SA"/>
                    </w:rPr>
                  </w:pPr>
                  <w:r>
                    <w:rPr>
                      <w:u w:val="none"/>
                    </w:rPr>
                    <w:t>北</w:t>
                  </w:r>
                </w:p>
              </w:tc>
              <w:tc>
                <w:tcPr>
                  <w:tcW w:w="232" w:type="pct"/>
                  <w:noWrap w:val="0"/>
                  <w:vAlign w:val="center"/>
                </w:tcPr>
                <w:p w14:paraId="312EBA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56</w:t>
                  </w:r>
                </w:p>
              </w:tc>
              <w:tc>
                <w:tcPr>
                  <w:tcW w:w="1003" w:type="dxa"/>
                  <w:noWrap w:val="0"/>
                  <w:vAlign w:val="center"/>
                </w:tcPr>
                <w:p w14:paraId="1713CB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60.0 </w:t>
                  </w:r>
                </w:p>
              </w:tc>
              <w:tc>
                <w:tcPr>
                  <w:tcW w:w="367" w:type="pct"/>
                  <w:vMerge w:val="continue"/>
                  <w:noWrap w:val="0"/>
                  <w:vAlign w:val="top"/>
                </w:tcPr>
                <w:p w14:paraId="044FA31A">
                  <w:pPr>
                    <w:jc w:val="center"/>
                    <w:rPr>
                      <w:u w:val="none"/>
                    </w:rPr>
                  </w:pPr>
                </w:p>
              </w:tc>
              <w:tc>
                <w:tcPr>
                  <w:tcW w:w="0" w:type="auto"/>
                  <w:noWrap w:val="0"/>
                  <w:vAlign w:val="center"/>
                </w:tcPr>
                <w:p w14:paraId="56D765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noWrap w:val="0"/>
                  <w:vAlign w:val="center"/>
                </w:tcPr>
                <w:p w14:paraId="1C3A97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45.0 </w:t>
                  </w:r>
                </w:p>
              </w:tc>
              <w:tc>
                <w:tcPr>
                  <w:tcW w:w="0" w:type="auto"/>
                  <w:noWrap w:val="0"/>
                  <w:vAlign w:val="center"/>
                </w:tcPr>
                <w:p w14:paraId="02731FAC">
                  <w:pPr>
                    <w:jc w:val="center"/>
                    <w:rPr>
                      <w:kern w:val="2"/>
                      <w:sz w:val="21"/>
                      <w:szCs w:val="24"/>
                      <w:u w:val="none"/>
                      <w:lang w:val="en-US" w:eastAsia="zh-CN" w:bidi="ar-SA"/>
                    </w:rPr>
                  </w:pPr>
                  <w:r>
                    <w:rPr>
                      <w:u w:val="none"/>
                    </w:rPr>
                    <w:t>1m</w:t>
                  </w:r>
                </w:p>
              </w:tc>
            </w:tr>
            <w:tr w14:paraId="0D9E703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shd w:val="clear" w:color="auto" w:fill="auto"/>
                  <w:noWrap w:val="0"/>
                  <w:vAlign w:val="center"/>
                </w:tcPr>
                <w:p w14:paraId="7E8C2744">
                  <w:pPr>
                    <w:jc w:val="center"/>
                    <w:rPr>
                      <w:rFonts w:hint="default" w:ascii="Times New Roman" w:hAnsi="Times New Roman" w:eastAsia="宋体" w:cs="Times New Roman"/>
                      <w:kern w:val="2"/>
                      <w:sz w:val="21"/>
                      <w:szCs w:val="24"/>
                      <w:u w:val="none"/>
                      <w:lang w:val="en-US" w:eastAsia="zh-CN" w:bidi="ar-SA"/>
                    </w:rPr>
                  </w:pPr>
                  <w:r>
                    <w:rPr>
                      <w:rFonts w:hint="eastAsia"/>
                      <w:kern w:val="2"/>
                      <w:sz w:val="21"/>
                      <w:szCs w:val="24"/>
                      <w:u w:val="none"/>
                      <w:lang w:val="en-US" w:eastAsia="zh-CN" w:bidi="ar-SA"/>
                    </w:rPr>
                    <w:t>13</w:t>
                  </w:r>
                </w:p>
              </w:tc>
              <w:tc>
                <w:tcPr>
                  <w:tcW w:w="264" w:type="pct"/>
                  <w:vMerge w:val="continue"/>
                  <w:shd w:val="clear" w:color="auto" w:fill="auto"/>
                  <w:noWrap w:val="0"/>
                  <w:vAlign w:val="center"/>
                </w:tcPr>
                <w:p w14:paraId="7473EC31">
                  <w:pPr>
                    <w:jc w:val="center"/>
                    <w:rPr>
                      <w:rFonts w:ascii="Times New Roman" w:hAnsi="Times New Roman" w:eastAsia="宋体" w:cs="Times New Roman"/>
                      <w:kern w:val="2"/>
                      <w:sz w:val="21"/>
                      <w:szCs w:val="24"/>
                      <w:u w:val="none"/>
                      <w:lang w:val="en-US" w:eastAsia="zh-CN" w:bidi="ar-SA"/>
                    </w:rPr>
                  </w:pPr>
                </w:p>
              </w:tc>
              <w:tc>
                <w:tcPr>
                  <w:tcW w:w="282" w:type="pct"/>
                  <w:vMerge w:val="restart"/>
                  <w:shd w:val="clear" w:color="auto" w:fill="auto"/>
                  <w:noWrap w:val="0"/>
                  <w:vAlign w:val="center"/>
                </w:tcPr>
                <w:p w14:paraId="738B7480">
                  <w:pPr>
                    <w:jc w:val="center"/>
                    <w:rPr>
                      <w:rFonts w:hint="default" w:ascii="Times New Roman" w:hAnsi="Times New Roman" w:eastAsia="宋体" w:cs="Times New Roman"/>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PE混料机</w:t>
                  </w:r>
                </w:p>
              </w:tc>
              <w:tc>
                <w:tcPr>
                  <w:tcW w:w="597" w:type="pct"/>
                  <w:vMerge w:val="restart"/>
                  <w:shd w:val="clear" w:color="auto" w:fill="auto"/>
                  <w:noWrap w:val="0"/>
                  <w:vAlign w:val="center"/>
                </w:tcPr>
                <w:p w14:paraId="48E999F0">
                  <w:pPr>
                    <w:jc w:val="center"/>
                    <w:rPr>
                      <w:rFonts w:ascii="Times New Roman" w:hAnsi="Times New Roman" w:eastAsia="宋体" w:cs="Times New Roman"/>
                      <w:kern w:val="2"/>
                      <w:sz w:val="21"/>
                      <w:szCs w:val="24"/>
                      <w:u w:val="none"/>
                      <w:lang w:val="en-US" w:eastAsia="zh-CN" w:bidi="ar-SA"/>
                    </w:rPr>
                  </w:pPr>
                  <w:r>
                    <w:rPr>
                      <w:rFonts w:hint="eastAsia"/>
                      <w:u w:val="none"/>
                      <w:lang w:val="en-US" w:eastAsia="zh-CN"/>
                    </w:rPr>
                    <w:t>90</w:t>
                  </w:r>
                  <w:r>
                    <w:rPr>
                      <w:u w:val="none"/>
                    </w:rPr>
                    <w:t>/1</w:t>
                  </w:r>
                </w:p>
              </w:tc>
              <w:tc>
                <w:tcPr>
                  <w:tcW w:w="265" w:type="pct"/>
                  <w:vMerge w:val="continue"/>
                  <w:shd w:val="clear" w:color="auto" w:fill="auto"/>
                  <w:noWrap w:val="0"/>
                  <w:vAlign w:val="center"/>
                </w:tcPr>
                <w:p w14:paraId="082C7879">
                  <w:pPr>
                    <w:jc w:val="center"/>
                    <w:rPr>
                      <w:rFonts w:ascii="Times New Roman" w:hAnsi="Times New Roman" w:eastAsia="宋体" w:cs="Times New Roman"/>
                      <w:kern w:val="2"/>
                      <w:sz w:val="21"/>
                      <w:szCs w:val="24"/>
                      <w:u w:val="none"/>
                      <w:lang w:val="en-US" w:eastAsia="zh-CN" w:bidi="ar-SA"/>
                    </w:rPr>
                  </w:pPr>
                </w:p>
              </w:tc>
              <w:tc>
                <w:tcPr>
                  <w:tcW w:w="179" w:type="pct"/>
                  <w:vMerge w:val="restart"/>
                  <w:shd w:val="clear" w:color="auto" w:fill="auto"/>
                  <w:noWrap w:val="0"/>
                  <w:vAlign w:val="center"/>
                </w:tcPr>
                <w:p w14:paraId="3D5AE81F">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28</w:t>
                  </w:r>
                </w:p>
              </w:tc>
              <w:tc>
                <w:tcPr>
                  <w:tcW w:w="243" w:type="pct"/>
                  <w:vMerge w:val="restart"/>
                  <w:shd w:val="clear" w:color="auto" w:fill="auto"/>
                  <w:noWrap w:val="0"/>
                  <w:vAlign w:val="center"/>
                </w:tcPr>
                <w:p w14:paraId="35B90D23">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-21</w:t>
                  </w:r>
                </w:p>
              </w:tc>
              <w:tc>
                <w:tcPr>
                  <w:tcW w:w="257" w:type="dxa"/>
                  <w:vMerge w:val="restart"/>
                  <w:shd w:val="clear" w:color="auto" w:fill="auto"/>
                  <w:noWrap w:val="0"/>
                  <w:vAlign w:val="center"/>
                </w:tcPr>
                <w:p w14:paraId="6158A52F">
                  <w:pPr>
                    <w:jc w:val="center"/>
                    <w:rPr>
                      <w:rFonts w:hint="eastAsia" w:ascii="Times New Roman" w:hAnsi="Times New Roman" w:eastAsia="宋体" w:cs="Times New Roman"/>
                      <w:kern w:val="2"/>
                      <w:sz w:val="21"/>
                      <w:szCs w:val="24"/>
                      <w:u w:val="none"/>
                      <w:lang w:val="en-US" w:eastAsia="zh-CN" w:bidi="ar-SA"/>
                    </w:rPr>
                  </w:pPr>
                  <w:r>
                    <w:rPr>
                      <w:rFonts w:hint="eastAsia"/>
                      <w:u w:val="none"/>
                      <w:lang w:val="en-US" w:eastAsia="zh-CN"/>
                    </w:rPr>
                    <w:t>1</w:t>
                  </w:r>
                </w:p>
              </w:tc>
              <w:tc>
                <w:tcPr>
                  <w:tcW w:w="0" w:type="auto"/>
                  <w:shd w:val="clear" w:color="auto" w:fill="auto"/>
                  <w:noWrap w:val="0"/>
                  <w:vAlign w:val="center"/>
                </w:tcPr>
                <w:p w14:paraId="31D658EC">
                  <w:pPr>
                    <w:jc w:val="center"/>
                    <w:rPr>
                      <w:rFonts w:ascii="Times New Roman" w:hAnsi="Times New Roman" w:eastAsia="宋体" w:cs="Times New Roman"/>
                      <w:kern w:val="2"/>
                      <w:sz w:val="21"/>
                      <w:szCs w:val="24"/>
                      <w:u w:val="none"/>
                      <w:lang w:val="en-US" w:eastAsia="zh-CN" w:bidi="ar-SA"/>
                    </w:rPr>
                  </w:pPr>
                  <w:r>
                    <w:rPr>
                      <w:u w:val="none"/>
                    </w:rPr>
                    <w:t>东</w:t>
                  </w:r>
                </w:p>
              </w:tc>
              <w:tc>
                <w:tcPr>
                  <w:tcW w:w="232" w:type="pct"/>
                  <w:shd w:val="clear" w:color="auto" w:fill="auto"/>
                  <w:noWrap w:val="0"/>
                  <w:vAlign w:val="center"/>
                </w:tcPr>
                <w:p w14:paraId="09BB93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13</w:t>
                  </w:r>
                </w:p>
              </w:tc>
              <w:tc>
                <w:tcPr>
                  <w:tcW w:w="1003" w:type="dxa"/>
                  <w:shd w:val="clear" w:color="auto" w:fill="auto"/>
                  <w:noWrap w:val="0"/>
                  <w:vAlign w:val="center"/>
                </w:tcPr>
                <w:p w14:paraId="3C4035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67.7 </w:t>
                  </w:r>
                </w:p>
              </w:tc>
              <w:tc>
                <w:tcPr>
                  <w:tcW w:w="367" w:type="pct"/>
                  <w:vMerge w:val="continue"/>
                  <w:shd w:val="clear" w:color="auto" w:fill="auto"/>
                  <w:noWrap w:val="0"/>
                  <w:vAlign w:val="top"/>
                </w:tcPr>
                <w:p w14:paraId="62D9D28D">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noWrap w:val="0"/>
                  <w:vAlign w:val="center"/>
                </w:tcPr>
                <w:p w14:paraId="788CE6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noWrap w:val="0"/>
                  <w:vAlign w:val="center"/>
                </w:tcPr>
                <w:p w14:paraId="06F3B6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52.7 </w:t>
                  </w:r>
                </w:p>
              </w:tc>
              <w:tc>
                <w:tcPr>
                  <w:tcW w:w="0" w:type="auto"/>
                  <w:shd w:val="clear" w:color="auto" w:fill="auto"/>
                  <w:noWrap w:val="0"/>
                  <w:vAlign w:val="center"/>
                </w:tcPr>
                <w:p w14:paraId="22BC2F74">
                  <w:pPr>
                    <w:jc w:val="center"/>
                    <w:rPr>
                      <w:rFonts w:ascii="Times New Roman" w:hAnsi="Times New Roman" w:eastAsia="宋体" w:cs="Times New Roman"/>
                      <w:kern w:val="2"/>
                      <w:sz w:val="21"/>
                      <w:szCs w:val="24"/>
                      <w:u w:val="none"/>
                      <w:lang w:val="en-US" w:eastAsia="zh-CN" w:bidi="ar-SA"/>
                    </w:rPr>
                  </w:pPr>
                  <w:r>
                    <w:rPr>
                      <w:u w:val="none"/>
                    </w:rPr>
                    <w:t>1m</w:t>
                  </w:r>
                </w:p>
              </w:tc>
            </w:tr>
            <w:tr w14:paraId="10ADF64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70941FFF">
                  <w:pPr>
                    <w:jc w:val="center"/>
                    <w:rPr>
                      <w:u w:val="none"/>
                    </w:rPr>
                  </w:pPr>
                </w:p>
              </w:tc>
              <w:tc>
                <w:tcPr>
                  <w:tcW w:w="264" w:type="pct"/>
                  <w:vMerge w:val="continue"/>
                </w:tcPr>
                <w:p w14:paraId="4D91C54A">
                  <w:pPr>
                    <w:jc w:val="center"/>
                    <w:rPr>
                      <w:u w:val="none"/>
                    </w:rPr>
                  </w:pPr>
                </w:p>
              </w:tc>
              <w:tc>
                <w:tcPr>
                  <w:tcW w:w="282" w:type="pct"/>
                  <w:vMerge w:val="continue"/>
                </w:tcPr>
                <w:p w14:paraId="1537B370">
                  <w:pPr>
                    <w:jc w:val="center"/>
                    <w:rPr>
                      <w:u w:val="none"/>
                    </w:rPr>
                  </w:pPr>
                </w:p>
              </w:tc>
              <w:tc>
                <w:tcPr>
                  <w:tcW w:w="597" w:type="pct"/>
                  <w:vMerge w:val="continue"/>
                </w:tcPr>
                <w:p w14:paraId="54B38DBB">
                  <w:pPr>
                    <w:jc w:val="center"/>
                    <w:rPr>
                      <w:u w:val="none"/>
                    </w:rPr>
                  </w:pPr>
                </w:p>
              </w:tc>
              <w:tc>
                <w:tcPr>
                  <w:tcW w:w="265" w:type="pct"/>
                  <w:vMerge w:val="continue"/>
                </w:tcPr>
                <w:p w14:paraId="23A650BB">
                  <w:pPr>
                    <w:jc w:val="center"/>
                    <w:rPr>
                      <w:u w:val="none"/>
                    </w:rPr>
                  </w:pPr>
                </w:p>
              </w:tc>
              <w:tc>
                <w:tcPr>
                  <w:tcW w:w="179" w:type="pct"/>
                  <w:vMerge w:val="continue"/>
                </w:tcPr>
                <w:p w14:paraId="1460DA85">
                  <w:pPr>
                    <w:jc w:val="center"/>
                    <w:rPr>
                      <w:u w:val="none"/>
                    </w:rPr>
                  </w:pPr>
                </w:p>
              </w:tc>
              <w:tc>
                <w:tcPr>
                  <w:tcW w:w="243" w:type="pct"/>
                  <w:vMerge w:val="continue"/>
                </w:tcPr>
                <w:p w14:paraId="44E9B67D">
                  <w:pPr>
                    <w:jc w:val="center"/>
                    <w:rPr>
                      <w:u w:val="none"/>
                    </w:rPr>
                  </w:pPr>
                </w:p>
              </w:tc>
              <w:tc>
                <w:tcPr>
                  <w:tcW w:w="153" w:type="pct"/>
                  <w:vMerge w:val="continue"/>
                </w:tcPr>
                <w:p w14:paraId="1BDA0239">
                  <w:pPr>
                    <w:jc w:val="center"/>
                    <w:rPr>
                      <w:u w:val="none"/>
                    </w:rPr>
                  </w:pPr>
                </w:p>
              </w:tc>
              <w:tc>
                <w:tcPr>
                  <w:tcW w:w="0" w:type="auto"/>
                  <w:shd w:val="clear" w:color="auto" w:fill="auto"/>
                  <w:vAlign w:val="center"/>
                </w:tcPr>
                <w:p w14:paraId="0D4B0307">
                  <w:pPr>
                    <w:jc w:val="center"/>
                    <w:rPr>
                      <w:rFonts w:ascii="Times New Roman" w:hAnsi="Times New Roman" w:eastAsia="宋体" w:cs="Times New Roman"/>
                      <w:kern w:val="2"/>
                      <w:sz w:val="21"/>
                      <w:szCs w:val="24"/>
                      <w:u w:val="none"/>
                      <w:lang w:val="en-US" w:eastAsia="zh-CN" w:bidi="ar-SA"/>
                    </w:rPr>
                  </w:pPr>
                  <w:r>
                    <w:rPr>
                      <w:u w:val="none"/>
                    </w:rPr>
                    <w:t>南</w:t>
                  </w:r>
                </w:p>
              </w:tc>
              <w:tc>
                <w:tcPr>
                  <w:tcW w:w="0" w:type="auto"/>
                  <w:shd w:val="clear" w:color="auto" w:fill="auto"/>
                  <w:vAlign w:val="center"/>
                </w:tcPr>
                <w:p w14:paraId="22AD13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18</w:t>
                  </w:r>
                </w:p>
              </w:tc>
              <w:tc>
                <w:tcPr>
                  <w:tcW w:w="1003" w:type="dxa"/>
                  <w:shd w:val="clear" w:color="auto" w:fill="auto"/>
                  <w:vAlign w:val="center"/>
                </w:tcPr>
                <w:p w14:paraId="491EF3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64.9 </w:t>
                  </w:r>
                </w:p>
              </w:tc>
              <w:tc>
                <w:tcPr>
                  <w:tcW w:w="367" w:type="pct"/>
                  <w:vMerge w:val="continue"/>
                </w:tcPr>
                <w:p w14:paraId="399D57A9">
                  <w:pPr>
                    <w:jc w:val="center"/>
                    <w:rPr>
                      <w:u w:val="none"/>
                    </w:rPr>
                  </w:pPr>
                </w:p>
              </w:tc>
              <w:tc>
                <w:tcPr>
                  <w:tcW w:w="0" w:type="auto"/>
                  <w:shd w:val="clear" w:color="auto" w:fill="auto"/>
                  <w:vAlign w:val="center"/>
                </w:tcPr>
                <w:p w14:paraId="726631C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68E946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49.9 </w:t>
                  </w:r>
                </w:p>
              </w:tc>
              <w:tc>
                <w:tcPr>
                  <w:tcW w:w="0" w:type="auto"/>
                  <w:shd w:val="clear" w:color="auto" w:fill="auto"/>
                  <w:vAlign w:val="center"/>
                </w:tcPr>
                <w:p w14:paraId="05EF8F34">
                  <w:pPr>
                    <w:jc w:val="center"/>
                    <w:rPr>
                      <w:rFonts w:ascii="Times New Roman" w:hAnsi="Times New Roman" w:eastAsia="宋体" w:cs="Times New Roman"/>
                      <w:kern w:val="2"/>
                      <w:sz w:val="21"/>
                      <w:szCs w:val="24"/>
                      <w:u w:val="none"/>
                      <w:lang w:val="en-US" w:eastAsia="zh-CN" w:bidi="ar-SA"/>
                    </w:rPr>
                  </w:pPr>
                  <w:r>
                    <w:rPr>
                      <w:u w:val="none"/>
                    </w:rPr>
                    <w:t>1m</w:t>
                  </w:r>
                </w:p>
              </w:tc>
            </w:tr>
            <w:tr w14:paraId="59EF8C5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4EE1CC3E">
                  <w:pPr>
                    <w:jc w:val="center"/>
                    <w:rPr>
                      <w:u w:val="none"/>
                    </w:rPr>
                  </w:pPr>
                </w:p>
              </w:tc>
              <w:tc>
                <w:tcPr>
                  <w:tcW w:w="264" w:type="pct"/>
                  <w:vMerge w:val="continue"/>
                </w:tcPr>
                <w:p w14:paraId="10DCFDB4">
                  <w:pPr>
                    <w:jc w:val="center"/>
                    <w:rPr>
                      <w:u w:val="none"/>
                    </w:rPr>
                  </w:pPr>
                </w:p>
              </w:tc>
              <w:tc>
                <w:tcPr>
                  <w:tcW w:w="282" w:type="pct"/>
                  <w:vMerge w:val="continue"/>
                </w:tcPr>
                <w:p w14:paraId="63969757">
                  <w:pPr>
                    <w:jc w:val="center"/>
                    <w:rPr>
                      <w:u w:val="none"/>
                    </w:rPr>
                  </w:pPr>
                </w:p>
              </w:tc>
              <w:tc>
                <w:tcPr>
                  <w:tcW w:w="597" w:type="pct"/>
                  <w:vMerge w:val="continue"/>
                </w:tcPr>
                <w:p w14:paraId="37C06E04">
                  <w:pPr>
                    <w:jc w:val="center"/>
                    <w:rPr>
                      <w:u w:val="none"/>
                    </w:rPr>
                  </w:pPr>
                </w:p>
              </w:tc>
              <w:tc>
                <w:tcPr>
                  <w:tcW w:w="265" w:type="pct"/>
                  <w:vMerge w:val="continue"/>
                </w:tcPr>
                <w:p w14:paraId="242FAC12">
                  <w:pPr>
                    <w:jc w:val="center"/>
                    <w:rPr>
                      <w:u w:val="none"/>
                    </w:rPr>
                  </w:pPr>
                </w:p>
              </w:tc>
              <w:tc>
                <w:tcPr>
                  <w:tcW w:w="179" w:type="pct"/>
                  <w:vMerge w:val="continue"/>
                </w:tcPr>
                <w:p w14:paraId="433116E7">
                  <w:pPr>
                    <w:jc w:val="center"/>
                    <w:rPr>
                      <w:u w:val="none"/>
                    </w:rPr>
                  </w:pPr>
                </w:p>
              </w:tc>
              <w:tc>
                <w:tcPr>
                  <w:tcW w:w="243" w:type="pct"/>
                  <w:vMerge w:val="continue"/>
                </w:tcPr>
                <w:p w14:paraId="103A4690">
                  <w:pPr>
                    <w:jc w:val="center"/>
                    <w:rPr>
                      <w:u w:val="none"/>
                    </w:rPr>
                  </w:pPr>
                </w:p>
              </w:tc>
              <w:tc>
                <w:tcPr>
                  <w:tcW w:w="153" w:type="pct"/>
                  <w:vMerge w:val="continue"/>
                </w:tcPr>
                <w:p w14:paraId="5D53CB53">
                  <w:pPr>
                    <w:jc w:val="center"/>
                    <w:rPr>
                      <w:u w:val="none"/>
                    </w:rPr>
                  </w:pPr>
                </w:p>
              </w:tc>
              <w:tc>
                <w:tcPr>
                  <w:tcW w:w="0" w:type="auto"/>
                  <w:shd w:val="clear" w:color="auto" w:fill="auto"/>
                  <w:vAlign w:val="center"/>
                </w:tcPr>
                <w:p w14:paraId="63E67A97">
                  <w:pPr>
                    <w:jc w:val="center"/>
                    <w:rPr>
                      <w:rFonts w:ascii="Times New Roman" w:hAnsi="Times New Roman" w:eastAsia="宋体" w:cs="Times New Roman"/>
                      <w:kern w:val="2"/>
                      <w:sz w:val="21"/>
                      <w:szCs w:val="24"/>
                      <w:u w:val="none"/>
                      <w:lang w:val="en-US" w:eastAsia="zh-CN" w:bidi="ar-SA"/>
                    </w:rPr>
                  </w:pPr>
                  <w:r>
                    <w:rPr>
                      <w:u w:val="none"/>
                    </w:rPr>
                    <w:t>西</w:t>
                  </w:r>
                </w:p>
              </w:tc>
              <w:tc>
                <w:tcPr>
                  <w:tcW w:w="0" w:type="auto"/>
                  <w:shd w:val="clear" w:color="auto" w:fill="auto"/>
                  <w:vAlign w:val="center"/>
                </w:tcPr>
                <w:p w14:paraId="6535F8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69</w:t>
                  </w:r>
                </w:p>
              </w:tc>
              <w:tc>
                <w:tcPr>
                  <w:tcW w:w="1003" w:type="dxa"/>
                  <w:shd w:val="clear" w:color="auto" w:fill="auto"/>
                  <w:vAlign w:val="center"/>
                </w:tcPr>
                <w:p w14:paraId="760274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53.2 </w:t>
                  </w:r>
                </w:p>
              </w:tc>
              <w:tc>
                <w:tcPr>
                  <w:tcW w:w="367" w:type="pct"/>
                  <w:vMerge w:val="continue"/>
                </w:tcPr>
                <w:p w14:paraId="1E305B1B">
                  <w:pPr>
                    <w:jc w:val="center"/>
                    <w:rPr>
                      <w:u w:val="none"/>
                    </w:rPr>
                  </w:pPr>
                </w:p>
              </w:tc>
              <w:tc>
                <w:tcPr>
                  <w:tcW w:w="0" w:type="auto"/>
                  <w:shd w:val="clear" w:color="auto" w:fill="auto"/>
                  <w:vAlign w:val="center"/>
                </w:tcPr>
                <w:p w14:paraId="0EBAB7A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1FD3C0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38.2 </w:t>
                  </w:r>
                </w:p>
              </w:tc>
              <w:tc>
                <w:tcPr>
                  <w:tcW w:w="0" w:type="auto"/>
                  <w:shd w:val="clear" w:color="auto" w:fill="auto"/>
                  <w:vAlign w:val="center"/>
                </w:tcPr>
                <w:p w14:paraId="2DE915A6">
                  <w:pPr>
                    <w:jc w:val="center"/>
                    <w:rPr>
                      <w:rFonts w:ascii="Times New Roman" w:hAnsi="Times New Roman" w:eastAsia="宋体" w:cs="Times New Roman"/>
                      <w:kern w:val="2"/>
                      <w:sz w:val="21"/>
                      <w:szCs w:val="24"/>
                      <w:u w:val="none"/>
                      <w:lang w:val="en-US" w:eastAsia="zh-CN" w:bidi="ar-SA"/>
                    </w:rPr>
                  </w:pPr>
                  <w:r>
                    <w:rPr>
                      <w:u w:val="none"/>
                    </w:rPr>
                    <w:t>1m</w:t>
                  </w:r>
                </w:p>
              </w:tc>
            </w:tr>
            <w:tr w14:paraId="02C1AB5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289D09EC">
                  <w:pPr>
                    <w:jc w:val="center"/>
                    <w:rPr>
                      <w:u w:val="none"/>
                    </w:rPr>
                  </w:pPr>
                </w:p>
              </w:tc>
              <w:tc>
                <w:tcPr>
                  <w:tcW w:w="264" w:type="pct"/>
                  <w:vMerge w:val="continue"/>
                </w:tcPr>
                <w:p w14:paraId="2BEBB464">
                  <w:pPr>
                    <w:jc w:val="center"/>
                    <w:rPr>
                      <w:u w:val="none"/>
                    </w:rPr>
                  </w:pPr>
                </w:p>
              </w:tc>
              <w:tc>
                <w:tcPr>
                  <w:tcW w:w="282" w:type="pct"/>
                  <w:vMerge w:val="continue"/>
                </w:tcPr>
                <w:p w14:paraId="0C6750B3">
                  <w:pPr>
                    <w:jc w:val="center"/>
                    <w:rPr>
                      <w:u w:val="none"/>
                    </w:rPr>
                  </w:pPr>
                </w:p>
              </w:tc>
              <w:tc>
                <w:tcPr>
                  <w:tcW w:w="597" w:type="pct"/>
                  <w:vMerge w:val="continue"/>
                </w:tcPr>
                <w:p w14:paraId="44AAF813">
                  <w:pPr>
                    <w:jc w:val="center"/>
                    <w:rPr>
                      <w:u w:val="none"/>
                    </w:rPr>
                  </w:pPr>
                </w:p>
              </w:tc>
              <w:tc>
                <w:tcPr>
                  <w:tcW w:w="265" w:type="pct"/>
                  <w:vMerge w:val="continue"/>
                </w:tcPr>
                <w:p w14:paraId="13C99F39">
                  <w:pPr>
                    <w:jc w:val="center"/>
                    <w:rPr>
                      <w:u w:val="none"/>
                    </w:rPr>
                  </w:pPr>
                </w:p>
              </w:tc>
              <w:tc>
                <w:tcPr>
                  <w:tcW w:w="179" w:type="pct"/>
                  <w:vMerge w:val="continue"/>
                </w:tcPr>
                <w:p w14:paraId="29C0AA2D">
                  <w:pPr>
                    <w:jc w:val="center"/>
                    <w:rPr>
                      <w:u w:val="none"/>
                    </w:rPr>
                  </w:pPr>
                </w:p>
              </w:tc>
              <w:tc>
                <w:tcPr>
                  <w:tcW w:w="243" w:type="pct"/>
                  <w:vMerge w:val="continue"/>
                </w:tcPr>
                <w:p w14:paraId="32808746">
                  <w:pPr>
                    <w:jc w:val="center"/>
                    <w:rPr>
                      <w:u w:val="none"/>
                    </w:rPr>
                  </w:pPr>
                </w:p>
              </w:tc>
              <w:tc>
                <w:tcPr>
                  <w:tcW w:w="153" w:type="pct"/>
                  <w:vMerge w:val="continue"/>
                </w:tcPr>
                <w:p w14:paraId="4C01F28E">
                  <w:pPr>
                    <w:jc w:val="center"/>
                    <w:rPr>
                      <w:u w:val="none"/>
                    </w:rPr>
                  </w:pPr>
                </w:p>
              </w:tc>
              <w:tc>
                <w:tcPr>
                  <w:tcW w:w="0" w:type="auto"/>
                  <w:shd w:val="clear" w:color="auto" w:fill="auto"/>
                  <w:vAlign w:val="center"/>
                </w:tcPr>
                <w:p w14:paraId="2106D001">
                  <w:pPr>
                    <w:jc w:val="center"/>
                    <w:rPr>
                      <w:rFonts w:ascii="Times New Roman" w:hAnsi="Times New Roman" w:eastAsia="宋体" w:cs="Times New Roman"/>
                      <w:kern w:val="2"/>
                      <w:sz w:val="21"/>
                      <w:szCs w:val="24"/>
                      <w:u w:val="none"/>
                      <w:lang w:val="en-US" w:eastAsia="zh-CN" w:bidi="ar-SA"/>
                    </w:rPr>
                  </w:pPr>
                  <w:r>
                    <w:rPr>
                      <w:u w:val="none"/>
                    </w:rPr>
                    <w:t>北</w:t>
                  </w:r>
                </w:p>
              </w:tc>
              <w:tc>
                <w:tcPr>
                  <w:tcW w:w="0" w:type="auto"/>
                  <w:shd w:val="clear" w:color="auto" w:fill="auto"/>
                  <w:vAlign w:val="center"/>
                </w:tcPr>
                <w:p w14:paraId="7EE932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60</w:t>
                  </w:r>
                </w:p>
              </w:tc>
              <w:tc>
                <w:tcPr>
                  <w:tcW w:w="1003" w:type="dxa"/>
                  <w:shd w:val="clear" w:color="auto" w:fill="auto"/>
                  <w:vAlign w:val="center"/>
                </w:tcPr>
                <w:p w14:paraId="3B8366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54.4 </w:t>
                  </w:r>
                </w:p>
              </w:tc>
              <w:tc>
                <w:tcPr>
                  <w:tcW w:w="367" w:type="pct"/>
                  <w:vMerge w:val="continue"/>
                </w:tcPr>
                <w:p w14:paraId="7D0F7225">
                  <w:pPr>
                    <w:jc w:val="center"/>
                    <w:rPr>
                      <w:u w:val="none"/>
                    </w:rPr>
                  </w:pPr>
                </w:p>
              </w:tc>
              <w:tc>
                <w:tcPr>
                  <w:tcW w:w="0" w:type="auto"/>
                  <w:shd w:val="clear" w:color="auto" w:fill="auto"/>
                  <w:vAlign w:val="center"/>
                </w:tcPr>
                <w:p w14:paraId="536BDF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632B16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39.4 </w:t>
                  </w:r>
                </w:p>
              </w:tc>
              <w:tc>
                <w:tcPr>
                  <w:tcW w:w="0" w:type="auto"/>
                  <w:shd w:val="clear" w:color="auto" w:fill="auto"/>
                  <w:vAlign w:val="center"/>
                </w:tcPr>
                <w:p w14:paraId="6C8131C4">
                  <w:pPr>
                    <w:jc w:val="center"/>
                    <w:rPr>
                      <w:rFonts w:ascii="Times New Roman" w:hAnsi="Times New Roman" w:eastAsia="宋体" w:cs="Times New Roman"/>
                      <w:kern w:val="2"/>
                      <w:sz w:val="21"/>
                      <w:szCs w:val="24"/>
                      <w:u w:val="none"/>
                      <w:lang w:val="en-US" w:eastAsia="zh-CN" w:bidi="ar-SA"/>
                    </w:rPr>
                  </w:pPr>
                  <w:r>
                    <w:rPr>
                      <w:u w:val="none"/>
                    </w:rPr>
                    <w:t>1m</w:t>
                  </w:r>
                </w:p>
              </w:tc>
            </w:tr>
            <w:tr w14:paraId="4523216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shd w:val="clear" w:color="auto" w:fill="auto"/>
                  <w:vAlign w:val="center"/>
                </w:tcPr>
                <w:p w14:paraId="104DDF9B">
                  <w:pPr>
                    <w:jc w:val="center"/>
                    <w:rPr>
                      <w:rFonts w:hint="default" w:ascii="Times New Roman" w:hAnsi="Times New Roman" w:eastAsia="宋体" w:cs="Times New Roman"/>
                      <w:kern w:val="2"/>
                      <w:sz w:val="21"/>
                      <w:szCs w:val="24"/>
                      <w:u w:val="none"/>
                      <w:lang w:val="en-US" w:eastAsia="zh-CN" w:bidi="ar-SA"/>
                    </w:rPr>
                  </w:pPr>
                  <w:r>
                    <w:rPr>
                      <w:rFonts w:hint="eastAsia"/>
                      <w:kern w:val="2"/>
                      <w:sz w:val="21"/>
                      <w:szCs w:val="24"/>
                      <w:u w:val="none"/>
                      <w:lang w:val="en-US" w:eastAsia="zh-CN" w:bidi="ar-SA"/>
                    </w:rPr>
                    <w:t>13</w:t>
                  </w:r>
                </w:p>
              </w:tc>
              <w:tc>
                <w:tcPr>
                  <w:tcW w:w="264" w:type="pct"/>
                  <w:vMerge w:val="continue"/>
                  <w:shd w:val="clear" w:color="auto" w:fill="auto"/>
                  <w:vAlign w:val="center"/>
                </w:tcPr>
                <w:p w14:paraId="442DCFB0">
                  <w:pPr>
                    <w:jc w:val="center"/>
                    <w:rPr>
                      <w:rFonts w:ascii="Times New Roman" w:hAnsi="Times New Roman" w:eastAsia="宋体" w:cs="Times New Roman"/>
                      <w:kern w:val="2"/>
                      <w:sz w:val="21"/>
                      <w:szCs w:val="24"/>
                      <w:u w:val="none"/>
                      <w:lang w:val="en-US" w:eastAsia="zh-CN" w:bidi="ar-SA"/>
                    </w:rPr>
                  </w:pPr>
                </w:p>
              </w:tc>
              <w:tc>
                <w:tcPr>
                  <w:tcW w:w="282" w:type="pct"/>
                  <w:vMerge w:val="restart"/>
                  <w:shd w:val="clear" w:color="auto" w:fill="auto"/>
                  <w:vAlign w:val="center"/>
                </w:tcPr>
                <w:p w14:paraId="367203B8">
                  <w:pPr>
                    <w:jc w:val="center"/>
                    <w:rPr>
                      <w:rFonts w:hint="default" w:ascii="Times New Roman" w:hAnsi="Times New Roman" w:eastAsia="宋体" w:cs="Times New Roman"/>
                      <w:kern w:val="2"/>
                      <w:sz w:val="21"/>
                      <w:szCs w:val="24"/>
                      <w:u w:val="none"/>
                      <w:lang w:val="en-US" w:eastAsia="zh-CN" w:bidi="ar-SA"/>
                    </w:rPr>
                  </w:pPr>
                  <w:r>
                    <w:rPr>
                      <w:rStyle w:val="157"/>
                      <w:rFonts w:hint="default" w:ascii="Times New Roman" w:hAnsi="Times New Roman" w:eastAsia="宋体" w:cs="Times New Roman"/>
                      <w:sz w:val="21"/>
                      <w:szCs w:val="21"/>
                      <w:lang w:val="en-US" w:eastAsia="zh-CN" w:bidi="ar"/>
                    </w:rPr>
                    <w:t>PE粘粉碎机</w:t>
                  </w:r>
                </w:p>
              </w:tc>
              <w:tc>
                <w:tcPr>
                  <w:tcW w:w="597" w:type="pct"/>
                  <w:vMerge w:val="restart"/>
                  <w:shd w:val="clear" w:color="auto" w:fill="auto"/>
                  <w:vAlign w:val="center"/>
                </w:tcPr>
                <w:p w14:paraId="5055F59F">
                  <w:pPr>
                    <w:jc w:val="center"/>
                    <w:rPr>
                      <w:rFonts w:ascii="Times New Roman" w:hAnsi="Times New Roman" w:eastAsia="宋体" w:cs="Times New Roman"/>
                      <w:kern w:val="2"/>
                      <w:sz w:val="21"/>
                      <w:szCs w:val="24"/>
                      <w:u w:val="none"/>
                      <w:lang w:val="en-US" w:eastAsia="zh-CN" w:bidi="ar-SA"/>
                    </w:rPr>
                  </w:pPr>
                  <w:r>
                    <w:rPr>
                      <w:rFonts w:hint="eastAsia"/>
                      <w:u w:val="none"/>
                      <w:lang w:val="en-US" w:eastAsia="zh-CN"/>
                    </w:rPr>
                    <w:t>90</w:t>
                  </w:r>
                  <w:r>
                    <w:rPr>
                      <w:u w:val="none"/>
                    </w:rPr>
                    <w:t>/1</w:t>
                  </w:r>
                </w:p>
              </w:tc>
              <w:tc>
                <w:tcPr>
                  <w:tcW w:w="265" w:type="pct"/>
                  <w:vMerge w:val="continue"/>
                  <w:shd w:val="clear" w:color="auto" w:fill="auto"/>
                  <w:vAlign w:val="center"/>
                </w:tcPr>
                <w:p w14:paraId="38C0203F">
                  <w:pPr>
                    <w:jc w:val="center"/>
                    <w:rPr>
                      <w:rFonts w:ascii="Times New Roman" w:hAnsi="Times New Roman" w:eastAsia="宋体" w:cs="Times New Roman"/>
                      <w:kern w:val="2"/>
                      <w:sz w:val="21"/>
                      <w:szCs w:val="24"/>
                      <w:u w:val="none"/>
                      <w:lang w:val="en-US" w:eastAsia="zh-CN" w:bidi="ar-SA"/>
                    </w:rPr>
                  </w:pPr>
                </w:p>
              </w:tc>
              <w:tc>
                <w:tcPr>
                  <w:tcW w:w="179" w:type="pct"/>
                  <w:vMerge w:val="restart"/>
                  <w:shd w:val="clear" w:color="auto" w:fill="auto"/>
                  <w:vAlign w:val="center"/>
                </w:tcPr>
                <w:p w14:paraId="18EB96CC">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25</w:t>
                  </w:r>
                </w:p>
              </w:tc>
              <w:tc>
                <w:tcPr>
                  <w:tcW w:w="243" w:type="pct"/>
                  <w:vMerge w:val="restart"/>
                  <w:shd w:val="clear" w:color="auto" w:fill="auto"/>
                  <w:vAlign w:val="center"/>
                </w:tcPr>
                <w:p w14:paraId="631651B3">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-21</w:t>
                  </w:r>
                </w:p>
              </w:tc>
              <w:tc>
                <w:tcPr>
                  <w:tcW w:w="257" w:type="dxa"/>
                  <w:vMerge w:val="restart"/>
                  <w:shd w:val="clear" w:color="auto" w:fill="auto"/>
                  <w:vAlign w:val="center"/>
                </w:tcPr>
                <w:p w14:paraId="3D684416">
                  <w:pPr>
                    <w:jc w:val="center"/>
                    <w:rPr>
                      <w:rFonts w:hint="eastAsia" w:ascii="Times New Roman" w:hAnsi="Times New Roman" w:eastAsia="宋体" w:cs="Times New Roman"/>
                      <w:kern w:val="2"/>
                      <w:sz w:val="21"/>
                      <w:szCs w:val="24"/>
                      <w:u w:val="none"/>
                      <w:lang w:val="en-US" w:eastAsia="zh-CN" w:bidi="ar-SA"/>
                    </w:rPr>
                  </w:pPr>
                  <w:r>
                    <w:rPr>
                      <w:rFonts w:hint="eastAsia"/>
                      <w:u w:val="none"/>
                      <w:lang w:val="en-US" w:eastAsia="zh-CN"/>
                    </w:rPr>
                    <w:t>1</w:t>
                  </w:r>
                </w:p>
              </w:tc>
              <w:tc>
                <w:tcPr>
                  <w:tcW w:w="0" w:type="auto"/>
                  <w:shd w:val="clear" w:color="auto" w:fill="auto"/>
                  <w:vAlign w:val="center"/>
                </w:tcPr>
                <w:p w14:paraId="041B9500">
                  <w:pPr>
                    <w:jc w:val="center"/>
                    <w:rPr>
                      <w:rFonts w:ascii="Times New Roman" w:hAnsi="Times New Roman" w:eastAsia="宋体" w:cs="Times New Roman"/>
                      <w:kern w:val="2"/>
                      <w:sz w:val="21"/>
                      <w:szCs w:val="24"/>
                      <w:u w:val="none"/>
                      <w:lang w:val="en-US" w:eastAsia="zh-CN" w:bidi="ar-SA"/>
                    </w:rPr>
                  </w:pPr>
                  <w:r>
                    <w:rPr>
                      <w:u w:val="none"/>
                    </w:rPr>
                    <w:t>东</w:t>
                  </w:r>
                </w:p>
              </w:tc>
              <w:tc>
                <w:tcPr>
                  <w:tcW w:w="0" w:type="auto"/>
                  <w:shd w:val="clear" w:color="auto" w:fill="auto"/>
                  <w:vAlign w:val="center"/>
                </w:tcPr>
                <w:p w14:paraId="0A55F5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16</w:t>
                  </w:r>
                </w:p>
              </w:tc>
              <w:tc>
                <w:tcPr>
                  <w:tcW w:w="1003" w:type="dxa"/>
                  <w:shd w:val="clear" w:color="auto" w:fill="auto"/>
                  <w:vAlign w:val="center"/>
                </w:tcPr>
                <w:p w14:paraId="0B19AF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65.9 </w:t>
                  </w:r>
                </w:p>
              </w:tc>
              <w:tc>
                <w:tcPr>
                  <w:tcW w:w="367" w:type="pct"/>
                  <w:vMerge w:val="continue"/>
                  <w:shd w:val="clear" w:color="auto" w:fill="auto"/>
                  <w:vAlign w:val="top"/>
                </w:tcPr>
                <w:p w14:paraId="3F1EF6A7">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24B9E6C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089424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50.9 </w:t>
                  </w:r>
                </w:p>
              </w:tc>
              <w:tc>
                <w:tcPr>
                  <w:tcW w:w="0" w:type="auto"/>
                  <w:shd w:val="clear" w:color="auto" w:fill="auto"/>
                  <w:vAlign w:val="center"/>
                </w:tcPr>
                <w:p w14:paraId="2BFF83BD">
                  <w:pPr>
                    <w:jc w:val="center"/>
                    <w:rPr>
                      <w:rFonts w:ascii="Times New Roman" w:hAnsi="Times New Roman" w:eastAsia="宋体" w:cs="Times New Roman"/>
                      <w:kern w:val="2"/>
                      <w:sz w:val="21"/>
                      <w:szCs w:val="24"/>
                      <w:u w:val="none"/>
                      <w:lang w:val="en-US" w:eastAsia="zh-CN" w:bidi="ar-SA"/>
                    </w:rPr>
                  </w:pPr>
                  <w:r>
                    <w:rPr>
                      <w:u w:val="none"/>
                    </w:rPr>
                    <w:t>1m</w:t>
                  </w:r>
                </w:p>
              </w:tc>
            </w:tr>
            <w:tr w14:paraId="5EB4805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7E4386CB">
                  <w:pPr>
                    <w:jc w:val="center"/>
                    <w:rPr>
                      <w:u w:val="none"/>
                    </w:rPr>
                  </w:pPr>
                </w:p>
              </w:tc>
              <w:tc>
                <w:tcPr>
                  <w:tcW w:w="264" w:type="pct"/>
                  <w:vMerge w:val="continue"/>
                </w:tcPr>
                <w:p w14:paraId="6188BEBD">
                  <w:pPr>
                    <w:jc w:val="center"/>
                    <w:rPr>
                      <w:u w:val="none"/>
                    </w:rPr>
                  </w:pPr>
                </w:p>
              </w:tc>
              <w:tc>
                <w:tcPr>
                  <w:tcW w:w="282" w:type="pct"/>
                  <w:vMerge w:val="continue"/>
                </w:tcPr>
                <w:p w14:paraId="19094F14">
                  <w:pPr>
                    <w:jc w:val="center"/>
                    <w:rPr>
                      <w:u w:val="none"/>
                    </w:rPr>
                  </w:pPr>
                </w:p>
              </w:tc>
              <w:tc>
                <w:tcPr>
                  <w:tcW w:w="597" w:type="pct"/>
                  <w:vMerge w:val="continue"/>
                </w:tcPr>
                <w:p w14:paraId="477EBF2A">
                  <w:pPr>
                    <w:jc w:val="center"/>
                    <w:rPr>
                      <w:u w:val="none"/>
                    </w:rPr>
                  </w:pPr>
                </w:p>
              </w:tc>
              <w:tc>
                <w:tcPr>
                  <w:tcW w:w="265" w:type="pct"/>
                  <w:vMerge w:val="continue"/>
                </w:tcPr>
                <w:p w14:paraId="4D55E992">
                  <w:pPr>
                    <w:jc w:val="center"/>
                    <w:rPr>
                      <w:u w:val="none"/>
                    </w:rPr>
                  </w:pPr>
                </w:p>
              </w:tc>
              <w:tc>
                <w:tcPr>
                  <w:tcW w:w="179" w:type="pct"/>
                  <w:vMerge w:val="continue"/>
                </w:tcPr>
                <w:p w14:paraId="1BCD82FE">
                  <w:pPr>
                    <w:jc w:val="center"/>
                    <w:rPr>
                      <w:u w:val="none"/>
                    </w:rPr>
                  </w:pPr>
                </w:p>
              </w:tc>
              <w:tc>
                <w:tcPr>
                  <w:tcW w:w="243" w:type="pct"/>
                  <w:vMerge w:val="continue"/>
                </w:tcPr>
                <w:p w14:paraId="7C351047">
                  <w:pPr>
                    <w:jc w:val="center"/>
                    <w:rPr>
                      <w:u w:val="none"/>
                    </w:rPr>
                  </w:pPr>
                </w:p>
              </w:tc>
              <w:tc>
                <w:tcPr>
                  <w:tcW w:w="153" w:type="pct"/>
                  <w:vMerge w:val="continue"/>
                </w:tcPr>
                <w:p w14:paraId="23C59CBE">
                  <w:pPr>
                    <w:jc w:val="center"/>
                    <w:rPr>
                      <w:u w:val="none"/>
                    </w:rPr>
                  </w:pPr>
                </w:p>
              </w:tc>
              <w:tc>
                <w:tcPr>
                  <w:tcW w:w="0" w:type="auto"/>
                  <w:shd w:val="clear" w:color="auto" w:fill="auto"/>
                  <w:vAlign w:val="center"/>
                </w:tcPr>
                <w:p w14:paraId="009D4B91">
                  <w:pPr>
                    <w:jc w:val="center"/>
                    <w:rPr>
                      <w:rFonts w:ascii="Times New Roman" w:hAnsi="Times New Roman" w:eastAsia="宋体" w:cs="Times New Roman"/>
                      <w:kern w:val="2"/>
                      <w:sz w:val="21"/>
                      <w:szCs w:val="24"/>
                      <w:u w:val="none"/>
                      <w:lang w:val="en-US" w:eastAsia="zh-CN" w:bidi="ar-SA"/>
                    </w:rPr>
                  </w:pPr>
                  <w:r>
                    <w:rPr>
                      <w:u w:val="none"/>
                    </w:rPr>
                    <w:t>南</w:t>
                  </w:r>
                </w:p>
              </w:tc>
              <w:tc>
                <w:tcPr>
                  <w:tcW w:w="0" w:type="auto"/>
                  <w:shd w:val="clear" w:color="auto" w:fill="auto"/>
                  <w:vAlign w:val="center"/>
                </w:tcPr>
                <w:p w14:paraId="3995DC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18</w:t>
                  </w:r>
                </w:p>
              </w:tc>
              <w:tc>
                <w:tcPr>
                  <w:tcW w:w="1003" w:type="dxa"/>
                  <w:shd w:val="clear" w:color="auto" w:fill="auto"/>
                  <w:vAlign w:val="center"/>
                </w:tcPr>
                <w:p w14:paraId="2346D0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64.9 </w:t>
                  </w:r>
                </w:p>
              </w:tc>
              <w:tc>
                <w:tcPr>
                  <w:tcW w:w="367" w:type="pct"/>
                  <w:vMerge w:val="continue"/>
                </w:tcPr>
                <w:p w14:paraId="471B8ED4">
                  <w:pPr>
                    <w:jc w:val="center"/>
                    <w:rPr>
                      <w:u w:val="none"/>
                    </w:rPr>
                  </w:pPr>
                </w:p>
              </w:tc>
              <w:tc>
                <w:tcPr>
                  <w:tcW w:w="0" w:type="auto"/>
                  <w:shd w:val="clear" w:color="auto" w:fill="auto"/>
                  <w:vAlign w:val="center"/>
                </w:tcPr>
                <w:p w14:paraId="43A0DBD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49D415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49.9 </w:t>
                  </w:r>
                </w:p>
              </w:tc>
              <w:tc>
                <w:tcPr>
                  <w:tcW w:w="0" w:type="auto"/>
                  <w:shd w:val="clear" w:color="auto" w:fill="auto"/>
                  <w:vAlign w:val="center"/>
                </w:tcPr>
                <w:p w14:paraId="6AEF4055">
                  <w:pPr>
                    <w:jc w:val="center"/>
                    <w:rPr>
                      <w:rFonts w:ascii="Times New Roman" w:hAnsi="Times New Roman" w:eastAsia="宋体" w:cs="Times New Roman"/>
                      <w:kern w:val="2"/>
                      <w:sz w:val="21"/>
                      <w:szCs w:val="24"/>
                      <w:u w:val="none"/>
                      <w:lang w:val="en-US" w:eastAsia="zh-CN" w:bidi="ar-SA"/>
                    </w:rPr>
                  </w:pPr>
                  <w:r>
                    <w:rPr>
                      <w:u w:val="none"/>
                    </w:rPr>
                    <w:t>1m</w:t>
                  </w:r>
                </w:p>
              </w:tc>
            </w:tr>
            <w:tr w14:paraId="1A8BFF4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7E25F360">
                  <w:pPr>
                    <w:jc w:val="center"/>
                    <w:rPr>
                      <w:u w:val="none"/>
                    </w:rPr>
                  </w:pPr>
                </w:p>
              </w:tc>
              <w:tc>
                <w:tcPr>
                  <w:tcW w:w="264" w:type="pct"/>
                  <w:vMerge w:val="continue"/>
                </w:tcPr>
                <w:p w14:paraId="3DF2B3AF">
                  <w:pPr>
                    <w:jc w:val="center"/>
                    <w:rPr>
                      <w:u w:val="none"/>
                    </w:rPr>
                  </w:pPr>
                </w:p>
              </w:tc>
              <w:tc>
                <w:tcPr>
                  <w:tcW w:w="282" w:type="pct"/>
                  <w:vMerge w:val="continue"/>
                </w:tcPr>
                <w:p w14:paraId="3296FECE">
                  <w:pPr>
                    <w:jc w:val="center"/>
                    <w:rPr>
                      <w:u w:val="none"/>
                    </w:rPr>
                  </w:pPr>
                </w:p>
              </w:tc>
              <w:tc>
                <w:tcPr>
                  <w:tcW w:w="597" w:type="pct"/>
                  <w:vMerge w:val="continue"/>
                </w:tcPr>
                <w:p w14:paraId="7AEEBBB7">
                  <w:pPr>
                    <w:jc w:val="center"/>
                    <w:rPr>
                      <w:u w:val="none"/>
                    </w:rPr>
                  </w:pPr>
                </w:p>
              </w:tc>
              <w:tc>
                <w:tcPr>
                  <w:tcW w:w="265" w:type="pct"/>
                  <w:vMerge w:val="continue"/>
                </w:tcPr>
                <w:p w14:paraId="403B6D50">
                  <w:pPr>
                    <w:jc w:val="center"/>
                    <w:rPr>
                      <w:u w:val="none"/>
                    </w:rPr>
                  </w:pPr>
                </w:p>
              </w:tc>
              <w:tc>
                <w:tcPr>
                  <w:tcW w:w="179" w:type="pct"/>
                  <w:vMerge w:val="continue"/>
                </w:tcPr>
                <w:p w14:paraId="74CFAC6D">
                  <w:pPr>
                    <w:jc w:val="center"/>
                    <w:rPr>
                      <w:u w:val="none"/>
                    </w:rPr>
                  </w:pPr>
                </w:p>
              </w:tc>
              <w:tc>
                <w:tcPr>
                  <w:tcW w:w="243" w:type="pct"/>
                  <w:vMerge w:val="continue"/>
                </w:tcPr>
                <w:p w14:paraId="66C487C0">
                  <w:pPr>
                    <w:jc w:val="center"/>
                    <w:rPr>
                      <w:u w:val="none"/>
                    </w:rPr>
                  </w:pPr>
                </w:p>
              </w:tc>
              <w:tc>
                <w:tcPr>
                  <w:tcW w:w="153" w:type="pct"/>
                  <w:vMerge w:val="continue"/>
                </w:tcPr>
                <w:p w14:paraId="7AE65442">
                  <w:pPr>
                    <w:jc w:val="center"/>
                    <w:rPr>
                      <w:u w:val="none"/>
                    </w:rPr>
                  </w:pPr>
                </w:p>
              </w:tc>
              <w:tc>
                <w:tcPr>
                  <w:tcW w:w="0" w:type="auto"/>
                  <w:shd w:val="clear" w:color="auto" w:fill="auto"/>
                  <w:vAlign w:val="center"/>
                </w:tcPr>
                <w:p w14:paraId="365C9E15">
                  <w:pPr>
                    <w:jc w:val="center"/>
                    <w:rPr>
                      <w:rFonts w:ascii="Times New Roman" w:hAnsi="Times New Roman" w:eastAsia="宋体" w:cs="Times New Roman"/>
                      <w:kern w:val="2"/>
                      <w:sz w:val="21"/>
                      <w:szCs w:val="24"/>
                      <w:u w:val="none"/>
                      <w:lang w:val="en-US" w:eastAsia="zh-CN" w:bidi="ar-SA"/>
                    </w:rPr>
                  </w:pPr>
                  <w:r>
                    <w:rPr>
                      <w:u w:val="none"/>
                    </w:rPr>
                    <w:t>西</w:t>
                  </w:r>
                </w:p>
              </w:tc>
              <w:tc>
                <w:tcPr>
                  <w:tcW w:w="0" w:type="auto"/>
                  <w:shd w:val="clear" w:color="auto" w:fill="auto"/>
                  <w:vAlign w:val="center"/>
                </w:tcPr>
                <w:p w14:paraId="1ED6DC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66</w:t>
                  </w:r>
                </w:p>
              </w:tc>
              <w:tc>
                <w:tcPr>
                  <w:tcW w:w="1003" w:type="dxa"/>
                  <w:shd w:val="clear" w:color="auto" w:fill="auto"/>
                  <w:vAlign w:val="center"/>
                </w:tcPr>
                <w:p w14:paraId="6C6F45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53.6 </w:t>
                  </w:r>
                </w:p>
              </w:tc>
              <w:tc>
                <w:tcPr>
                  <w:tcW w:w="367" w:type="pct"/>
                  <w:vMerge w:val="continue"/>
                </w:tcPr>
                <w:p w14:paraId="084BD476">
                  <w:pPr>
                    <w:jc w:val="center"/>
                    <w:rPr>
                      <w:u w:val="none"/>
                    </w:rPr>
                  </w:pPr>
                </w:p>
              </w:tc>
              <w:tc>
                <w:tcPr>
                  <w:tcW w:w="0" w:type="auto"/>
                  <w:shd w:val="clear" w:color="auto" w:fill="auto"/>
                  <w:vAlign w:val="center"/>
                </w:tcPr>
                <w:p w14:paraId="6D65B51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4BEECA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38.6 </w:t>
                  </w:r>
                </w:p>
              </w:tc>
              <w:tc>
                <w:tcPr>
                  <w:tcW w:w="0" w:type="auto"/>
                  <w:shd w:val="clear" w:color="auto" w:fill="auto"/>
                  <w:vAlign w:val="center"/>
                </w:tcPr>
                <w:p w14:paraId="43945A9A">
                  <w:pPr>
                    <w:jc w:val="center"/>
                    <w:rPr>
                      <w:rFonts w:ascii="Times New Roman" w:hAnsi="Times New Roman" w:eastAsia="宋体" w:cs="Times New Roman"/>
                      <w:kern w:val="2"/>
                      <w:sz w:val="21"/>
                      <w:szCs w:val="24"/>
                      <w:u w:val="none"/>
                      <w:lang w:val="en-US" w:eastAsia="zh-CN" w:bidi="ar-SA"/>
                    </w:rPr>
                  </w:pPr>
                  <w:r>
                    <w:rPr>
                      <w:u w:val="none"/>
                    </w:rPr>
                    <w:t>1m</w:t>
                  </w:r>
                </w:p>
              </w:tc>
            </w:tr>
            <w:tr w14:paraId="6C520D5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tcPr>
                <w:p w14:paraId="73EA96F9">
                  <w:pPr>
                    <w:jc w:val="center"/>
                    <w:rPr>
                      <w:u w:val="none"/>
                    </w:rPr>
                  </w:pPr>
                </w:p>
              </w:tc>
              <w:tc>
                <w:tcPr>
                  <w:tcW w:w="264" w:type="pct"/>
                  <w:vMerge w:val="continue"/>
                </w:tcPr>
                <w:p w14:paraId="02BA8ABE">
                  <w:pPr>
                    <w:jc w:val="center"/>
                    <w:rPr>
                      <w:u w:val="none"/>
                    </w:rPr>
                  </w:pPr>
                </w:p>
              </w:tc>
              <w:tc>
                <w:tcPr>
                  <w:tcW w:w="282" w:type="pct"/>
                  <w:vMerge w:val="continue"/>
                </w:tcPr>
                <w:p w14:paraId="35CC73D0">
                  <w:pPr>
                    <w:jc w:val="center"/>
                    <w:rPr>
                      <w:u w:val="none"/>
                    </w:rPr>
                  </w:pPr>
                </w:p>
              </w:tc>
              <w:tc>
                <w:tcPr>
                  <w:tcW w:w="597" w:type="pct"/>
                  <w:vMerge w:val="continue"/>
                </w:tcPr>
                <w:p w14:paraId="309ED53B">
                  <w:pPr>
                    <w:jc w:val="center"/>
                    <w:rPr>
                      <w:u w:val="none"/>
                    </w:rPr>
                  </w:pPr>
                </w:p>
              </w:tc>
              <w:tc>
                <w:tcPr>
                  <w:tcW w:w="265" w:type="pct"/>
                  <w:vMerge w:val="continue"/>
                </w:tcPr>
                <w:p w14:paraId="17BF8561">
                  <w:pPr>
                    <w:jc w:val="center"/>
                    <w:rPr>
                      <w:u w:val="none"/>
                    </w:rPr>
                  </w:pPr>
                </w:p>
              </w:tc>
              <w:tc>
                <w:tcPr>
                  <w:tcW w:w="179" w:type="pct"/>
                  <w:vMerge w:val="continue"/>
                </w:tcPr>
                <w:p w14:paraId="25046328">
                  <w:pPr>
                    <w:jc w:val="center"/>
                    <w:rPr>
                      <w:u w:val="none"/>
                    </w:rPr>
                  </w:pPr>
                </w:p>
              </w:tc>
              <w:tc>
                <w:tcPr>
                  <w:tcW w:w="243" w:type="pct"/>
                  <w:vMerge w:val="continue"/>
                </w:tcPr>
                <w:p w14:paraId="6BE6D8D6">
                  <w:pPr>
                    <w:jc w:val="center"/>
                    <w:rPr>
                      <w:u w:val="none"/>
                    </w:rPr>
                  </w:pPr>
                </w:p>
              </w:tc>
              <w:tc>
                <w:tcPr>
                  <w:tcW w:w="153" w:type="pct"/>
                  <w:vMerge w:val="continue"/>
                </w:tcPr>
                <w:p w14:paraId="4223D198">
                  <w:pPr>
                    <w:jc w:val="center"/>
                    <w:rPr>
                      <w:u w:val="none"/>
                    </w:rPr>
                  </w:pPr>
                </w:p>
              </w:tc>
              <w:tc>
                <w:tcPr>
                  <w:tcW w:w="0" w:type="auto"/>
                  <w:shd w:val="clear" w:color="auto" w:fill="auto"/>
                  <w:vAlign w:val="center"/>
                </w:tcPr>
                <w:p w14:paraId="7DCDD3BE">
                  <w:pPr>
                    <w:jc w:val="center"/>
                    <w:rPr>
                      <w:rFonts w:ascii="Times New Roman" w:hAnsi="Times New Roman" w:eastAsia="宋体" w:cs="Times New Roman"/>
                      <w:kern w:val="2"/>
                      <w:sz w:val="21"/>
                      <w:szCs w:val="24"/>
                      <w:u w:val="none"/>
                      <w:lang w:val="en-US" w:eastAsia="zh-CN" w:bidi="ar-SA"/>
                    </w:rPr>
                  </w:pPr>
                  <w:r>
                    <w:rPr>
                      <w:u w:val="none"/>
                    </w:rPr>
                    <w:t>北</w:t>
                  </w:r>
                </w:p>
              </w:tc>
              <w:tc>
                <w:tcPr>
                  <w:tcW w:w="0" w:type="auto"/>
                  <w:shd w:val="clear" w:color="auto" w:fill="auto"/>
                  <w:vAlign w:val="center"/>
                </w:tcPr>
                <w:p w14:paraId="185A6D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60</w:t>
                  </w:r>
                </w:p>
              </w:tc>
              <w:tc>
                <w:tcPr>
                  <w:tcW w:w="1003" w:type="dxa"/>
                  <w:shd w:val="clear" w:color="auto" w:fill="auto"/>
                  <w:vAlign w:val="center"/>
                </w:tcPr>
                <w:p w14:paraId="35316E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54.4 </w:t>
                  </w:r>
                </w:p>
              </w:tc>
              <w:tc>
                <w:tcPr>
                  <w:tcW w:w="367" w:type="pct"/>
                  <w:vMerge w:val="continue"/>
                </w:tcPr>
                <w:p w14:paraId="63A670FA">
                  <w:pPr>
                    <w:jc w:val="center"/>
                    <w:rPr>
                      <w:u w:val="none"/>
                    </w:rPr>
                  </w:pPr>
                </w:p>
              </w:tc>
              <w:tc>
                <w:tcPr>
                  <w:tcW w:w="0" w:type="auto"/>
                  <w:shd w:val="clear" w:color="auto" w:fill="auto"/>
                  <w:vAlign w:val="center"/>
                </w:tcPr>
                <w:p w14:paraId="4D10BDE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650D80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39.4 </w:t>
                  </w:r>
                </w:p>
              </w:tc>
              <w:tc>
                <w:tcPr>
                  <w:tcW w:w="0" w:type="auto"/>
                  <w:shd w:val="clear" w:color="auto" w:fill="auto"/>
                  <w:vAlign w:val="center"/>
                </w:tcPr>
                <w:p w14:paraId="67071D7A">
                  <w:pPr>
                    <w:jc w:val="center"/>
                    <w:rPr>
                      <w:rFonts w:ascii="Times New Roman" w:hAnsi="Times New Roman" w:eastAsia="宋体" w:cs="Times New Roman"/>
                      <w:kern w:val="2"/>
                      <w:sz w:val="21"/>
                      <w:szCs w:val="24"/>
                      <w:u w:val="none"/>
                      <w:lang w:val="en-US" w:eastAsia="zh-CN" w:bidi="ar-SA"/>
                    </w:rPr>
                  </w:pPr>
                  <w:r>
                    <w:rPr>
                      <w:u w:val="none"/>
                    </w:rPr>
                    <w:t>1m</w:t>
                  </w:r>
                </w:p>
              </w:tc>
            </w:tr>
            <w:tr w14:paraId="3642849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restart"/>
                  <w:shd w:val="clear" w:color="auto" w:fill="auto"/>
                  <w:vAlign w:val="center"/>
                </w:tcPr>
                <w:p w14:paraId="04482663">
                  <w:pPr>
                    <w:jc w:val="center"/>
                    <w:rPr>
                      <w:rFonts w:hint="default" w:ascii="Times New Roman" w:hAnsi="Times New Roman" w:eastAsia="宋体" w:cs="Times New Roman"/>
                      <w:kern w:val="2"/>
                      <w:sz w:val="21"/>
                      <w:szCs w:val="24"/>
                      <w:u w:val="none"/>
                      <w:lang w:val="en-US" w:eastAsia="zh-CN" w:bidi="ar-SA"/>
                    </w:rPr>
                  </w:pPr>
                  <w:r>
                    <w:rPr>
                      <w:rFonts w:hint="eastAsia"/>
                      <w:kern w:val="2"/>
                      <w:sz w:val="21"/>
                      <w:szCs w:val="24"/>
                      <w:u w:val="none"/>
                      <w:lang w:val="en-US" w:eastAsia="zh-CN" w:bidi="ar-SA"/>
                    </w:rPr>
                    <w:t>13</w:t>
                  </w:r>
                </w:p>
              </w:tc>
              <w:tc>
                <w:tcPr>
                  <w:tcW w:w="264" w:type="pct"/>
                  <w:vMerge w:val="continue"/>
                  <w:shd w:val="clear" w:color="auto" w:fill="auto"/>
                  <w:vAlign w:val="center"/>
                </w:tcPr>
                <w:p w14:paraId="653EA843">
                  <w:pPr>
                    <w:jc w:val="center"/>
                    <w:rPr>
                      <w:rFonts w:ascii="Times New Roman" w:hAnsi="Times New Roman" w:eastAsia="宋体" w:cs="Times New Roman"/>
                      <w:kern w:val="2"/>
                      <w:sz w:val="21"/>
                      <w:szCs w:val="24"/>
                      <w:u w:val="none"/>
                      <w:lang w:val="en-US" w:eastAsia="zh-CN" w:bidi="ar-SA"/>
                    </w:rPr>
                  </w:pPr>
                </w:p>
              </w:tc>
              <w:tc>
                <w:tcPr>
                  <w:tcW w:w="282" w:type="pct"/>
                  <w:vMerge w:val="restart"/>
                  <w:shd w:val="clear" w:color="auto" w:fill="auto"/>
                  <w:vAlign w:val="center"/>
                </w:tcPr>
                <w:p w14:paraId="1BF96F4D">
                  <w:pPr>
                    <w:jc w:val="center"/>
                    <w:rPr>
                      <w:rFonts w:hint="default" w:ascii="Times New Roman" w:hAnsi="Times New Roman" w:eastAsia="宋体" w:cs="Times New Roman"/>
                      <w:kern w:val="2"/>
                      <w:sz w:val="21"/>
                      <w:szCs w:val="24"/>
                      <w:u w:val="none"/>
                      <w:lang w:val="en-US" w:eastAsia="zh-CN" w:bidi="ar-SA"/>
                    </w:rPr>
                  </w:pPr>
                  <w:r>
                    <w:rPr>
                      <w:rStyle w:val="157"/>
                      <w:rFonts w:hint="eastAsia" w:cs="Times New Roman"/>
                      <w:sz w:val="21"/>
                      <w:szCs w:val="21"/>
                      <w:lang w:val="en-US" w:eastAsia="zh-CN" w:bidi="ar"/>
                    </w:rPr>
                    <w:t>空压机</w:t>
                  </w:r>
                </w:p>
              </w:tc>
              <w:tc>
                <w:tcPr>
                  <w:tcW w:w="597" w:type="pct"/>
                  <w:vMerge w:val="restart"/>
                  <w:shd w:val="clear" w:color="auto" w:fill="auto"/>
                  <w:vAlign w:val="center"/>
                </w:tcPr>
                <w:p w14:paraId="3C6D2EEE">
                  <w:pPr>
                    <w:jc w:val="center"/>
                    <w:rPr>
                      <w:rFonts w:ascii="Times New Roman" w:hAnsi="Times New Roman" w:eastAsia="宋体" w:cs="Times New Roman"/>
                      <w:kern w:val="2"/>
                      <w:sz w:val="21"/>
                      <w:szCs w:val="24"/>
                      <w:u w:val="none"/>
                      <w:lang w:val="en-US" w:eastAsia="zh-CN" w:bidi="ar-SA"/>
                    </w:rPr>
                  </w:pPr>
                  <w:r>
                    <w:rPr>
                      <w:rFonts w:hint="eastAsia"/>
                      <w:u w:val="none"/>
                      <w:lang w:val="en-US" w:eastAsia="zh-CN"/>
                    </w:rPr>
                    <w:t>85</w:t>
                  </w:r>
                  <w:r>
                    <w:rPr>
                      <w:u w:val="none"/>
                    </w:rPr>
                    <w:t>/1</w:t>
                  </w:r>
                </w:p>
              </w:tc>
              <w:tc>
                <w:tcPr>
                  <w:tcW w:w="265" w:type="pct"/>
                  <w:vMerge w:val="continue"/>
                  <w:shd w:val="clear" w:color="auto" w:fill="auto"/>
                  <w:vAlign w:val="center"/>
                </w:tcPr>
                <w:p w14:paraId="6AA96649">
                  <w:pPr>
                    <w:jc w:val="center"/>
                    <w:rPr>
                      <w:rFonts w:ascii="Times New Roman" w:hAnsi="Times New Roman" w:eastAsia="宋体" w:cs="Times New Roman"/>
                      <w:kern w:val="2"/>
                      <w:sz w:val="21"/>
                      <w:szCs w:val="24"/>
                      <w:u w:val="none"/>
                      <w:lang w:val="en-US" w:eastAsia="zh-CN" w:bidi="ar-SA"/>
                    </w:rPr>
                  </w:pPr>
                </w:p>
              </w:tc>
              <w:tc>
                <w:tcPr>
                  <w:tcW w:w="179" w:type="pct"/>
                  <w:vMerge w:val="restart"/>
                  <w:shd w:val="clear" w:color="auto" w:fill="auto"/>
                  <w:vAlign w:val="center"/>
                </w:tcPr>
                <w:p w14:paraId="63644C61">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7</w:t>
                  </w:r>
                </w:p>
              </w:tc>
              <w:tc>
                <w:tcPr>
                  <w:tcW w:w="243" w:type="pct"/>
                  <w:vMerge w:val="restart"/>
                  <w:shd w:val="clear" w:color="auto" w:fill="auto"/>
                  <w:vAlign w:val="center"/>
                </w:tcPr>
                <w:p w14:paraId="3154F15C">
                  <w:pPr>
                    <w:jc w:val="center"/>
                    <w:rPr>
                      <w:rFonts w:hint="default" w:ascii="Times New Roman" w:hAnsi="Times New Roman" w:eastAsia="宋体" w:cs="Times New Roman"/>
                      <w:kern w:val="2"/>
                      <w:sz w:val="21"/>
                      <w:szCs w:val="24"/>
                      <w:u w:val="none"/>
                      <w:lang w:val="en-US" w:eastAsia="zh-CN" w:bidi="ar-SA"/>
                    </w:rPr>
                  </w:pPr>
                  <w:r>
                    <w:rPr>
                      <w:rFonts w:hint="eastAsia" w:cs="Times New Roman"/>
                      <w:kern w:val="2"/>
                      <w:sz w:val="21"/>
                      <w:szCs w:val="24"/>
                      <w:u w:val="none"/>
                      <w:lang w:val="en-US" w:eastAsia="zh-CN" w:bidi="ar-SA"/>
                    </w:rPr>
                    <w:t>-24</w:t>
                  </w:r>
                </w:p>
              </w:tc>
              <w:tc>
                <w:tcPr>
                  <w:tcW w:w="257" w:type="dxa"/>
                  <w:vMerge w:val="restart"/>
                  <w:shd w:val="clear" w:color="auto" w:fill="auto"/>
                  <w:vAlign w:val="center"/>
                </w:tcPr>
                <w:p w14:paraId="69A1767B">
                  <w:pPr>
                    <w:jc w:val="center"/>
                    <w:rPr>
                      <w:rFonts w:hint="eastAsia" w:ascii="Times New Roman" w:hAnsi="Times New Roman" w:eastAsia="宋体" w:cs="Times New Roman"/>
                      <w:kern w:val="2"/>
                      <w:sz w:val="21"/>
                      <w:szCs w:val="24"/>
                      <w:u w:val="none"/>
                      <w:lang w:val="en-US" w:eastAsia="zh-CN" w:bidi="ar-SA"/>
                    </w:rPr>
                  </w:pPr>
                  <w:r>
                    <w:rPr>
                      <w:rFonts w:hint="eastAsia"/>
                      <w:u w:val="none"/>
                      <w:lang w:val="en-US" w:eastAsia="zh-CN"/>
                    </w:rPr>
                    <w:t>1</w:t>
                  </w:r>
                </w:p>
              </w:tc>
              <w:tc>
                <w:tcPr>
                  <w:tcW w:w="0" w:type="auto"/>
                  <w:shd w:val="clear" w:color="auto" w:fill="auto"/>
                  <w:vAlign w:val="center"/>
                </w:tcPr>
                <w:p w14:paraId="64D21573">
                  <w:pPr>
                    <w:jc w:val="center"/>
                    <w:rPr>
                      <w:rFonts w:ascii="Times New Roman" w:hAnsi="Times New Roman" w:eastAsia="宋体" w:cs="Times New Roman"/>
                      <w:kern w:val="2"/>
                      <w:sz w:val="21"/>
                      <w:szCs w:val="24"/>
                      <w:u w:val="none"/>
                      <w:lang w:val="en-US" w:eastAsia="zh-CN" w:bidi="ar-SA"/>
                    </w:rPr>
                  </w:pPr>
                  <w:r>
                    <w:rPr>
                      <w:u w:val="none"/>
                    </w:rPr>
                    <w:t>东</w:t>
                  </w:r>
                </w:p>
              </w:tc>
              <w:tc>
                <w:tcPr>
                  <w:tcW w:w="0" w:type="auto"/>
                  <w:shd w:val="clear" w:color="auto" w:fill="auto"/>
                  <w:vAlign w:val="center"/>
                </w:tcPr>
                <w:p w14:paraId="2CC5A9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34</w:t>
                  </w:r>
                </w:p>
              </w:tc>
              <w:tc>
                <w:tcPr>
                  <w:tcW w:w="1003" w:type="dxa"/>
                  <w:shd w:val="clear" w:color="auto" w:fill="auto"/>
                  <w:vAlign w:val="center"/>
                </w:tcPr>
                <w:p w14:paraId="34B6BB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54.4 </w:t>
                  </w:r>
                </w:p>
              </w:tc>
              <w:tc>
                <w:tcPr>
                  <w:tcW w:w="367" w:type="pct"/>
                  <w:vMerge w:val="continue"/>
                  <w:shd w:val="clear" w:color="auto" w:fill="auto"/>
                  <w:vAlign w:val="top"/>
                </w:tcPr>
                <w:p w14:paraId="507A9B6D">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30AFF9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12D6DA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39.4 </w:t>
                  </w:r>
                </w:p>
              </w:tc>
              <w:tc>
                <w:tcPr>
                  <w:tcW w:w="0" w:type="auto"/>
                  <w:shd w:val="clear" w:color="auto" w:fill="auto"/>
                  <w:vAlign w:val="center"/>
                </w:tcPr>
                <w:p w14:paraId="4BBDD354">
                  <w:pPr>
                    <w:jc w:val="center"/>
                    <w:rPr>
                      <w:rFonts w:ascii="Times New Roman" w:hAnsi="Times New Roman" w:eastAsia="宋体" w:cs="Times New Roman"/>
                      <w:kern w:val="2"/>
                      <w:sz w:val="21"/>
                      <w:szCs w:val="24"/>
                      <w:u w:val="none"/>
                      <w:lang w:val="en-US" w:eastAsia="zh-CN" w:bidi="ar-SA"/>
                    </w:rPr>
                  </w:pPr>
                  <w:r>
                    <w:rPr>
                      <w:u w:val="none"/>
                    </w:rPr>
                    <w:t>1m</w:t>
                  </w:r>
                </w:p>
              </w:tc>
            </w:tr>
            <w:tr w14:paraId="56552C3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shd w:val="clear" w:color="auto" w:fill="auto"/>
                  <w:vAlign w:val="top"/>
                </w:tcPr>
                <w:p w14:paraId="2E4B2130">
                  <w:pPr>
                    <w:jc w:val="center"/>
                    <w:rPr>
                      <w:rFonts w:ascii="Times New Roman" w:hAnsi="Times New Roman" w:eastAsia="宋体" w:cs="Times New Roman"/>
                      <w:kern w:val="2"/>
                      <w:sz w:val="21"/>
                      <w:szCs w:val="24"/>
                      <w:u w:val="none"/>
                      <w:lang w:val="en-US" w:eastAsia="zh-CN" w:bidi="ar-SA"/>
                    </w:rPr>
                  </w:pPr>
                </w:p>
              </w:tc>
              <w:tc>
                <w:tcPr>
                  <w:tcW w:w="264" w:type="pct"/>
                  <w:vMerge w:val="continue"/>
                  <w:shd w:val="clear" w:color="auto" w:fill="auto"/>
                  <w:vAlign w:val="top"/>
                </w:tcPr>
                <w:p w14:paraId="56EA5767">
                  <w:pPr>
                    <w:jc w:val="center"/>
                    <w:rPr>
                      <w:rFonts w:ascii="Times New Roman" w:hAnsi="Times New Roman" w:eastAsia="宋体" w:cs="Times New Roman"/>
                      <w:kern w:val="2"/>
                      <w:sz w:val="21"/>
                      <w:szCs w:val="24"/>
                      <w:u w:val="none"/>
                      <w:lang w:val="en-US" w:eastAsia="zh-CN" w:bidi="ar-SA"/>
                    </w:rPr>
                  </w:pPr>
                </w:p>
              </w:tc>
              <w:tc>
                <w:tcPr>
                  <w:tcW w:w="282" w:type="pct"/>
                  <w:vMerge w:val="continue"/>
                  <w:shd w:val="clear" w:color="auto" w:fill="auto"/>
                  <w:vAlign w:val="top"/>
                </w:tcPr>
                <w:p w14:paraId="7562C350">
                  <w:pPr>
                    <w:jc w:val="center"/>
                    <w:rPr>
                      <w:rFonts w:ascii="Times New Roman" w:hAnsi="Times New Roman" w:eastAsia="宋体" w:cs="Times New Roman"/>
                      <w:kern w:val="2"/>
                      <w:sz w:val="21"/>
                      <w:szCs w:val="24"/>
                      <w:u w:val="none"/>
                      <w:lang w:val="en-US" w:eastAsia="zh-CN" w:bidi="ar-SA"/>
                    </w:rPr>
                  </w:pPr>
                </w:p>
              </w:tc>
              <w:tc>
                <w:tcPr>
                  <w:tcW w:w="597" w:type="pct"/>
                  <w:vMerge w:val="continue"/>
                  <w:shd w:val="clear" w:color="auto" w:fill="auto"/>
                  <w:vAlign w:val="top"/>
                </w:tcPr>
                <w:p w14:paraId="5A9983BD">
                  <w:pPr>
                    <w:jc w:val="center"/>
                    <w:rPr>
                      <w:rFonts w:ascii="Times New Roman" w:hAnsi="Times New Roman" w:eastAsia="宋体" w:cs="Times New Roman"/>
                      <w:kern w:val="2"/>
                      <w:sz w:val="21"/>
                      <w:szCs w:val="24"/>
                      <w:u w:val="none"/>
                      <w:lang w:val="en-US" w:eastAsia="zh-CN" w:bidi="ar-SA"/>
                    </w:rPr>
                  </w:pPr>
                </w:p>
              </w:tc>
              <w:tc>
                <w:tcPr>
                  <w:tcW w:w="265" w:type="pct"/>
                  <w:vMerge w:val="continue"/>
                  <w:shd w:val="clear" w:color="auto" w:fill="auto"/>
                  <w:vAlign w:val="top"/>
                </w:tcPr>
                <w:p w14:paraId="070E72F5">
                  <w:pPr>
                    <w:jc w:val="center"/>
                    <w:rPr>
                      <w:rFonts w:ascii="Times New Roman" w:hAnsi="Times New Roman" w:eastAsia="宋体" w:cs="Times New Roman"/>
                      <w:kern w:val="2"/>
                      <w:sz w:val="21"/>
                      <w:szCs w:val="24"/>
                      <w:u w:val="none"/>
                      <w:lang w:val="en-US" w:eastAsia="zh-CN" w:bidi="ar-SA"/>
                    </w:rPr>
                  </w:pPr>
                </w:p>
              </w:tc>
              <w:tc>
                <w:tcPr>
                  <w:tcW w:w="179" w:type="pct"/>
                  <w:vMerge w:val="continue"/>
                  <w:shd w:val="clear" w:color="auto" w:fill="auto"/>
                  <w:vAlign w:val="top"/>
                </w:tcPr>
                <w:p w14:paraId="27D402BE">
                  <w:pPr>
                    <w:jc w:val="center"/>
                    <w:rPr>
                      <w:rFonts w:ascii="Times New Roman" w:hAnsi="Times New Roman" w:eastAsia="宋体" w:cs="Times New Roman"/>
                      <w:kern w:val="2"/>
                      <w:sz w:val="21"/>
                      <w:szCs w:val="24"/>
                      <w:u w:val="none"/>
                      <w:lang w:val="en-US" w:eastAsia="zh-CN" w:bidi="ar-SA"/>
                    </w:rPr>
                  </w:pPr>
                </w:p>
              </w:tc>
              <w:tc>
                <w:tcPr>
                  <w:tcW w:w="243" w:type="pct"/>
                  <w:vMerge w:val="continue"/>
                  <w:shd w:val="clear" w:color="auto" w:fill="auto"/>
                  <w:vAlign w:val="top"/>
                </w:tcPr>
                <w:p w14:paraId="7B0F27BE">
                  <w:pPr>
                    <w:jc w:val="center"/>
                    <w:rPr>
                      <w:rFonts w:ascii="Times New Roman" w:hAnsi="Times New Roman" w:eastAsia="宋体" w:cs="Times New Roman"/>
                      <w:kern w:val="2"/>
                      <w:sz w:val="21"/>
                      <w:szCs w:val="24"/>
                      <w:u w:val="none"/>
                      <w:lang w:val="en-US" w:eastAsia="zh-CN" w:bidi="ar-SA"/>
                    </w:rPr>
                  </w:pPr>
                </w:p>
              </w:tc>
              <w:tc>
                <w:tcPr>
                  <w:tcW w:w="153" w:type="pct"/>
                  <w:vMerge w:val="continue"/>
                  <w:shd w:val="clear" w:color="auto" w:fill="auto"/>
                  <w:vAlign w:val="top"/>
                </w:tcPr>
                <w:p w14:paraId="20D6E4A8">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0EA1407C">
                  <w:pPr>
                    <w:jc w:val="center"/>
                    <w:rPr>
                      <w:rFonts w:ascii="Times New Roman" w:hAnsi="Times New Roman" w:eastAsia="宋体" w:cs="Times New Roman"/>
                      <w:kern w:val="2"/>
                      <w:sz w:val="21"/>
                      <w:szCs w:val="24"/>
                      <w:u w:val="none"/>
                      <w:lang w:val="en-US" w:eastAsia="zh-CN" w:bidi="ar-SA"/>
                    </w:rPr>
                  </w:pPr>
                  <w:r>
                    <w:rPr>
                      <w:u w:val="none"/>
                    </w:rPr>
                    <w:t>南</w:t>
                  </w:r>
                </w:p>
              </w:tc>
              <w:tc>
                <w:tcPr>
                  <w:tcW w:w="0" w:type="auto"/>
                  <w:shd w:val="clear" w:color="auto" w:fill="auto"/>
                  <w:vAlign w:val="center"/>
                </w:tcPr>
                <w:p w14:paraId="184EDD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15</w:t>
                  </w:r>
                </w:p>
              </w:tc>
              <w:tc>
                <w:tcPr>
                  <w:tcW w:w="1003" w:type="dxa"/>
                  <w:shd w:val="clear" w:color="auto" w:fill="auto"/>
                  <w:vAlign w:val="center"/>
                </w:tcPr>
                <w:p w14:paraId="7EC036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61.5 </w:t>
                  </w:r>
                </w:p>
              </w:tc>
              <w:tc>
                <w:tcPr>
                  <w:tcW w:w="367" w:type="pct"/>
                  <w:vMerge w:val="continue"/>
                  <w:shd w:val="clear" w:color="auto" w:fill="auto"/>
                  <w:vAlign w:val="top"/>
                </w:tcPr>
                <w:p w14:paraId="578524CF">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105FD6F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5D0969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46.5 </w:t>
                  </w:r>
                </w:p>
              </w:tc>
              <w:tc>
                <w:tcPr>
                  <w:tcW w:w="0" w:type="auto"/>
                  <w:shd w:val="clear" w:color="auto" w:fill="auto"/>
                  <w:vAlign w:val="center"/>
                </w:tcPr>
                <w:p w14:paraId="6C470F83">
                  <w:pPr>
                    <w:jc w:val="center"/>
                    <w:rPr>
                      <w:rFonts w:ascii="Times New Roman" w:hAnsi="Times New Roman" w:eastAsia="宋体" w:cs="Times New Roman"/>
                      <w:kern w:val="2"/>
                      <w:sz w:val="21"/>
                      <w:szCs w:val="24"/>
                      <w:u w:val="none"/>
                      <w:lang w:val="en-US" w:eastAsia="zh-CN" w:bidi="ar-SA"/>
                    </w:rPr>
                  </w:pPr>
                  <w:r>
                    <w:rPr>
                      <w:u w:val="none"/>
                    </w:rPr>
                    <w:t>1m</w:t>
                  </w:r>
                </w:p>
              </w:tc>
            </w:tr>
            <w:tr w14:paraId="6FF2355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shd w:val="clear" w:color="auto" w:fill="auto"/>
                  <w:vAlign w:val="top"/>
                </w:tcPr>
                <w:p w14:paraId="65DC45E9">
                  <w:pPr>
                    <w:jc w:val="center"/>
                    <w:rPr>
                      <w:rFonts w:ascii="Times New Roman" w:hAnsi="Times New Roman" w:eastAsia="宋体" w:cs="Times New Roman"/>
                      <w:kern w:val="2"/>
                      <w:sz w:val="21"/>
                      <w:szCs w:val="24"/>
                      <w:u w:val="none"/>
                      <w:lang w:val="en-US" w:eastAsia="zh-CN" w:bidi="ar-SA"/>
                    </w:rPr>
                  </w:pPr>
                </w:p>
              </w:tc>
              <w:tc>
                <w:tcPr>
                  <w:tcW w:w="264" w:type="pct"/>
                  <w:vMerge w:val="continue"/>
                  <w:shd w:val="clear" w:color="auto" w:fill="auto"/>
                  <w:vAlign w:val="top"/>
                </w:tcPr>
                <w:p w14:paraId="6D44404D">
                  <w:pPr>
                    <w:jc w:val="center"/>
                    <w:rPr>
                      <w:rFonts w:ascii="Times New Roman" w:hAnsi="Times New Roman" w:eastAsia="宋体" w:cs="Times New Roman"/>
                      <w:kern w:val="2"/>
                      <w:sz w:val="21"/>
                      <w:szCs w:val="24"/>
                      <w:u w:val="none"/>
                      <w:lang w:val="en-US" w:eastAsia="zh-CN" w:bidi="ar-SA"/>
                    </w:rPr>
                  </w:pPr>
                </w:p>
              </w:tc>
              <w:tc>
                <w:tcPr>
                  <w:tcW w:w="282" w:type="pct"/>
                  <w:vMerge w:val="continue"/>
                  <w:shd w:val="clear" w:color="auto" w:fill="auto"/>
                  <w:vAlign w:val="top"/>
                </w:tcPr>
                <w:p w14:paraId="2278429B">
                  <w:pPr>
                    <w:jc w:val="center"/>
                    <w:rPr>
                      <w:rFonts w:ascii="Times New Roman" w:hAnsi="Times New Roman" w:eastAsia="宋体" w:cs="Times New Roman"/>
                      <w:kern w:val="2"/>
                      <w:sz w:val="21"/>
                      <w:szCs w:val="24"/>
                      <w:u w:val="none"/>
                      <w:lang w:val="en-US" w:eastAsia="zh-CN" w:bidi="ar-SA"/>
                    </w:rPr>
                  </w:pPr>
                </w:p>
              </w:tc>
              <w:tc>
                <w:tcPr>
                  <w:tcW w:w="597" w:type="pct"/>
                  <w:vMerge w:val="continue"/>
                  <w:shd w:val="clear" w:color="auto" w:fill="auto"/>
                  <w:vAlign w:val="top"/>
                </w:tcPr>
                <w:p w14:paraId="6A91D30B">
                  <w:pPr>
                    <w:jc w:val="center"/>
                    <w:rPr>
                      <w:rFonts w:ascii="Times New Roman" w:hAnsi="Times New Roman" w:eastAsia="宋体" w:cs="Times New Roman"/>
                      <w:kern w:val="2"/>
                      <w:sz w:val="21"/>
                      <w:szCs w:val="24"/>
                      <w:u w:val="none"/>
                      <w:lang w:val="en-US" w:eastAsia="zh-CN" w:bidi="ar-SA"/>
                    </w:rPr>
                  </w:pPr>
                </w:p>
              </w:tc>
              <w:tc>
                <w:tcPr>
                  <w:tcW w:w="265" w:type="pct"/>
                  <w:vMerge w:val="continue"/>
                  <w:shd w:val="clear" w:color="auto" w:fill="auto"/>
                  <w:vAlign w:val="top"/>
                </w:tcPr>
                <w:p w14:paraId="16DFF8E4">
                  <w:pPr>
                    <w:jc w:val="center"/>
                    <w:rPr>
                      <w:rFonts w:ascii="Times New Roman" w:hAnsi="Times New Roman" w:eastAsia="宋体" w:cs="Times New Roman"/>
                      <w:kern w:val="2"/>
                      <w:sz w:val="21"/>
                      <w:szCs w:val="24"/>
                      <w:u w:val="none"/>
                      <w:lang w:val="en-US" w:eastAsia="zh-CN" w:bidi="ar-SA"/>
                    </w:rPr>
                  </w:pPr>
                </w:p>
              </w:tc>
              <w:tc>
                <w:tcPr>
                  <w:tcW w:w="179" w:type="pct"/>
                  <w:vMerge w:val="continue"/>
                  <w:shd w:val="clear" w:color="auto" w:fill="auto"/>
                  <w:vAlign w:val="top"/>
                </w:tcPr>
                <w:p w14:paraId="7404C7E7">
                  <w:pPr>
                    <w:jc w:val="center"/>
                    <w:rPr>
                      <w:rFonts w:ascii="Times New Roman" w:hAnsi="Times New Roman" w:eastAsia="宋体" w:cs="Times New Roman"/>
                      <w:kern w:val="2"/>
                      <w:sz w:val="21"/>
                      <w:szCs w:val="24"/>
                      <w:u w:val="none"/>
                      <w:lang w:val="en-US" w:eastAsia="zh-CN" w:bidi="ar-SA"/>
                    </w:rPr>
                  </w:pPr>
                </w:p>
              </w:tc>
              <w:tc>
                <w:tcPr>
                  <w:tcW w:w="243" w:type="pct"/>
                  <w:vMerge w:val="continue"/>
                  <w:shd w:val="clear" w:color="auto" w:fill="auto"/>
                  <w:vAlign w:val="top"/>
                </w:tcPr>
                <w:p w14:paraId="059FFED3">
                  <w:pPr>
                    <w:jc w:val="center"/>
                    <w:rPr>
                      <w:rFonts w:ascii="Times New Roman" w:hAnsi="Times New Roman" w:eastAsia="宋体" w:cs="Times New Roman"/>
                      <w:kern w:val="2"/>
                      <w:sz w:val="21"/>
                      <w:szCs w:val="24"/>
                      <w:u w:val="none"/>
                      <w:lang w:val="en-US" w:eastAsia="zh-CN" w:bidi="ar-SA"/>
                    </w:rPr>
                  </w:pPr>
                </w:p>
              </w:tc>
              <w:tc>
                <w:tcPr>
                  <w:tcW w:w="153" w:type="pct"/>
                  <w:vMerge w:val="continue"/>
                  <w:shd w:val="clear" w:color="auto" w:fill="auto"/>
                  <w:vAlign w:val="top"/>
                </w:tcPr>
                <w:p w14:paraId="00B6C5A8">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67C62DBE">
                  <w:pPr>
                    <w:jc w:val="center"/>
                    <w:rPr>
                      <w:rFonts w:ascii="Times New Roman" w:hAnsi="Times New Roman" w:eastAsia="宋体" w:cs="Times New Roman"/>
                      <w:kern w:val="2"/>
                      <w:sz w:val="21"/>
                      <w:szCs w:val="24"/>
                      <w:u w:val="none"/>
                      <w:lang w:val="en-US" w:eastAsia="zh-CN" w:bidi="ar-SA"/>
                    </w:rPr>
                  </w:pPr>
                  <w:r>
                    <w:rPr>
                      <w:u w:val="none"/>
                    </w:rPr>
                    <w:t>西</w:t>
                  </w:r>
                </w:p>
              </w:tc>
              <w:tc>
                <w:tcPr>
                  <w:tcW w:w="0" w:type="auto"/>
                  <w:shd w:val="clear" w:color="auto" w:fill="auto"/>
                  <w:vAlign w:val="center"/>
                </w:tcPr>
                <w:p w14:paraId="351818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48</w:t>
                  </w:r>
                </w:p>
              </w:tc>
              <w:tc>
                <w:tcPr>
                  <w:tcW w:w="1003" w:type="dxa"/>
                  <w:shd w:val="clear" w:color="auto" w:fill="auto"/>
                  <w:vAlign w:val="center"/>
                </w:tcPr>
                <w:p w14:paraId="58BDF0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51.4 </w:t>
                  </w:r>
                </w:p>
              </w:tc>
              <w:tc>
                <w:tcPr>
                  <w:tcW w:w="367" w:type="pct"/>
                  <w:vMerge w:val="continue"/>
                  <w:shd w:val="clear" w:color="auto" w:fill="auto"/>
                  <w:vAlign w:val="top"/>
                </w:tcPr>
                <w:p w14:paraId="2004E725">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52BAB60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2CE27F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36.4 </w:t>
                  </w:r>
                </w:p>
              </w:tc>
              <w:tc>
                <w:tcPr>
                  <w:tcW w:w="0" w:type="auto"/>
                  <w:shd w:val="clear" w:color="auto" w:fill="auto"/>
                  <w:vAlign w:val="center"/>
                </w:tcPr>
                <w:p w14:paraId="51F57AD6">
                  <w:pPr>
                    <w:jc w:val="center"/>
                    <w:rPr>
                      <w:rFonts w:ascii="Times New Roman" w:hAnsi="Times New Roman" w:eastAsia="宋体" w:cs="Times New Roman"/>
                      <w:kern w:val="2"/>
                      <w:sz w:val="21"/>
                      <w:szCs w:val="24"/>
                      <w:u w:val="none"/>
                      <w:lang w:val="en-US" w:eastAsia="zh-CN" w:bidi="ar-SA"/>
                    </w:rPr>
                  </w:pPr>
                  <w:r>
                    <w:rPr>
                      <w:u w:val="none"/>
                    </w:rPr>
                    <w:t>1m</w:t>
                  </w:r>
                </w:p>
              </w:tc>
            </w:tr>
            <w:tr w14:paraId="4E13D9F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78" w:type="pct"/>
                  <w:vMerge w:val="continue"/>
                  <w:shd w:val="clear" w:color="auto" w:fill="auto"/>
                  <w:vAlign w:val="top"/>
                </w:tcPr>
                <w:p w14:paraId="6AED398D">
                  <w:pPr>
                    <w:jc w:val="center"/>
                    <w:rPr>
                      <w:rFonts w:ascii="Times New Roman" w:hAnsi="Times New Roman" w:eastAsia="宋体" w:cs="Times New Roman"/>
                      <w:kern w:val="2"/>
                      <w:sz w:val="21"/>
                      <w:szCs w:val="24"/>
                      <w:u w:val="none"/>
                      <w:lang w:val="en-US" w:eastAsia="zh-CN" w:bidi="ar-SA"/>
                    </w:rPr>
                  </w:pPr>
                </w:p>
              </w:tc>
              <w:tc>
                <w:tcPr>
                  <w:tcW w:w="264" w:type="pct"/>
                  <w:vMerge w:val="continue"/>
                  <w:shd w:val="clear" w:color="auto" w:fill="auto"/>
                  <w:vAlign w:val="top"/>
                </w:tcPr>
                <w:p w14:paraId="26F0D4BE">
                  <w:pPr>
                    <w:jc w:val="center"/>
                    <w:rPr>
                      <w:rFonts w:ascii="Times New Roman" w:hAnsi="Times New Roman" w:eastAsia="宋体" w:cs="Times New Roman"/>
                      <w:kern w:val="2"/>
                      <w:sz w:val="21"/>
                      <w:szCs w:val="24"/>
                      <w:u w:val="none"/>
                      <w:lang w:val="en-US" w:eastAsia="zh-CN" w:bidi="ar-SA"/>
                    </w:rPr>
                  </w:pPr>
                </w:p>
              </w:tc>
              <w:tc>
                <w:tcPr>
                  <w:tcW w:w="282" w:type="pct"/>
                  <w:vMerge w:val="continue"/>
                  <w:shd w:val="clear" w:color="auto" w:fill="auto"/>
                  <w:vAlign w:val="top"/>
                </w:tcPr>
                <w:p w14:paraId="5B3FFFC2">
                  <w:pPr>
                    <w:jc w:val="center"/>
                    <w:rPr>
                      <w:rFonts w:ascii="Times New Roman" w:hAnsi="Times New Roman" w:eastAsia="宋体" w:cs="Times New Roman"/>
                      <w:kern w:val="2"/>
                      <w:sz w:val="21"/>
                      <w:szCs w:val="24"/>
                      <w:u w:val="none"/>
                      <w:lang w:val="en-US" w:eastAsia="zh-CN" w:bidi="ar-SA"/>
                    </w:rPr>
                  </w:pPr>
                </w:p>
              </w:tc>
              <w:tc>
                <w:tcPr>
                  <w:tcW w:w="597" w:type="pct"/>
                  <w:vMerge w:val="continue"/>
                  <w:shd w:val="clear" w:color="auto" w:fill="auto"/>
                  <w:vAlign w:val="top"/>
                </w:tcPr>
                <w:p w14:paraId="231D8F13">
                  <w:pPr>
                    <w:jc w:val="center"/>
                    <w:rPr>
                      <w:rFonts w:ascii="Times New Roman" w:hAnsi="Times New Roman" w:eastAsia="宋体" w:cs="Times New Roman"/>
                      <w:kern w:val="2"/>
                      <w:sz w:val="21"/>
                      <w:szCs w:val="24"/>
                      <w:u w:val="none"/>
                      <w:lang w:val="en-US" w:eastAsia="zh-CN" w:bidi="ar-SA"/>
                    </w:rPr>
                  </w:pPr>
                </w:p>
              </w:tc>
              <w:tc>
                <w:tcPr>
                  <w:tcW w:w="265" w:type="pct"/>
                  <w:vMerge w:val="continue"/>
                  <w:shd w:val="clear" w:color="auto" w:fill="auto"/>
                  <w:vAlign w:val="top"/>
                </w:tcPr>
                <w:p w14:paraId="4542BEF5">
                  <w:pPr>
                    <w:jc w:val="center"/>
                    <w:rPr>
                      <w:rFonts w:ascii="Times New Roman" w:hAnsi="Times New Roman" w:eastAsia="宋体" w:cs="Times New Roman"/>
                      <w:kern w:val="2"/>
                      <w:sz w:val="21"/>
                      <w:szCs w:val="24"/>
                      <w:u w:val="none"/>
                      <w:lang w:val="en-US" w:eastAsia="zh-CN" w:bidi="ar-SA"/>
                    </w:rPr>
                  </w:pPr>
                </w:p>
              </w:tc>
              <w:tc>
                <w:tcPr>
                  <w:tcW w:w="179" w:type="pct"/>
                  <w:vMerge w:val="continue"/>
                  <w:shd w:val="clear" w:color="auto" w:fill="auto"/>
                  <w:vAlign w:val="top"/>
                </w:tcPr>
                <w:p w14:paraId="6D5388BD">
                  <w:pPr>
                    <w:jc w:val="center"/>
                    <w:rPr>
                      <w:rFonts w:ascii="Times New Roman" w:hAnsi="Times New Roman" w:eastAsia="宋体" w:cs="Times New Roman"/>
                      <w:kern w:val="2"/>
                      <w:sz w:val="21"/>
                      <w:szCs w:val="24"/>
                      <w:u w:val="none"/>
                      <w:lang w:val="en-US" w:eastAsia="zh-CN" w:bidi="ar-SA"/>
                    </w:rPr>
                  </w:pPr>
                </w:p>
              </w:tc>
              <w:tc>
                <w:tcPr>
                  <w:tcW w:w="243" w:type="pct"/>
                  <w:vMerge w:val="continue"/>
                  <w:shd w:val="clear" w:color="auto" w:fill="auto"/>
                  <w:vAlign w:val="top"/>
                </w:tcPr>
                <w:p w14:paraId="07F71751">
                  <w:pPr>
                    <w:jc w:val="center"/>
                    <w:rPr>
                      <w:rFonts w:ascii="Times New Roman" w:hAnsi="Times New Roman" w:eastAsia="宋体" w:cs="Times New Roman"/>
                      <w:kern w:val="2"/>
                      <w:sz w:val="21"/>
                      <w:szCs w:val="24"/>
                      <w:u w:val="none"/>
                      <w:lang w:val="en-US" w:eastAsia="zh-CN" w:bidi="ar-SA"/>
                    </w:rPr>
                  </w:pPr>
                </w:p>
              </w:tc>
              <w:tc>
                <w:tcPr>
                  <w:tcW w:w="153" w:type="pct"/>
                  <w:vMerge w:val="continue"/>
                  <w:shd w:val="clear" w:color="auto" w:fill="auto"/>
                  <w:vAlign w:val="top"/>
                </w:tcPr>
                <w:p w14:paraId="2C5E2B36">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0FF641A5">
                  <w:pPr>
                    <w:jc w:val="center"/>
                    <w:rPr>
                      <w:rFonts w:ascii="Times New Roman" w:hAnsi="Times New Roman" w:eastAsia="宋体" w:cs="Times New Roman"/>
                      <w:kern w:val="2"/>
                      <w:sz w:val="21"/>
                      <w:szCs w:val="24"/>
                      <w:u w:val="none"/>
                      <w:lang w:val="en-US" w:eastAsia="zh-CN" w:bidi="ar-SA"/>
                    </w:rPr>
                  </w:pPr>
                  <w:r>
                    <w:rPr>
                      <w:u w:val="none"/>
                    </w:rPr>
                    <w:t>北</w:t>
                  </w:r>
                </w:p>
              </w:tc>
              <w:tc>
                <w:tcPr>
                  <w:tcW w:w="0" w:type="auto"/>
                  <w:shd w:val="clear" w:color="auto" w:fill="auto"/>
                  <w:vAlign w:val="center"/>
                </w:tcPr>
                <w:p w14:paraId="40BE4B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63</w:t>
                  </w:r>
                </w:p>
              </w:tc>
              <w:tc>
                <w:tcPr>
                  <w:tcW w:w="1003" w:type="dxa"/>
                  <w:shd w:val="clear" w:color="auto" w:fill="auto"/>
                  <w:vAlign w:val="center"/>
                </w:tcPr>
                <w:p w14:paraId="64BC3F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49.0 </w:t>
                  </w:r>
                </w:p>
              </w:tc>
              <w:tc>
                <w:tcPr>
                  <w:tcW w:w="367" w:type="pct"/>
                  <w:vMerge w:val="continue"/>
                  <w:shd w:val="clear" w:color="auto" w:fill="auto"/>
                  <w:vAlign w:val="top"/>
                </w:tcPr>
                <w:p w14:paraId="4F6F37B4">
                  <w:pPr>
                    <w:jc w:val="center"/>
                    <w:rPr>
                      <w:rFonts w:ascii="Times New Roman" w:hAnsi="Times New Roman" w:eastAsia="宋体" w:cs="Times New Roman"/>
                      <w:kern w:val="2"/>
                      <w:sz w:val="21"/>
                      <w:szCs w:val="24"/>
                      <w:u w:val="none"/>
                      <w:lang w:val="en-US" w:eastAsia="zh-CN" w:bidi="ar-SA"/>
                    </w:rPr>
                  </w:pPr>
                </w:p>
              </w:tc>
              <w:tc>
                <w:tcPr>
                  <w:tcW w:w="0" w:type="auto"/>
                  <w:shd w:val="clear" w:color="auto" w:fill="auto"/>
                  <w:vAlign w:val="center"/>
                </w:tcPr>
                <w:p w14:paraId="0A8AFB2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15</w:t>
                  </w:r>
                </w:p>
              </w:tc>
              <w:tc>
                <w:tcPr>
                  <w:tcW w:w="1003" w:type="dxa"/>
                  <w:shd w:val="clear" w:color="auto" w:fill="auto"/>
                  <w:vAlign w:val="center"/>
                </w:tcPr>
                <w:p w14:paraId="32C511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34.0 </w:t>
                  </w:r>
                </w:p>
              </w:tc>
              <w:tc>
                <w:tcPr>
                  <w:tcW w:w="0" w:type="auto"/>
                  <w:shd w:val="clear" w:color="auto" w:fill="auto"/>
                  <w:vAlign w:val="center"/>
                </w:tcPr>
                <w:p w14:paraId="0D89CB5F">
                  <w:pPr>
                    <w:jc w:val="center"/>
                    <w:rPr>
                      <w:rFonts w:ascii="Times New Roman" w:hAnsi="Times New Roman" w:eastAsia="宋体" w:cs="Times New Roman"/>
                      <w:kern w:val="2"/>
                      <w:sz w:val="21"/>
                      <w:szCs w:val="24"/>
                      <w:u w:val="none"/>
                      <w:lang w:val="en-US" w:eastAsia="zh-CN" w:bidi="ar-SA"/>
                    </w:rPr>
                  </w:pPr>
                  <w:r>
                    <w:rPr>
                      <w:u w:val="none"/>
                    </w:rPr>
                    <w:t>1m</w:t>
                  </w:r>
                </w:p>
              </w:tc>
            </w:tr>
          </w:tbl>
          <w:p w14:paraId="420F63C9">
            <w:pPr>
              <w:pStyle w:val="147"/>
              <w:keepNext w:val="0"/>
              <w:keepLines w:val="0"/>
              <w:suppressLineNumbers w:val="0"/>
              <w:spacing w:before="0" w:beforeAutospacing="0" w:after="0" w:afterAutospacing="0"/>
              <w:ind w:left="0" w:right="0"/>
              <w:rPr>
                <w:rFonts w:hint="default" w:ascii="Times New Roman" w:hAnsi="Times New Roman" w:cs="Times New Roman"/>
                <w:color w:val="auto"/>
                <w:sz w:val="24"/>
                <w:szCs w:val="24"/>
                <w:highlight w:val="none"/>
                <w:u w:val="none" w:color="auto"/>
              </w:rPr>
            </w:pPr>
            <w:r>
              <w:rPr>
                <w:rFonts w:hint="eastAsia" w:ascii="宋体" w:hAnsi="宋体" w:eastAsia="宋体" w:cs="宋体"/>
                <w:color w:val="000000"/>
                <w:kern w:val="0"/>
                <w:sz w:val="18"/>
                <w:szCs w:val="18"/>
                <w:lang w:val="en-US" w:eastAsia="zh-CN" w:bidi="ar"/>
              </w:rPr>
              <w:t>备注：以厂区中心为坐标原点</w:t>
            </w:r>
            <w:r>
              <w:rPr>
                <w:rFonts w:hint="default" w:ascii="Times New Roman" w:hAnsi="Times New Roman" w:eastAsia="宋体" w:cs="Times New Roman"/>
                <w:color w:val="000000"/>
                <w:kern w:val="0"/>
                <w:sz w:val="18"/>
                <w:szCs w:val="18"/>
                <w:lang w:val="en-US" w:eastAsia="zh-CN" w:bidi="ar"/>
              </w:rPr>
              <w:t>(0,0,0)</w:t>
            </w:r>
            <w:r>
              <w:rPr>
                <w:rFonts w:hint="eastAsia" w:ascii="宋体" w:hAnsi="宋体" w:eastAsia="宋体" w:cs="宋体"/>
                <w:color w:val="000000"/>
                <w:kern w:val="0"/>
                <w:sz w:val="18"/>
                <w:szCs w:val="18"/>
                <w:lang w:val="en-US" w:eastAsia="zh-CN" w:bidi="ar"/>
              </w:rPr>
              <w:t xml:space="preserve">，以西向东为 </w:t>
            </w:r>
            <w:r>
              <w:rPr>
                <w:rFonts w:hint="default" w:ascii="Times New Roman" w:hAnsi="Times New Roman" w:eastAsia="宋体" w:cs="Times New Roman"/>
                <w:color w:val="000000"/>
                <w:kern w:val="0"/>
                <w:sz w:val="18"/>
                <w:szCs w:val="18"/>
                <w:lang w:val="en-US" w:eastAsia="zh-CN" w:bidi="ar"/>
              </w:rPr>
              <w:t xml:space="preserve">X </w:t>
            </w:r>
            <w:r>
              <w:rPr>
                <w:rFonts w:hint="eastAsia" w:ascii="宋体" w:hAnsi="宋体" w:eastAsia="宋体" w:cs="宋体"/>
                <w:color w:val="000000"/>
                <w:kern w:val="0"/>
                <w:sz w:val="18"/>
                <w:szCs w:val="18"/>
                <w:lang w:val="en-US" w:eastAsia="zh-CN" w:bidi="ar"/>
              </w:rPr>
              <w:t xml:space="preserve">轴，以南向北为 </w:t>
            </w:r>
            <w:r>
              <w:rPr>
                <w:rFonts w:hint="default" w:ascii="Times New Roman" w:hAnsi="Times New Roman" w:eastAsia="宋体" w:cs="Times New Roman"/>
                <w:color w:val="000000"/>
                <w:kern w:val="0"/>
                <w:sz w:val="18"/>
                <w:szCs w:val="18"/>
                <w:lang w:val="en-US" w:eastAsia="zh-CN" w:bidi="ar"/>
              </w:rPr>
              <w:t xml:space="preserve">Y </w:t>
            </w:r>
            <w:r>
              <w:rPr>
                <w:rFonts w:hint="eastAsia" w:ascii="宋体" w:hAnsi="宋体" w:eastAsia="宋体" w:cs="宋体"/>
                <w:color w:val="000000"/>
                <w:kern w:val="0"/>
                <w:sz w:val="18"/>
                <w:szCs w:val="18"/>
                <w:lang w:val="en-US" w:eastAsia="zh-CN" w:bidi="ar"/>
              </w:rPr>
              <w:t xml:space="preserve">轴，地面垂直向上为 </w:t>
            </w:r>
            <w:r>
              <w:rPr>
                <w:rFonts w:hint="default" w:ascii="Times New Roman" w:hAnsi="Times New Roman" w:eastAsia="宋体" w:cs="Times New Roman"/>
                <w:color w:val="000000"/>
                <w:kern w:val="0"/>
                <w:sz w:val="18"/>
                <w:szCs w:val="18"/>
                <w:lang w:val="en-US" w:eastAsia="zh-CN" w:bidi="ar"/>
              </w:rPr>
              <w:t xml:space="preserve">Z </w:t>
            </w:r>
            <w:r>
              <w:rPr>
                <w:rFonts w:hint="eastAsia" w:ascii="宋体" w:hAnsi="宋体" w:eastAsia="宋体" w:cs="宋体"/>
                <w:color w:val="000000"/>
                <w:kern w:val="0"/>
                <w:sz w:val="18"/>
                <w:szCs w:val="18"/>
                <w:lang w:val="en-US" w:eastAsia="zh-CN" w:bidi="ar"/>
              </w:rPr>
              <w:t>轴。</w:t>
            </w:r>
          </w:p>
          <w:p w14:paraId="477FE6F6">
            <w:pPr>
              <w:keepNext w:val="0"/>
              <w:keepLines w:val="0"/>
              <w:suppressLineNumbers w:val="0"/>
              <w:spacing w:before="120" w:beforeLines="50" w:beforeAutospacing="0" w:after="0" w:afterAutospacing="0" w:line="360" w:lineRule="auto"/>
              <w:ind w:left="0" w:right="0" w:firstLine="482" w:firstLineChars="200"/>
              <w:rPr>
                <w:rFonts w:hint="default" w:ascii="Times New Roman" w:hAnsi="Times New Roman" w:eastAsia="宋体"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rPr>
              <w:t>3.2、</w:t>
            </w:r>
            <w:r>
              <w:rPr>
                <w:rFonts w:hint="default" w:ascii="Times New Roman" w:hAnsi="Times New Roman" w:cs="Times New Roman"/>
                <w:b/>
                <w:bCs/>
                <w:color w:val="auto"/>
                <w:sz w:val="24"/>
                <w:szCs w:val="24"/>
                <w:highlight w:val="none"/>
                <w:u w:val="none"/>
                <w:lang w:val="en-US" w:eastAsia="zh-CN"/>
              </w:rPr>
              <w:t>达标情况</w:t>
            </w:r>
          </w:p>
          <w:p w14:paraId="52F76A9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snapToGrid w:val="0"/>
                <w:color w:val="auto"/>
                <w:kern w:val="0"/>
                <w:sz w:val="24"/>
                <w:highlight w:val="none"/>
                <w:u w:val="none"/>
              </w:rPr>
            </w:pPr>
            <w:r>
              <w:rPr>
                <w:rFonts w:hint="default" w:ascii="Times New Roman" w:hAnsi="Times New Roman" w:cs="Times New Roman"/>
                <w:bCs/>
                <w:snapToGrid w:val="0"/>
                <w:color w:val="auto"/>
                <w:kern w:val="0"/>
                <w:sz w:val="24"/>
                <w:highlight w:val="none"/>
                <w:u w:val="none"/>
              </w:rPr>
              <w:t>（1）预测方法</w:t>
            </w:r>
          </w:p>
          <w:p w14:paraId="47047DE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snapToGrid w:val="0"/>
                <w:color w:val="auto"/>
                <w:kern w:val="0"/>
                <w:sz w:val="24"/>
                <w:highlight w:val="none"/>
                <w:u w:val="none"/>
              </w:rPr>
            </w:pPr>
            <w:r>
              <w:rPr>
                <w:rFonts w:hint="eastAsia" w:ascii="Times New Roman" w:hAnsi="Times New Roman" w:cs="Times New Roman"/>
                <w:bCs/>
                <w:snapToGrid w:val="0"/>
                <w:color w:val="auto"/>
                <w:kern w:val="0"/>
                <w:sz w:val="24"/>
                <w:highlight w:val="none"/>
                <w:u w:val="none"/>
              </w:rPr>
              <w:t>根据项目建设内容及《环境影响评价技术导则—声环境》（HJ2.4-2021）的要求，项目环评采用的模型为《环境影响评价技术导则 声环境》(HJ2.4.2021)附录A（规范性附录）户外声传播的衰减和附录B（规范性附录）中“B.1工业噪声预测计算模型”。</w:t>
            </w:r>
          </w:p>
          <w:p w14:paraId="5D7DA68B">
            <w:pPr>
              <w:keepNext w:val="0"/>
              <w:keepLines w:val="0"/>
              <w:widowControl/>
              <w:suppressLineNumbers w:val="0"/>
              <w:spacing w:before="0" w:beforeAutospacing="0" w:after="0" w:afterAutospacing="0" w:line="360" w:lineRule="auto"/>
              <w:ind w:left="0" w:right="0" w:firstLine="480" w:firstLineChars="200"/>
              <w:rPr>
                <w:rFonts w:hint="default" w:ascii="Times New Roman" w:hAnsi="Times New Roman" w:cs="Times New Roman"/>
                <w:color w:val="auto"/>
                <w:kern w:val="0"/>
                <w:sz w:val="24"/>
                <w:u w:val="none"/>
                <w:lang w:bidi="ar"/>
              </w:rPr>
            </w:pPr>
            <w:r>
              <w:rPr>
                <w:rFonts w:hint="default" w:ascii="Times New Roman" w:hAnsi="Times New Roman" w:cs="Times New Roman"/>
                <w:color w:val="auto"/>
                <w:kern w:val="0"/>
                <w:sz w:val="24"/>
                <w:u w:val="none"/>
                <w:lang w:bidi="ar"/>
              </w:rPr>
              <w:t>采用《环境影响评价技术 声环境》(HJ2.4-2021)中的噪声预测模式预测本项目的主要噪声设备对周围声环境的影响。预测模式如下：</w:t>
            </w:r>
          </w:p>
          <w:p w14:paraId="00E1A76E">
            <w:pPr>
              <w:pStyle w:val="139"/>
              <w:keepNext w:val="0"/>
              <w:keepLines w:val="0"/>
              <w:suppressLineNumbers w:val="0"/>
              <w:tabs>
                <w:tab w:val="bar" w:pos="9540"/>
              </w:tabs>
              <w:snapToGrid w:val="0"/>
              <w:spacing w:beforeAutospacing="0" w:afterAutospacing="0"/>
              <w:ind w:left="0" w:firstLine="480" w:firstLineChars="200"/>
              <w:jc w:val="left"/>
              <w:rPr>
                <w:rFonts w:hint="default" w:ascii="Times New Roman" w:hAnsi="Times New Roman" w:cs="Times New Roman"/>
                <w:color w:val="auto"/>
                <w:u w:val="none"/>
              </w:rPr>
            </w:pPr>
            <w:r>
              <w:rPr>
                <w:rFonts w:hint="default" w:ascii="Times New Roman" w:hAnsi="Times New Roman" w:cs="Times New Roman"/>
                <w:color w:val="auto"/>
                <w:kern w:val="0"/>
                <w:u w:val="none"/>
                <w:lang w:bidi="ar"/>
              </w:rPr>
              <w:t>A、</w:t>
            </w:r>
            <w:r>
              <w:rPr>
                <w:rFonts w:hint="default" w:ascii="Times New Roman" w:hAnsi="Times New Roman" w:cs="Times New Roman"/>
                <w:color w:val="auto"/>
                <w:u w:val="none"/>
              </w:rPr>
              <w:t>本项目只考虑几何发散衰减，公式按照：</w:t>
            </w:r>
          </w:p>
          <w:p w14:paraId="5002B7B9">
            <w:pPr>
              <w:pStyle w:val="139"/>
              <w:keepNext w:val="0"/>
              <w:keepLines w:val="0"/>
              <w:suppressLineNumbers w:val="0"/>
              <w:tabs>
                <w:tab w:val="bar" w:pos="9540"/>
              </w:tabs>
              <w:snapToGrid w:val="0"/>
              <w:spacing w:beforeAutospacing="0" w:afterAutospacing="0"/>
              <w:ind w:left="0" w:firstLine="0" w:firstLineChars="0"/>
              <w:jc w:val="center"/>
              <w:rPr>
                <w:rFonts w:hint="default" w:ascii="Times New Roman" w:hAnsi="Times New Roman" w:cs="Times New Roman"/>
                <w:color w:val="auto"/>
                <w:u w:val="none"/>
              </w:rPr>
            </w:pPr>
            <w:r>
              <w:rPr>
                <w:rFonts w:hint="default" w:ascii="Times New Roman" w:hAnsi="Times New Roman" w:cs="Times New Roman"/>
                <w:color w:val="auto"/>
                <w:u w:val="none"/>
              </w:rPr>
              <w:t>L</w:t>
            </w:r>
            <w:r>
              <w:rPr>
                <w:rFonts w:hint="default" w:ascii="Times New Roman" w:hAnsi="Times New Roman" w:cs="Times New Roman"/>
                <w:color w:val="auto"/>
                <w:u w:val="none"/>
                <w:vertAlign w:val="subscript"/>
              </w:rPr>
              <w:t>A</w:t>
            </w:r>
            <w:r>
              <w:rPr>
                <w:rFonts w:hint="default" w:ascii="Times New Roman" w:hAnsi="Times New Roman" w:cs="Times New Roman"/>
                <w:color w:val="auto"/>
                <w:u w:val="none"/>
              </w:rPr>
              <w:t>(r)=L</w:t>
            </w:r>
            <w:r>
              <w:rPr>
                <w:rFonts w:hint="default" w:ascii="Times New Roman" w:hAnsi="Times New Roman" w:cs="Times New Roman"/>
                <w:color w:val="auto"/>
                <w:u w:val="none"/>
                <w:vertAlign w:val="subscript"/>
              </w:rPr>
              <w:t>A</w:t>
            </w:r>
            <w:r>
              <w:rPr>
                <w:rFonts w:hint="default" w:ascii="Times New Roman" w:hAnsi="Times New Roman" w:cs="Times New Roman"/>
                <w:color w:val="auto"/>
                <w:u w:val="none"/>
              </w:rPr>
              <w:t>（r</w:t>
            </w:r>
            <w:r>
              <w:rPr>
                <w:rFonts w:hint="default" w:ascii="Times New Roman" w:hAnsi="Times New Roman" w:cs="Times New Roman"/>
                <w:color w:val="auto"/>
                <w:u w:val="none"/>
                <w:vertAlign w:val="subscript"/>
              </w:rPr>
              <w:t>0</w:t>
            </w:r>
            <w:r>
              <w:rPr>
                <w:rFonts w:hint="default" w:ascii="Times New Roman" w:hAnsi="Times New Roman" w:cs="Times New Roman"/>
                <w:color w:val="auto"/>
                <w:u w:val="none"/>
              </w:rPr>
              <w:t>）－A</w:t>
            </w:r>
            <w:r>
              <w:rPr>
                <w:rFonts w:hint="default" w:ascii="Times New Roman" w:hAnsi="Times New Roman" w:cs="Times New Roman"/>
                <w:color w:val="auto"/>
                <w:u w:val="none"/>
                <w:vertAlign w:val="subscript"/>
              </w:rPr>
              <w:t>div</w:t>
            </w:r>
          </w:p>
          <w:p w14:paraId="38C68ECA">
            <w:pPr>
              <w:pStyle w:val="27"/>
              <w:keepNext w:val="0"/>
              <w:keepLines w:val="0"/>
              <w:suppressLineNumbers w:val="0"/>
              <w:adjustRightInd w:val="0"/>
              <w:snapToGrid w:val="0"/>
              <w:spacing w:before="0" w:beforeAutospacing="0" w:after="0" w:afterAutospacing="0" w:line="360" w:lineRule="auto"/>
              <w:ind w:left="0" w:leftChars="0" w:right="0" w:rightChars="0" w:firstLine="480" w:firstLineChars="2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式中：L</w:t>
            </w:r>
            <w:r>
              <w:rPr>
                <w:rFonts w:hint="default" w:ascii="Times New Roman" w:hAnsi="Times New Roman" w:cs="Times New Roman"/>
                <w:color w:val="auto"/>
                <w:sz w:val="24"/>
                <w:u w:val="none"/>
                <w:vertAlign w:val="subscript"/>
              </w:rPr>
              <w:t>A</w:t>
            </w:r>
            <w:r>
              <w:rPr>
                <w:rFonts w:hint="default" w:ascii="Times New Roman" w:hAnsi="Times New Roman" w:cs="Times New Roman"/>
                <w:color w:val="auto"/>
                <w:sz w:val="24"/>
                <w:u w:val="none"/>
              </w:rPr>
              <w:t>(r)——距声源r处的A声级，dB（A）；</w:t>
            </w:r>
          </w:p>
          <w:p w14:paraId="26B5F41C">
            <w:pPr>
              <w:pStyle w:val="27"/>
              <w:keepNext w:val="0"/>
              <w:keepLines w:val="0"/>
              <w:suppressLineNumbers w:val="0"/>
              <w:adjustRightInd w:val="0"/>
              <w:snapToGrid w:val="0"/>
              <w:spacing w:before="0" w:beforeAutospacing="0" w:after="0" w:afterAutospacing="0" w:line="360" w:lineRule="auto"/>
              <w:ind w:left="0" w:leftChars="0" w:right="0" w:rightChars="0" w:firstLine="1200" w:firstLineChars="5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L</w:t>
            </w:r>
            <w:r>
              <w:rPr>
                <w:rFonts w:hint="default" w:ascii="Times New Roman" w:hAnsi="Times New Roman" w:cs="Times New Roman"/>
                <w:color w:val="auto"/>
                <w:sz w:val="24"/>
                <w:u w:val="none"/>
                <w:vertAlign w:val="subscript"/>
              </w:rPr>
              <w:t>A</w:t>
            </w:r>
            <w:r>
              <w:rPr>
                <w:rFonts w:hint="default" w:ascii="Times New Roman" w:hAnsi="Times New Roman" w:cs="Times New Roman"/>
                <w:color w:val="auto"/>
                <w:sz w:val="24"/>
                <w:u w:val="none"/>
              </w:rPr>
              <w:t>(r</w:t>
            </w:r>
            <w:r>
              <w:rPr>
                <w:rFonts w:hint="default" w:ascii="Times New Roman" w:hAnsi="Times New Roman" w:cs="Times New Roman"/>
                <w:color w:val="auto"/>
                <w:sz w:val="24"/>
                <w:u w:val="none"/>
                <w:vertAlign w:val="subscript"/>
              </w:rPr>
              <w:t>0</w:t>
            </w:r>
            <w:r>
              <w:rPr>
                <w:rFonts w:hint="default" w:ascii="Times New Roman" w:hAnsi="Times New Roman" w:cs="Times New Roman"/>
                <w:color w:val="auto"/>
                <w:sz w:val="24"/>
                <w:u w:val="none"/>
              </w:rPr>
              <w:t>)——参考位置r</w:t>
            </w:r>
            <w:r>
              <w:rPr>
                <w:rFonts w:hint="default" w:ascii="Times New Roman" w:hAnsi="Times New Roman" w:cs="Times New Roman"/>
                <w:color w:val="auto"/>
                <w:sz w:val="24"/>
                <w:u w:val="none"/>
                <w:vertAlign w:val="subscript"/>
              </w:rPr>
              <w:t>0</w:t>
            </w:r>
            <w:r>
              <w:rPr>
                <w:rFonts w:hint="default" w:ascii="Times New Roman" w:hAnsi="Times New Roman" w:cs="Times New Roman"/>
                <w:color w:val="auto"/>
                <w:sz w:val="24"/>
                <w:u w:val="none"/>
              </w:rPr>
              <w:t>处的A声级，dB（A）；</w:t>
            </w:r>
          </w:p>
          <w:p w14:paraId="2C4A53C0">
            <w:pPr>
              <w:pStyle w:val="139"/>
              <w:keepNext w:val="0"/>
              <w:keepLines w:val="0"/>
              <w:suppressLineNumbers w:val="0"/>
              <w:tabs>
                <w:tab w:val="bar" w:pos="9540"/>
              </w:tabs>
              <w:snapToGrid w:val="0"/>
              <w:spacing w:beforeAutospacing="0" w:afterAutospacing="0"/>
              <w:ind w:left="0" w:firstLine="1200" w:firstLineChars="500"/>
              <w:jc w:val="left"/>
              <w:rPr>
                <w:rFonts w:hint="default" w:ascii="Times New Roman" w:hAnsi="Times New Roman" w:cs="Times New Roman"/>
                <w:color w:val="auto"/>
                <w:u w:val="none"/>
              </w:rPr>
            </w:pPr>
            <w:r>
              <w:rPr>
                <w:rFonts w:hint="default" w:ascii="Times New Roman" w:hAnsi="Times New Roman" w:cs="Times New Roman"/>
                <w:color w:val="auto"/>
                <w:u w:val="none"/>
              </w:rPr>
              <w:t>A</w:t>
            </w:r>
            <w:r>
              <w:rPr>
                <w:rFonts w:hint="default" w:ascii="Times New Roman" w:hAnsi="Times New Roman" w:cs="Times New Roman"/>
                <w:color w:val="auto"/>
                <w:u w:val="none"/>
                <w:vertAlign w:val="subscript"/>
              </w:rPr>
              <w:t>div</w:t>
            </w:r>
            <w:r>
              <w:rPr>
                <w:rFonts w:hint="default" w:ascii="Times New Roman" w:hAnsi="Times New Roman" w:cs="Times New Roman"/>
                <w:color w:val="auto"/>
                <w:u w:val="none"/>
              </w:rPr>
              <w:t>——几何发散引起的衰减，dB；</w:t>
            </w:r>
          </w:p>
          <w:p w14:paraId="3C5B3886">
            <w:pPr>
              <w:pStyle w:val="139"/>
              <w:keepNext w:val="0"/>
              <w:keepLines w:val="0"/>
              <w:suppressLineNumbers w:val="0"/>
              <w:tabs>
                <w:tab w:val="bar" w:pos="9540"/>
              </w:tabs>
              <w:snapToGrid w:val="0"/>
              <w:spacing w:beforeAutospacing="0" w:afterAutospacing="0"/>
              <w:ind w:left="0" w:firstLine="480" w:firstLineChars="200"/>
              <w:jc w:val="left"/>
              <w:rPr>
                <w:rFonts w:hint="default" w:ascii="Times New Roman" w:hAnsi="Times New Roman" w:cs="Times New Roman"/>
                <w:color w:val="auto"/>
                <w:u w:val="none"/>
              </w:rPr>
            </w:pPr>
            <w:r>
              <w:rPr>
                <w:rFonts w:hint="default" w:ascii="Times New Roman" w:hAnsi="Times New Roman" w:cs="Times New Roman"/>
                <w:color w:val="auto"/>
                <w:kern w:val="0"/>
                <w:u w:val="none"/>
                <w:lang w:bidi="ar"/>
              </w:rPr>
              <w:t>B、</w:t>
            </w:r>
            <w:r>
              <w:rPr>
                <w:rFonts w:hint="default" w:ascii="Times New Roman" w:hAnsi="Times New Roman" w:cs="Times New Roman"/>
                <w:color w:val="auto"/>
                <w:u w:val="none"/>
              </w:rPr>
              <w:t>声源的几何发散衰减公式：</w:t>
            </w:r>
          </w:p>
          <w:p w14:paraId="3CDF48CB">
            <w:pPr>
              <w:pStyle w:val="27"/>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A</w:t>
            </w:r>
            <w:r>
              <w:rPr>
                <w:rFonts w:hint="default" w:ascii="Times New Roman" w:hAnsi="Times New Roman" w:cs="Times New Roman"/>
                <w:color w:val="auto"/>
                <w:sz w:val="24"/>
                <w:u w:val="none"/>
                <w:vertAlign w:val="subscript"/>
              </w:rPr>
              <w:t>div</w:t>
            </w:r>
            <w:r>
              <w:rPr>
                <w:rFonts w:hint="default" w:ascii="Times New Roman" w:hAnsi="Times New Roman" w:cs="Times New Roman"/>
                <w:color w:val="auto"/>
                <w:sz w:val="24"/>
                <w:u w:val="none"/>
              </w:rPr>
              <w:t>=20lg（r/r</w:t>
            </w:r>
            <w:r>
              <w:rPr>
                <w:rFonts w:hint="default" w:ascii="Times New Roman" w:hAnsi="Times New Roman" w:cs="Times New Roman"/>
                <w:color w:val="auto"/>
                <w:sz w:val="24"/>
                <w:u w:val="none"/>
                <w:vertAlign w:val="subscript"/>
              </w:rPr>
              <w:t>0</w:t>
            </w:r>
            <w:r>
              <w:rPr>
                <w:rFonts w:hint="default" w:ascii="Times New Roman" w:hAnsi="Times New Roman" w:cs="Times New Roman"/>
                <w:color w:val="auto"/>
                <w:sz w:val="24"/>
                <w:u w:val="none"/>
              </w:rPr>
              <w:t>）</w:t>
            </w:r>
          </w:p>
          <w:p w14:paraId="5041F55E">
            <w:pPr>
              <w:pStyle w:val="27"/>
              <w:keepNext w:val="0"/>
              <w:keepLines w:val="0"/>
              <w:suppressLineNumbers w:val="0"/>
              <w:adjustRightInd w:val="0"/>
              <w:snapToGrid w:val="0"/>
              <w:spacing w:before="0" w:beforeAutospacing="0" w:after="0" w:afterAutospacing="0" w:line="360" w:lineRule="auto"/>
              <w:ind w:left="0" w:leftChars="0" w:right="0" w:rightChars="0" w:firstLine="480" w:firstLineChars="2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式中：A</w:t>
            </w:r>
            <w:r>
              <w:rPr>
                <w:rFonts w:hint="default" w:ascii="Times New Roman" w:hAnsi="Times New Roman" w:cs="Times New Roman"/>
                <w:color w:val="auto"/>
                <w:sz w:val="24"/>
                <w:u w:val="none"/>
                <w:vertAlign w:val="subscript"/>
              </w:rPr>
              <w:t>div</w:t>
            </w:r>
            <w:r>
              <w:rPr>
                <w:rFonts w:hint="default" w:ascii="Times New Roman" w:hAnsi="Times New Roman" w:cs="Times New Roman"/>
                <w:color w:val="auto"/>
                <w:sz w:val="24"/>
                <w:u w:val="none"/>
              </w:rPr>
              <w:t>——几何发散引起的衰减，dB；</w:t>
            </w:r>
          </w:p>
          <w:p w14:paraId="3AE023D6">
            <w:pPr>
              <w:pStyle w:val="139"/>
              <w:keepNext w:val="0"/>
              <w:keepLines w:val="0"/>
              <w:suppressLineNumbers w:val="0"/>
              <w:tabs>
                <w:tab w:val="bar" w:pos="9540"/>
              </w:tabs>
              <w:snapToGrid w:val="0"/>
              <w:spacing w:beforeAutospacing="0" w:afterAutospacing="0"/>
              <w:ind w:left="0" w:firstLine="1200" w:firstLineChars="500"/>
              <w:jc w:val="left"/>
              <w:rPr>
                <w:rFonts w:hint="default" w:ascii="Times New Roman" w:hAnsi="Times New Roman" w:cs="Times New Roman"/>
                <w:color w:val="auto"/>
                <w:u w:val="none"/>
              </w:rPr>
            </w:pPr>
            <w:r>
              <w:rPr>
                <w:rFonts w:hint="default" w:ascii="Times New Roman" w:hAnsi="Times New Roman" w:cs="Times New Roman"/>
                <w:color w:val="auto"/>
                <w:u w:val="none"/>
              </w:rPr>
              <w:t>r——预测点距声源的距离；</w:t>
            </w:r>
          </w:p>
          <w:p w14:paraId="132E4425">
            <w:pPr>
              <w:pStyle w:val="27"/>
              <w:keepNext w:val="0"/>
              <w:keepLines w:val="0"/>
              <w:suppressLineNumbers w:val="0"/>
              <w:adjustRightInd w:val="0"/>
              <w:snapToGrid w:val="0"/>
              <w:spacing w:before="0" w:beforeAutospacing="0" w:after="0" w:afterAutospacing="0" w:line="360" w:lineRule="auto"/>
              <w:ind w:left="0" w:leftChars="0" w:right="0" w:rightChars="0" w:firstLine="1200" w:firstLineChars="5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r</w:t>
            </w:r>
            <w:r>
              <w:rPr>
                <w:rFonts w:hint="default" w:ascii="Times New Roman" w:hAnsi="Times New Roman" w:cs="Times New Roman"/>
                <w:color w:val="auto"/>
                <w:sz w:val="24"/>
                <w:u w:val="none"/>
                <w:vertAlign w:val="subscript"/>
              </w:rPr>
              <w:t>0</w:t>
            </w:r>
            <w:r>
              <w:rPr>
                <w:rFonts w:hint="default" w:ascii="Times New Roman" w:hAnsi="Times New Roman" w:cs="Times New Roman"/>
                <w:color w:val="auto"/>
                <w:sz w:val="24"/>
                <w:u w:val="none"/>
              </w:rPr>
              <w:t>——参考位置距声源的距离；</w:t>
            </w:r>
          </w:p>
          <w:p w14:paraId="3355F173">
            <w:pPr>
              <w:pStyle w:val="139"/>
              <w:keepNext w:val="0"/>
              <w:keepLines w:val="0"/>
              <w:suppressLineNumbers w:val="0"/>
              <w:tabs>
                <w:tab w:val="bar" w:pos="9540"/>
              </w:tabs>
              <w:snapToGrid w:val="0"/>
              <w:spacing w:beforeAutospacing="0" w:afterAutospacing="0"/>
              <w:ind w:left="0" w:firstLine="480" w:firstLineChars="200"/>
              <w:jc w:val="left"/>
              <w:rPr>
                <w:rFonts w:hint="default" w:ascii="Times New Roman" w:hAnsi="Times New Roman" w:cs="Times New Roman"/>
                <w:color w:val="auto"/>
                <w:u w:val="none"/>
              </w:rPr>
            </w:pPr>
            <w:r>
              <w:rPr>
                <w:rFonts w:hint="default" w:ascii="Times New Roman" w:hAnsi="Times New Roman" w:cs="Times New Roman"/>
                <w:color w:val="auto"/>
                <w:kern w:val="0"/>
                <w:u w:val="none"/>
                <w:lang w:bidi="ar"/>
              </w:rPr>
              <w:t>C、</w:t>
            </w:r>
            <w:r>
              <w:rPr>
                <w:rFonts w:hint="default" w:ascii="Times New Roman" w:hAnsi="Times New Roman" w:cs="Times New Roman"/>
                <w:color w:val="auto"/>
                <w:u w:val="none"/>
              </w:rPr>
              <w:t>工业企业噪声计算公式：</w:t>
            </w:r>
          </w:p>
          <w:p w14:paraId="0FFC6B28">
            <w:pPr>
              <w:pStyle w:val="27"/>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cs="Times New Roman"/>
                <w:color w:val="auto"/>
                <w:sz w:val="24"/>
                <w:u w:val="none"/>
              </w:rPr>
            </w:pPr>
            <w:r>
              <w:rPr>
                <w:rFonts w:hint="default" w:ascii="Times New Roman" w:hAnsi="Times New Roman" w:cs="Times New Roman"/>
                <w:color w:val="auto"/>
                <w:position w:val="-34"/>
                <w:sz w:val="24"/>
                <w:u w:val="none"/>
              </w:rPr>
              <w:object>
                <v:shape id="_x0000_i1025" o:spt="75" type="#_x0000_t75" style="height:40pt;width:203pt;" o:ole="t" filled="f" o:preferrelative="t" stroked="f" coordsize="21600,21600">
                  <v:path/>
                  <v:fill on="f" focussize="0,0"/>
                  <v:stroke on="f"/>
                  <v:imagedata r:id="rId12" o:title=""/>
                  <o:lock v:ext="edit" aspectratio="t"/>
                  <w10:wrap type="none"/>
                  <w10:anchorlock/>
                </v:shape>
                <o:OLEObject Type="Embed" ProgID="Equation.KSEE3" ShapeID="_x0000_i1025" DrawAspect="Content" ObjectID="_1468075725" r:id="rId11">
                  <o:LockedField>false</o:LockedField>
                </o:OLEObject>
              </w:object>
            </w:r>
          </w:p>
          <w:p w14:paraId="178476CC">
            <w:pPr>
              <w:pStyle w:val="27"/>
              <w:keepNext w:val="0"/>
              <w:keepLines w:val="0"/>
              <w:suppressLineNumbers w:val="0"/>
              <w:adjustRightInd w:val="0"/>
              <w:snapToGrid w:val="0"/>
              <w:spacing w:before="0" w:beforeAutospacing="0" w:after="0" w:afterAutospacing="0" w:line="360" w:lineRule="auto"/>
              <w:ind w:left="0" w:leftChars="0" w:right="0" w:rightChars="0"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式中：L</w:t>
            </w:r>
            <w:r>
              <w:rPr>
                <w:rFonts w:hint="default" w:ascii="Times New Roman" w:hAnsi="Times New Roman" w:cs="Times New Roman"/>
                <w:color w:val="auto"/>
                <w:sz w:val="24"/>
                <w:u w:val="none"/>
                <w:vertAlign w:val="subscript"/>
              </w:rPr>
              <w:t>eqg</w:t>
            </w:r>
            <w:r>
              <w:rPr>
                <w:rFonts w:hint="default" w:ascii="Times New Roman" w:hAnsi="Times New Roman" w:cs="Times New Roman"/>
                <w:color w:val="auto"/>
                <w:sz w:val="24"/>
                <w:u w:val="none"/>
              </w:rPr>
              <w:t>——建设项目声源在预测点产生的噪声贡献值，dB；</w:t>
            </w:r>
          </w:p>
          <w:p w14:paraId="2E5F45CF">
            <w:pPr>
              <w:pStyle w:val="27"/>
              <w:keepNext w:val="0"/>
              <w:keepLines w:val="0"/>
              <w:suppressLineNumbers w:val="0"/>
              <w:adjustRightInd w:val="0"/>
              <w:snapToGrid w:val="0"/>
              <w:spacing w:before="0" w:beforeAutospacing="0" w:after="0" w:afterAutospacing="0" w:line="360" w:lineRule="auto"/>
              <w:ind w:left="0" w:leftChars="0" w:right="0" w:rightChars="0" w:firstLine="1200" w:firstLineChars="500"/>
              <w:rPr>
                <w:rFonts w:hint="default" w:ascii="Times New Roman" w:hAnsi="Times New Roman" w:cs="Times New Roman"/>
                <w:color w:val="auto"/>
                <w:sz w:val="24"/>
                <w:u w:val="none"/>
              </w:rPr>
            </w:pPr>
            <w:r>
              <w:rPr>
                <w:rFonts w:hint="default" w:ascii="Times New Roman" w:hAnsi="Times New Roman" w:cs="Times New Roman"/>
                <w:color w:val="auto"/>
                <w:sz w:val="24"/>
                <w:u w:val="none"/>
              </w:rPr>
              <w:t>T——用于计算等效声级的时间，s；</w:t>
            </w:r>
          </w:p>
          <w:p w14:paraId="28E532B1">
            <w:pPr>
              <w:pStyle w:val="139"/>
              <w:keepNext w:val="0"/>
              <w:keepLines w:val="0"/>
              <w:suppressLineNumbers w:val="0"/>
              <w:tabs>
                <w:tab w:val="bar" w:pos="9540"/>
              </w:tabs>
              <w:snapToGrid w:val="0"/>
              <w:spacing w:beforeAutospacing="0" w:afterAutospacing="0"/>
              <w:ind w:left="0" w:firstLine="1200" w:firstLineChars="500"/>
              <w:jc w:val="left"/>
              <w:rPr>
                <w:rFonts w:hint="default" w:ascii="Times New Roman" w:hAnsi="Times New Roman" w:cs="Times New Roman"/>
                <w:color w:val="auto"/>
                <w:u w:val="none"/>
              </w:rPr>
            </w:pPr>
            <w:r>
              <w:rPr>
                <w:rFonts w:hint="default" w:ascii="Times New Roman" w:hAnsi="Times New Roman" w:cs="Times New Roman"/>
                <w:color w:val="auto"/>
                <w:u w:val="none"/>
              </w:rPr>
              <w:t>N——室外声源个数；</w:t>
            </w:r>
          </w:p>
          <w:p w14:paraId="17E4EFFC">
            <w:pPr>
              <w:pStyle w:val="139"/>
              <w:keepNext w:val="0"/>
              <w:keepLines w:val="0"/>
              <w:suppressLineNumbers w:val="0"/>
              <w:tabs>
                <w:tab w:val="bar" w:pos="9540"/>
              </w:tabs>
              <w:snapToGrid w:val="0"/>
              <w:spacing w:beforeAutospacing="0" w:afterAutospacing="0"/>
              <w:ind w:left="0" w:firstLine="1200" w:firstLineChars="500"/>
              <w:jc w:val="left"/>
              <w:rPr>
                <w:rFonts w:hint="default" w:ascii="Times New Roman" w:hAnsi="Times New Roman" w:cs="Times New Roman"/>
                <w:color w:val="auto"/>
                <w:u w:val="none"/>
              </w:rPr>
            </w:pPr>
            <w:r>
              <w:rPr>
                <w:rFonts w:hint="default" w:ascii="Times New Roman" w:hAnsi="Times New Roman" w:cs="Times New Roman"/>
                <w:color w:val="auto"/>
                <w:u w:val="none"/>
              </w:rPr>
              <w:t>t</w:t>
            </w:r>
            <w:r>
              <w:rPr>
                <w:rFonts w:hint="default" w:ascii="Times New Roman" w:hAnsi="Times New Roman" w:cs="Times New Roman"/>
                <w:color w:val="auto"/>
                <w:u w:val="none"/>
                <w:vertAlign w:val="subscript"/>
              </w:rPr>
              <w:t>i</w:t>
            </w:r>
            <w:r>
              <w:rPr>
                <w:rFonts w:hint="default" w:ascii="Times New Roman" w:hAnsi="Times New Roman" w:cs="Times New Roman"/>
                <w:color w:val="auto"/>
                <w:u w:val="none"/>
              </w:rPr>
              <w:t>——在T时间内i声源工作时间，s；</w:t>
            </w:r>
          </w:p>
          <w:p w14:paraId="48885F98">
            <w:pPr>
              <w:pStyle w:val="139"/>
              <w:keepNext w:val="0"/>
              <w:keepLines w:val="0"/>
              <w:suppressLineNumbers w:val="0"/>
              <w:tabs>
                <w:tab w:val="bar" w:pos="9540"/>
              </w:tabs>
              <w:snapToGrid w:val="0"/>
              <w:spacing w:beforeAutospacing="0" w:afterAutospacing="0"/>
              <w:ind w:left="0" w:firstLine="1200" w:firstLineChars="500"/>
              <w:jc w:val="left"/>
              <w:rPr>
                <w:rFonts w:hint="default" w:ascii="Times New Roman" w:hAnsi="Times New Roman" w:cs="Times New Roman"/>
                <w:color w:val="auto"/>
                <w:u w:val="none"/>
              </w:rPr>
            </w:pPr>
            <w:r>
              <w:rPr>
                <w:rFonts w:hint="default" w:ascii="Times New Roman" w:hAnsi="Times New Roman" w:cs="Times New Roman"/>
                <w:color w:val="auto"/>
                <w:u w:val="none"/>
              </w:rPr>
              <w:t>M——等效室外声源个数；</w:t>
            </w:r>
          </w:p>
          <w:p w14:paraId="7C51A596">
            <w:pPr>
              <w:keepNext w:val="0"/>
              <w:keepLines w:val="0"/>
              <w:suppressLineNumbers w:val="0"/>
              <w:spacing w:before="0" w:beforeAutospacing="0" w:after="0" w:afterAutospacing="0" w:line="360" w:lineRule="auto"/>
              <w:ind w:left="0" w:right="0" w:firstLine="1260" w:firstLineChars="600"/>
              <w:rPr>
                <w:rFonts w:hint="default" w:ascii="Times New Roman" w:hAnsi="Times New Roman" w:cs="Times New Roman"/>
                <w:bCs/>
                <w:snapToGrid w:val="0"/>
                <w:color w:val="auto"/>
                <w:kern w:val="0"/>
                <w:sz w:val="24"/>
                <w:highlight w:val="none"/>
                <w:u w:val="none"/>
              </w:rPr>
            </w:pPr>
            <w:r>
              <w:rPr>
                <w:rFonts w:hint="default" w:ascii="Times New Roman" w:hAnsi="Times New Roman" w:cs="Times New Roman"/>
                <w:color w:val="auto"/>
                <w:u w:val="none"/>
              </w:rPr>
              <w:t>tj——在T时间内j声源工作时间，s</w:t>
            </w:r>
            <w:r>
              <w:rPr>
                <w:rFonts w:hint="default" w:ascii="Times New Roman" w:hAnsi="Times New Roman" w:cs="Times New Roman"/>
                <w:bCs/>
                <w:snapToGrid w:val="0"/>
                <w:color w:val="auto"/>
                <w:kern w:val="0"/>
                <w:sz w:val="24"/>
                <w:highlight w:val="none"/>
                <w:u w:val="none"/>
              </w:rPr>
              <w:t>。</w:t>
            </w:r>
          </w:p>
          <w:p w14:paraId="7CC317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snapToGrid w:val="0"/>
                <w:color w:val="auto"/>
                <w:kern w:val="0"/>
                <w:sz w:val="24"/>
                <w:highlight w:val="none"/>
                <w:u w:val="none"/>
              </w:rPr>
            </w:pPr>
            <w:r>
              <w:rPr>
                <w:rFonts w:hint="default" w:ascii="Times New Roman" w:hAnsi="Times New Roman" w:cs="Times New Roman"/>
                <w:bCs/>
                <w:snapToGrid w:val="0"/>
                <w:color w:val="auto"/>
                <w:kern w:val="0"/>
                <w:sz w:val="24"/>
                <w:highlight w:val="none"/>
                <w:u w:val="none"/>
              </w:rPr>
              <w:t>（2）预测结果及评价</w:t>
            </w:r>
          </w:p>
          <w:p w14:paraId="42F0E56D">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highlight w:val="none"/>
                <w:u w:val="none"/>
              </w:rPr>
            </w:pPr>
            <w:r>
              <w:rPr>
                <w:rFonts w:hint="default" w:ascii="Times New Roman" w:hAnsi="Times New Roman" w:cs="Times New Roman"/>
                <w:bCs/>
                <w:snapToGrid w:val="0"/>
                <w:color w:val="auto"/>
                <w:kern w:val="0"/>
                <w:sz w:val="24"/>
                <w:highlight w:val="none"/>
                <w:u w:val="none"/>
              </w:rPr>
              <w:t>噪声在室外空间的传播，由于受到遮挡物的隔断，各种介质的吸收与反射以及空气介质的吸收等物理作用而逐渐减弱。为了简化计算条件并能考虑到最不利因素，计算时只考虑噪声随距离的衰减</w:t>
            </w:r>
            <w:r>
              <w:rPr>
                <w:rFonts w:hint="default" w:ascii="Times New Roman" w:hAnsi="Times New Roman" w:cs="Times New Roman"/>
                <w:color w:val="auto"/>
                <w:sz w:val="24"/>
                <w:highlight w:val="none"/>
                <w:u w:val="none"/>
              </w:rPr>
              <w:t>。</w:t>
            </w:r>
          </w:p>
          <w:p w14:paraId="32FFBCB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highlight w:val="none"/>
                <w:u w:val="none"/>
              </w:rPr>
            </w:pPr>
            <w:r>
              <w:rPr>
                <w:rFonts w:hint="default" w:ascii="Times New Roman" w:hAnsi="Times New Roman" w:eastAsia="宋体" w:cs="Times New Roman"/>
                <w:color w:val="auto"/>
                <w:sz w:val="24"/>
                <w:highlight w:val="none"/>
                <w:u w:val="none"/>
                <w:lang w:eastAsia="zh-CN"/>
              </w:rPr>
              <w:t>通过预测模型计算，项目厂界噪声预测结果与达标分析见表</w:t>
            </w:r>
            <w:r>
              <w:rPr>
                <w:rFonts w:hint="eastAsia" w:ascii="Times New Roman" w:hAnsi="Times New Roman" w:eastAsia="宋体" w:cs="Times New Roman"/>
                <w:color w:val="auto"/>
                <w:sz w:val="24"/>
                <w:highlight w:val="none"/>
                <w:u w:val="none"/>
                <w:lang w:val="en-US" w:eastAsia="zh-CN"/>
              </w:rPr>
              <w:t>4-17</w:t>
            </w:r>
            <w:r>
              <w:rPr>
                <w:rFonts w:hint="eastAsia" w:ascii="Times New Roman" w:hAnsi="Times New Roman" w:eastAsia="宋体" w:cs="Times New Roman"/>
                <w:color w:val="auto"/>
                <w:sz w:val="24"/>
                <w:highlight w:val="none"/>
                <w:u w:val="none"/>
                <w:lang w:eastAsia="zh-CN"/>
              </w:rPr>
              <w:t>：</w:t>
            </w:r>
          </w:p>
          <w:p w14:paraId="7101543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u w:val="none"/>
                <w:lang w:eastAsia="zh-CN"/>
              </w:rPr>
            </w:pPr>
            <w:r>
              <w:rPr>
                <w:rFonts w:hint="eastAsia" w:ascii="Times New Roman" w:hAnsi="Times New Roman" w:eastAsia="宋体" w:cs="Times New Roman"/>
                <w:b/>
                <w:color w:val="auto"/>
                <w:sz w:val="21"/>
                <w:szCs w:val="21"/>
                <w:highlight w:val="none"/>
                <w:u w:val="none"/>
                <w:lang w:eastAsia="zh-CN"/>
              </w:rPr>
              <w:t>表</w:t>
            </w:r>
            <w:r>
              <w:rPr>
                <w:rFonts w:hint="eastAsia" w:ascii="Times New Roman" w:hAnsi="Times New Roman" w:eastAsia="宋体" w:cs="Times New Roman"/>
                <w:b/>
                <w:color w:val="auto"/>
                <w:sz w:val="21"/>
                <w:szCs w:val="21"/>
                <w:highlight w:val="none"/>
                <w:u w:val="none"/>
                <w:lang w:val="en-US" w:eastAsia="zh-CN"/>
              </w:rPr>
              <w:t>4-1</w:t>
            </w:r>
            <w:r>
              <w:rPr>
                <w:rFonts w:hint="eastAsia" w:cs="Times New Roman"/>
                <w:b/>
                <w:color w:val="auto"/>
                <w:sz w:val="21"/>
                <w:szCs w:val="21"/>
                <w:highlight w:val="none"/>
                <w:u w:val="none"/>
                <w:lang w:val="en-US" w:eastAsia="zh-CN"/>
              </w:rPr>
              <w:t>3</w:t>
            </w:r>
            <w:r>
              <w:rPr>
                <w:rFonts w:hint="eastAsia" w:ascii="Times New Roman" w:hAnsi="Times New Roman" w:eastAsia="宋体" w:cs="Times New Roman"/>
                <w:b/>
                <w:color w:val="auto"/>
                <w:sz w:val="21"/>
                <w:szCs w:val="21"/>
                <w:highlight w:val="none"/>
                <w:u w:val="none"/>
                <w:lang w:eastAsia="zh-CN"/>
              </w:rPr>
              <w:t xml:space="preserve">  厂界噪声预测结果与达标分析表</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1278"/>
              <w:gridCol w:w="1045"/>
              <w:gridCol w:w="1327"/>
              <w:gridCol w:w="1804"/>
              <w:gridCol w:w="1108"/>
            </w:tblGrid>
            <w:tr w14:paraId="459C6A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30" w:type="pct"/>
                  <w:tcBorders>
                    <w:tl2br w:val="nil"/>
                    <w:tr2bl w:val="nil"/>
                  </w:tcBorders>
                  <w:noWrap w:val="0"/>
                  <w:vAlign w:val="center"/>
                </w:tcPr>
                <w:p w14:paraId="2EFDD6B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预测方位</w:t>
                  </w:r>
                </w:p>
              </w:tc>
              <w:tc>
                <w:tcPr>
                  <w:tcW w:w="753" w:type="pct"/>
                  <w:tcBorders>
                    <w:tl2br w:val="nil"/>
                    <w:tr2bl w:val="nil"/>
                  </w:tcBorders>
                  <w:noWrap w:val="0"/>
                  <w:vAlign w:val="center"/>
                </w:tcPr>
                <w:p w14:paraId="388B99C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szCs w:val="21"/>
                      <w:highlight w:val="none"/>
                      <w:u w:val="none"/>
                      <w:lang w:val="en-US" w:eastAsia="zh-CN"/>
                    </w:rPr>
                  </w:pPr>
                  <w:r>
                    <w:rPr>
                      <w:rFonts w:hint="default" w:ascii="Times New Roman" w:hAnsi="Times New Roman" w:cs="Times New Roman"/>
                      <w:b/>
                      <w:bCs/>
                      <w:u w:val="none"/>
                    </w:rPr>
                    <w:t>空间相对位置/m</w:t>
                  </w:r>
                </w:p>
              </w:tc>
              <w:tc>
                <w:tcPr>
                  <w:tcW w:w="616" w:type="pct"/>
                  <w:tcBorders>
                    <w:tl2br w:val="nil"/>
                    <w:tr2bl w:val="nil"/>
                  </w:tcBorders>
                  <w:noWrap w:val="0"/>
                  <w:vAlign w:val="center"/>
                </w:tcPr>
                <w:p w14:paraId="2ABC09FF">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lang w:val="en-US" w:eastAsia="zh-CN"/>
                    </w:rPr>
                    <w:t>运行</w:t>
                  </w:r>
                  <w:r>
                    <w:rPr>
                      <w:rFonts w:hint="eastAsia" w:ascii="Times New Roman" w:hAnsi="Times New Roman" w:eastAsia="宋体" w:cs="Times New Roman"/>
                      <w:b/>
                      <w:bCs/>
                      <w:color w:val="auto"/>
                      <w:szCs w:val="21"/>
                      <w:highlight w:val="none"/>
                      <w:u w:val="none"/>
                    </w:rPr>
                    <w:t>时段</w:t>
                  </w:r>
                </w:p>
              </w:tc>
              <w:tc>
                <w:tcPr>
                  <w:tcW w:w="782" w:type="pct"/>
                  <w:tcBorders>
                    <w:tl2br w:val="nil"/>
                    <w:tr2bl w:val="nil"/>
                  </w:tcBorders>
                  <w:noWrap w:val="0"/>
                  <w:vAlign w:val="center"/>
                </w:tcPr>
                <w:p w14:paraId="79DDD37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预测</w:t>
                  </w:r>
                  <w:r>
                    <w:rPr>
                      <w:rFonts w:hint="eastAsia" w:ascii="Times New Roman" w:hAnsi="Times New Roman" w:eastAsia="宋体" w:cs="Times New Roman"/>
                      <w:b/>
                      <w:bCs/>
                      <w:color w:val="auto"/>
                      <w:szCs w:val="21"/>
                      <w:highlight w:val="none"/>
                      <w:u w:val="none"/>
                      <w:lang w:val="en-US" w:eastAsia="zh-CN"/>
                    </w:rPr>
                    <w:t>贡献</w:t>
                  </w:r>
                  <w:r>
                    <w:rPr>
                      <w:rFonts w:hint="eastAsia" w:ascii="Times New Roman" w:hAnsi="Times New Roman" w:eastAsia="宋体" w:cs="Times New Roman"/>
                      <w:b/>
                      <w:bCs/>
                      <w:color w:val="auto"/>
                      <w:szCs w:val="21"/>
                      <w:highlight w:val="none"/>
                      <w:u w:val="none"/>
                    </w:rPr>
                    <w:t>值（dB(A)）</w:t>
                  </w:r>
                </w:p>
              </w:tc>
              <w:tc>
                <w:tcPr>
                  <w:tcW w:w="1063" w:type="pct"/>
                  <w:tcBorders>
                    <w:tl2br w:val="nil"/>
                    <w:tr2bl w:val="nil"/>
                  </w:tcBorders>
                  <w:noWrap w:val="0"/>
                  <w:vAlign w:val="center"/>
                </w:tcPr>
                <w:p w14:paraId="68B1F03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标准限值（dB(A)）</w:t>
                  </w:r>
                </w:p>
              </w:tc>
              <w:tc>
                <w:tcPr>
                  <w:tcW w:w="653" w:type="pct"/>
                  <w:tcBorders>
                    <w:tl2br w:val="nil"/>
                    <w:tr2bl w:val="nil"/>
                  </w:tcBorders>
                  <w:noWrap w:val="0"/>
                  <w:vAlign w:val="center"/>
                </w:tcPr>
                <w:p w14:paraId="1715027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达标情况</w:t>
                  </w:r>
                </w:p>
              </w:tc>
            </w:tr>
            <w:tr w14:paraId="77F4E3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130" w:type="pct"/>
                  <w:tcBorders>
                    <w:tl2br w:val="nil"/>
                    <w:tr2bl w:val="nil"/>
                  </w:tcBorders>
                  <w:shd w:val="clear" w:color="auto" w:fill="FFFFFF"/>
                  <w:noWrap w:val="0"/>
                  <w:vAlign w:val="center"/>
                </w:tcPr>
                <w:p w14:paraId="480D5A5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东侧</w:t>
                  </w:r>
                </w:p>
              </w:tc>
              <w:tc>
                <w:tcPr>
                  <w:tcW w:w="753" w:type="pct"/>
                  <w:tcBorders>
                    <w:tl2br w:val="nil"/>
                    <w:tr2bl w:val="nil"/>
                  </w:tcBorders>
                  <w:shd w:val="clear" w:color="auto" w:fill="FFFFFF"/>
                  <w:noWrap w:val="0"/>
                  <w:vAlign w:val="center"/>
                </w:tcPr>
                <w:p w14:paraId="7CA5FA6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Cs w:val="21"/>
                      <w:highlight w:val="none"/>
                      <w:u w:val="none"/>
                      <w:lang w:val="en-US" w:eastAsia="zh-CN"/>
                    </w:rPr>
                  </w:pPr>
                  <w:r>
                    <w:rPr>
                      <w:rFonts w:hint="eastAsia" w:cs="Times New Roman"/>
                      <w:b w:val="0"/>
                      <w:bCs w:val="0"/>
                      <w:color w:val="auto"/>
                      <w:szCs w:val="21"/>
                      <w:highlight w:val="none"/>
                      <w:u w:val="none"/>
                      <w:lang w:val="en-US" w:eastAsia="zh-CN"/>
                    </w:rPr>
                    <w:t>42</w:t>
                  </w:r>
                  <w:r>
                    <w:rPr>
                      <w:rFonts w:hint="eastAsia" w:ascii="Times New Roman" w:hAnsi="Times New Roman" w:eastAsia="宋体" w:cs="Times New Roman"/>
                      <w:b w:val="0"/>
                      <w:bCs w:val="0"/>
                      <w:color w:val="auto"/>
                      <w:szCs w:val="21"/>
                      <w:highlight w:val="none"/>
                      <w:u w:val="none"/>
                      <w:lang w:val="en-US" w:eastAsia="zh-CN"/>
                    </w:rPr>
                    <w:t>，0，1.2</w:t>
                  </w:r>
                </w:p>
              </w:tc>
              <w:tc>
                <w:tcPr>
                  <w:tcW w:w="616" w:type="pct"/>
                  <w:tcBorders>
                    <w:tl2br w:val="nil"/>
                    <w:tr2bl w:val="nil"/>
                  </w:tcBorders>
                  <w:shd w:val="clear" w:color="auto" w:fill="FFFFFF"/>
                  <w:noWrap w:val="0"/>
                  <w:vAlign w:val="center"/>
                </w:tcPr>
                <w:p w14:paraId="2893A331">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82" w:type="pct"/>
                  <w:tcBorders>
                    <w:tl2br w:val="nil"/>
                    <w:tr2bl w:val="nil"/>
                  </w:tcBorders>
                  <w:shd w:val="clear" w:color="auto" w:fill="FFFFFF"/>
                  <w:noWrap w:val="0"/>
                  <w:vAlign w:val="center"/>
                </w:tcPr>
                <w:p w14:paraId="0A0CE4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auto"/>
                      <w:szCs w:val="21"/>
                      <w:highlight w:val="none"/>
                      <w:u w:val="none"/>
                      <w:lang w:val="en-US" w:eastAsia="zh-CN"/>
                    </w:rPr>
                  </w:pPr>
                  <w:r>
                    <w:rPr>
                      <w:rFonts w:hint="eastAsia" w:cs="Times New Roman"/>
                      <w:b w:val="0"/>
                      <w:bCs w:val="0"/>
                      <w:color w:val="auto"/>
                      <w:szCs w:val="21"/>
                      <w:highlight w:val="none"/>
                      <w:u w:val="none"/>
                      <w:lang w:val="en-US" w:eastAsia="zh-CN"/>
                    </w:rPr>
                    <w:t>46.27</w:t>
                  </w:r>
                </w:p>
              </w:tc>
              <w:tc>
                <w:tcPr>
                  <w:tcW w:w="1063" w:type="pct"/>
                  <w:tcBorders>
                    <w:tl2br w:val="nil"/>
                    <w:tr2bl w:val="nil"/>
                  </w:tcBorders>
                  <w:shd w:val="clear" w:color="auto" w:fill="FFFFFF"/>
                  <w:noWrap w:val="0"/>
                  <w:vAlign w:val="center"/>
                </w:tcPr>
                <w:p w14:paraId="021F2A6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昼间65</w:t>
                  </w:r>
                </w:p>
              </w:tc>
              <w:tc>
                <w:tcPr>
                  <w:tcW w:w="653" w:type="pct"/>
                  <w:tcBorders>
                    <w:tl2br w:val="nil"/>
                    <w:tr2bl w:val="nil"/>
                  </w:tcBorders>
                  <w:shd w:val="clear" w:color="auto" w:fill="FFFFFF"/>
                  <w:noWrap w:val="0"/>
                  <w:vAlign w:val="center"/>
                </w:tcPr>
                <w:p w14:paraId="71576D62">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7BFCA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130" w:type="pct"/>
                  <w:tcBorders>
                    <w:tl2br w:val="nil"/>
                    <w:tr2bl w:val="nil"/>
                  </w:tcBorders>
                  <w:shd w:val="clear" w:color="auto" w:fill="FFFFFF"/>
                  <w:noWrap w:val="0"/>
                  <w:vAlign w:val="center"/>
                </w:tcPr>
                <w:p w14:paraId="343F03F2">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南侧</w:t>
                  </w:r>
                </w:p>
              </w:tc>
              <w:tc>
                <w:tcPr>
                  <w:tcW w:w="753" w:type="pct"/>
                  <w:tcBorders>
                    <w:tl2br w:val="nil"/>
                    <w:tr2bl w:val="nil"/>
                  </w:tcBorders>
                  <w:shd w:val="clear" w:color="auto" w:fill="FFFFFF"/>
                  <w:noWrap w:val="0"/>
                  <w:vAlign w:val="center"/>
                </w:tcPr>
                <w:p w14:paraId="2163A69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0，-</w:t>
                  </w:r>
                  <w:r>
                    <w:rPr>
                      <w:rFonts w:hint="eastAsia" w:cs="Times New Roman"/>
                      <w:b w:val="0"/>
                      <w:bCs w:val="0"/>
                      <w:color w:val="auto"/>
                      <w:szCs w:val="21"/>
                      <w:highlight w:val="none"/>
                      <w:u w:val="none"/>
                      <w:lang w:val="en-US" w:eastAsia="zh-CN"/>
                    </w:rPr>
                    <w:t>40</w:t>
                  </w:r>
                  <w:r>
                    <w:rPr>
                      <w:rFonts w:hint="eastAsia" w:ascii="Times New Roman" w:hAnsi="Times New Roman" w:eastAsia="宋体" w:cs="Times New Roman"/>
                      <w:b w:val="0"/>
                      <w:bCs w:val="0"/>
                      <w:color w:val="auto"/>
                      <w:szCs w:val="21"/>
                      <w:highlight w:val="none"/>
                      <w:u w:val="none"/>
                      <w:lang w:val="en-US" w:eastAsia="zh-CN"/>
                    </w:rPr>
                    <w:t>，1.2</w:t>
                  </w:r>
                </w:p>
              </w:tc>
              <w:tc>
                <w:tcPr>
                  <w:tcW w:w="616" w:type="pct"/>
                  <w:tcBorders>
                    <w:tl2br w:val="nil"/>
                    <w:tr2bl w:val="nil"/>
                  </w:tcBorders>
                  <w:shd w:val="clear" w:color="auto" w:fill="FFFFFF"/>
                  <w:noWrap w:val="0"/>
                  <w:vAlign w:val="center"/>
                </w:tcPr>
                <w:p w14:paraId="49C6A305">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82" w:type="pct"/>
                  <w:tcBorders>
                    <w:tl2br w:val="nil"/>
                    <w:tr2bl w:val="nil"/>
                  </w:tcBorders>
                  <w:shd w:val="clear" w:color="auto" w:fill="FFFFFF"/>
                  <w:noWrap w:val="0"/>
                  <w:vAlign w:val="center"/>
                </w:tcPr>
                <w:p w14:paraId="3CF78E8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auto"/>
                      <w:szCs w:val="21"/>
                      <w:highlight w:val="none"/>
                      <w:u w:val="none"/>
                      <w:lang w:val="en-US" w:eastAsia="zh-CN"/>
                    </w:rPr>
                  </w:pPr>
                  <w:r>
                    <w:rPr>
                      <w:rFonts w:hint="eastAsia" w:cs="Times New Roman"/>
                      <w:b w:val="0"/>
                      <w:bCs w:val="0"/>
                      <w:color w:val="auto"/>
                      <w:szCs w:val="21"/>
                      <w:highlight w:val="none"/>
                      <w:u w:val="none"/>
                      <w:lang w:val="en-US" w:eastAsia="zh-CN"/>
                    </w:rPr>
                    <w:t>45.09</w:t>
                  </w:r>
                </w:p>
              </w:tc>
              <w:tc>
                <w:tcPr>
                  <w:tcW w:w="1063" w:type="pct"/>
                  <w:tcBorders>
                    <w:tl2br w:val="nil"/>
                    <w:tr2bl w:val="nil"/>
                  </w:tcBorders>
                  <w:shd w:val="clear" w:color="auto" w:fill="FFFFFF"/>
                  <w:noWrap w:val="0"/>
                  <w:vAlign w:val="center"/>
                </w:tcPr>
                <w:p w14:paraId="6C191FC3">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w:t>
                  </w:r>
                </w:p>
              </w:tc>
              <w:tc>
                <w:tcPr>
                  <w:tcW w:w="653" w:type="pct"/>
                  <w:tcBorders>
                    <w:tl2br w:val="nil"/>
                    <w:tr2bl w:val="nil"/>
                  </w:tcBorders>
                  <w:shd w:val="clear" w:color="auto" w:fill="FFFFFF"/>
                  <w:noWrap w:val="0"/>
                  <w:vAlign w:val="center"/>
                </w:tcPr>
                <w:p w14:paraId="23A434D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36694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130" w:type="pct"/>
                  <w:tcBorders>
                    <w:tl2br w:val="nil"/>
                    <w:tr2bl w:val="nil"/>
                  </w:tcBorders>
                  <w:shd w:val="clear" w:color="auto" w:fill="FFFFFF"/>
                  <w:noWrap w:val="0"/>
                  <w:vAlign w:val="center"/>
                </w:tcPr>
                <w:p w14:paraId="6368C09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西侧</w:t>
                  </w:r>
                </w:p>
              </w:tc>
              <w:tc>
                <w:tcPr>
                  <w:tcW w:w="753" w:type="pct"/>
                  <w:tcBorders>
                    <w:tl2br w:val="nil"/>
                    <w:tr2bl w:val="nil"/>
                  </w:tcBorders>
                  <w:shd w:val="clear" w:color="auto" w:fill="FFFFFF"/>
                  <w:noWrap w:val="0"/>
                  <w:vAlign w:val="center"/>
                </w:tcPr>
                <w:p w14:paraId="6DECB32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w:t>
                  </w:r>
                  <w:r>
                    <w:rPr>
                      <w:rFonts w:hint="eastAsia" w:cs="Times New Roman"/>
                      <w:b w:val="0"/>
                      <w:bCs w:val="0"/>
                      <w:color w:val="auto"/>
                      <w:szCs w:val="21"/>
                      <w:highlight w:val="none"/>
                      <w:u w:val="none"/>
                      <w:lang w:val="en-US" w:eastAsia="zh-CN"/>
                    </w:rPr>
                    <w:t>4</w:t>
                  </w:r>
                  <w:r>
                    <w:rPr>
                      <w:rFonts w:hint="eastAsia" w:ascii="Times New Roman" w:hAnsi="Times New Roman" w:eastAsia="宋体" w:cs="Times New Roman"/>
                      <w:b w:val="0"/>
                      <w:bCs w:val="0"/>
                      <w:color w:val="auto"/>
                      <w:szCs w:val="21"/>
                      <w:highlight w:val="none"/>
                      <w:u w:val="none"/>
                      <w:lang w:val="en-US" w:eastAsia="zh-CN"/>
                    </w:rPr>
                    <w:t>2，0，1.2</w:t>
                  </w:r>
                </w:p>
              </w:tc>
              <w:tc>
                <w:tcPr>
                  <w:tcW w:w="616" w:type="pct"/>
                  <w:tcBorders>
                    <w:tl2br w:val="nil"/>
                    <w:tr2bl w:val="nil"/>
                  </w:tcBorders>
                  <w:shd w:val="clear" w:color="auto" w:fill="FFFFFF"/>
                  <w:noWrap w:val="0"/>
                  <w:vAlign w:val="center"/>
                </w:tcPr>
                <w:p w14:paraId="481B9ED6">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82" w:type="pct"/>
                  <w:tcBorders>
                    <w:tl2br w:val="nil"/>
                    <w:tr2bl w:val="nil"/>
                  </w:tcBorders>
                  <w:shd w:val="clear" w:color="auto" w:fill="FFFFFF"/>
                  <w:noWrap w:val="0"/>
                  <w:vAlign w:val="center"/>
                </w:tcPr>
                <w:p w14:paraId="6BEDA2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auto"/>
                      <w:szCs w:val="21"/>
                      <w:highlight w:val="none"/>
                      <w:u w:val="none"/>
                      <w:lang w:val="en-US" w:eastAsia="zh-CN"/>
                    </w:rPr>
                  </w:pPr>
                  <w:r>
                    <w:rPr>
                      <w:rFonts w:hint="eastAsia" w:cs="Times New Roman"/>
                      <w:b w:val="0"/>
                      <w:bCs w:val="0"/>
                      <w:color w:val="auto"/>
                      <w:szCs w:val="21"/>
                      <w:highlight w:val="none"/>
                      <w:u w:val="none"/>
                      <w:lang w:val="en-US" w:eastAsia="zh-CN"/>
                    </w:rPr>
                    <w:t>44.91</w:t>
                  </w:r>
                </w:p>
              </w:tc>
              <w:tc>
                <w:tcPr>
                  <w:tcW w:w="1063" w:type="pct"/>
                  <w:tcBorders>
                    <w:tl2br w:val="nil"/>
                    <w:tr2bl w:val="nil"/>
                  </w:tcBorders>
                  <w:shd w:val="clear" w:color="auto" w:fill="FFFFFF"/>
                  <w:noWrap w:val="0"/>
                  <w:vAlign w:val="center"/>
                </w:tcPr>
                <w:p w14:paraId="79755B71">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w:t>
                  </w:r>
                </w:p>
              </w:tc>
              <w:tc>
                <w:tcPr>
                  <w:tcW w:w="653" w:type="pct"/>
                  <w:tcBorders>
                    <w:tl2br w:val="nil"/>
                    <w:tr2bl w:val="nil"/>
                  </w:tcBorders>
                  <w:shd w:val="clear" w:color="auto" w:fill="FFFFFF"/>
                  <w:noWrap w:val="0"/>
                  <w:vAlign w:val="center"/>
                </w:tcPr>
                <w:p w14:paraId="3DC62CDB">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3AC079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130" w:type="pct"/>
                  <w:tcBorders>
                    <w:tl2br w:val="nil"/>
                    <w:tr2bl w:val="nil"/>
                  </w:tcBorders>
                  <w:shd w:val="clear" w:color="auto" w:fill="FFFFFF"/>
                  <w:noWrap w:val="0"/>
                  <w:vAlign w:val="center"/>
                </w:tcPr>
                <w:p w14:paraId="691020B8">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北侧</w:t>
                  </w:r>
                </w:p>
              </w:tc>
              <w:tc>
                <w:tcPr>
                  <w:tcW w:w="753" w:type="pct"/>
                  <w:tcBorders>
                    <w:tl2br w:val="nil"/>
                    <w:tr2bl w:val="nil"/>
                  </w:tcBorders>
                  <w:shd w:val="clear" w:color="auto" w:fill="FFFFFF"/>
                  <w:noWrap w:val="0"/>
                  <w:vAlign w:val="center"/>
                </w:tcPr>
                <w:p w14:paraId="3D64776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0，</w:t>
                  </w:r>
                  <w:r>
                    <w:rPr>
                      <w:rFonts w:hint="eastAsia" w:cs="Times New Roman"/>
                      <w:b w:val="0"/>
                      <w:bCs w:val="0"/>
                      <w:color w:val="auto"/>
                      <w:szCs w:val="21"/>
                      <w:highlight w:val="none"/>
                      <w:u w:val="none"/>
                      <w:lang w:val="en-US" w:eastAsia="zh-CN"/>
                    </w:rPr>
                    <w:t>40</w:t>
                  </w:r>
                  <w:r>
                    <w:rPr>
                      <w:rFonts w:hint="eastAsia" w:ascii="Times New Roman" w:hAnsi="Times New Roman" w:eastAsia="宋体" w:cs="Times New Roman"/>
                      <w:b w:val="0"/>
                      <w:bCs w:val="0"/>
                      <w:color w:val="auto"/>
                      <w:szCs w:val="21"/>
                      <w:highlight w:val="none"/>
                      <w:u w:val="none"/>
                      <w:lang w:val="en-US" w:eastAsia="zh-CN"/>
                    </w:rPr>
                    <w:t>，1.2</w:t>
                  </w:r>
                </w:p>
              </w:tc>
              <w:tc>
                <w:tcPr>
                  <w:tcW w:w="616" w:type="pct"/>
                  <w:tcBorders>
                    <w:tl2br w:val="nil"/>
                    <w:tr2bl w:val="nil"/>
                  </w:tcBorders>
                  <w:shd w:val="clear" w:color="auto" w:fill="FFFFFF"/>
                  <w:noWrap w:val="0"/>
                  <w:vAlign w:val="center"/>
                </w:tcPr>
                <w:p w14:paraId="5A81F2AF">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82" w:type="pct"/>
                  <w:tcBorders>
                    <w:tl2br w:val="nil"/>
                    <w:tr2bl w:val="nil"/>
                  </w:tcBorders>
                  <w:shd w:val="clear" w:color="auto" w:fill="FFFFFF"/>
                  <w:noWrap w:val="0"/>
                  <w:vAlign w:val="center"/>
                </w:tcPr>
                <w:p w14:paraId="20BC850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color w:val="auto"/>
                      <w:szCs w:val="21"/>
                      <w:highlight w:val="none"/>
                      <w:u w:val="none"/>
                      <w:lang w:val="en-US" w:eastAsia="zh-CN"/>
                    </w:rPr>
                  </w:pPr>
                  <w:r>
                    <w:rPr>
                      <w:rFonts w:hint="eastAsia" w:cs="Times New Roman"/>
                      <w:b w:val="0"/>
                      <w:bCs w:val="0"/>
                      <w:color w:val="auto"/>
                      <w:szCs w:val="21"/>
                      <w:highlight w:val="none"/>
                      <w:u w:val="none"/>
                      <w:lang w:val="en-US" w:eastAsia="zh-CN"/>
                    </w:rPr>
                    <w:t>45.95</w:t>
                  </w:r>
                </w:p>
              </w:tc>
              <w:tc>
                <w:tcPr>
                  <w:tcW w:w="1063" w:type="pct"/>
                  <w:tcBorders>
                    <w:tl2br w:val="nil"/>
                    <w:tr2bl w:val="nil"/>
                  </w:tcBorders>
                  <w:shd w:val="clear" w:color="auto" w:fill="FFFFFF"/>
                  <w:noWrap w:val="0"/>
                  <w:vAlign w:val="center"/>
                </w:tcPr>
                <w:p w14:paraId="50A71536">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w:t>
                  </w:r>
                </w:p>
              </w:tc>
              <w:tc>
                <w:tcPr>
                  <w:tcW w:w="653" w:type="pct"/>
                  <w:tcBorders>
                    <w:tl2br w:val="nil"/>
                    <w:tr2bl w:val="nil"/>
                  </w:tcBorders>
                  <w:shd w:val="clear" w:color="auto" w:fill="FFFFFF"/>
                  <w:noWrap w:val="0"/>
                  <w:vAlign w:val="center"/>
                </w:tcPr>
                <w:p w14:paraId="581F8984">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bl>
          <w:p w14:paraId="7A652E2D">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Cs/>
                <w:snapToGrid w:val="0"/>
                <w:color w:val="auto"/>
                <w:kern w:val="0"/>
                <w:sz w:val="24"/>
                <w:highlight w:val="none"/>
                <w:u w:val="none"/>
              </w:rPr>
            </w:pPr>
            <w:r>
              <w:rPr>
                <w:rFonts w:hint="eastAsia" w:ascii="Times New Roman" w:hAnsi="Times New Roman" w:eastAsia="宋体" w:cs="Times New Roman"/>
                <w:color w:val="auto"/>
                <w:sz w:val="24"/>
                <w:highlight w:val="none"/>
                <w:u w:val="none"/>
                <w:lang w:eastAsia="zh-CN"/>
              </w:rPr>
              <w:t>由上</w:t>
            </w:r>
            <w:r>
              <w:rPr>
                <w:rFonts w:hint="eastAsia" w:ascii="Times New Roman" w:hAnsi="Times New Roman" w:eastAsia="宋体" w:cs="Times New Roman"/>
                <w:color w:val="auto"/>
                <w:sz w:val="24"/>
                <w:highlight w:val="none"/>
                <w:u w:val="none"/>
                <w:lang w:val="en-US" w:eastAsia="zh-CN"/>
              </w:rPr>
              <w:t>述</w:t>
            </w:r>
            <w:r>
              <w:rPr>
                <w:rFonts w:hint="eastAsia" w:ascii="Times New Roman" w:hAnsi="Times New Roman" w:eastAsia="宋体" w:cs="Times New Roman"/>
                <w:color w:val="auto"/>
                <w:sz w:val="24"/>
                <w:highlight w:val="none"/>
                <w:u w:val="none"/>
                <w:lang w:eastAsia="zh-CN"/>
              </w:rPr>
              <w:t>可知正常工况下，项目厂界噪声</w:t>
            </w:r>
            <w:r>
              <w:rPr>
                <w:rFonts w:hint="eastAsia" w:ascii="Times New Roman" w:hAnsi="Times New Roman" w:eastAsia="宋体" w:cs="Times New Roman"/>
                <w:color w:val="auto"/>
                <w:sz w:val="24"/>
                <w:highlight w:val="none"/>
                <w:u w:val="none"/>
                <w:lang w:val="en-US" w:eastAsia="zh-CN"/>
              </w:rPr>
              <w:t>昼间贡献值均</w:t>
            </w:r>
            <w:r>
              <w:rPr>
                <w:rFonts w:hint="eastAsia" w:ascii="Times New Roman" w:hAnsi="Times New Roman" w:eastAsia="宋体" w:cs="Times New Roman"/>
                <w:color w:val="auto"/>
                <w:sz w:val="24"/>
                <w:highlight w:val="none"/>
                <w:u w:val="none"/>
                <w:lang w:eastAsia="zh-CN"/>
              </w:rPr>
              <w:t>满足《工业企业厂界环境噪声排放标准》(GB12348</w:t>
            </w:r>
            <w:r>
              <w:rPr>
                <w:rFonts w:hint="eastAsia" w:ascii="Times New Roman" w:hAnsi="Times New Roman" w:eastAsia="宋体" w:cs="Times New Roman"/>
                <w:color w:val="auto"/>
                <w:sz w:val="24"/>
                <w:highlight w:val="none"/>
                <w:u w:val="none"/>
                <w:lang w:val="en-US" w:eastAsia="zh-CN"/>
              </w:rPr>
              <w:t>-</w:t>
            </w:r>
            <w:r>
              <w:rPr>
                <w:rFonts w:hint="eastAsia" w:ascii="Times New Roman" w:hAnsi="Times New Roman" w:eastAsia="宋体" w:cs="Times New Roman"/>
                <w:color w:val="auto"/>
                <w:sz w:val="24"/>
                <w:highlight w:val="none"/>
                <w:u w:val="none"/>
                <w:lang w:eastAsia="zh-CN"/>
              </w:rPr>
              <w:t xml:space="preserve">2008) </w:t>
            </w:r>
            <w:r>
              <w:rPr>
                <w:rFonts w:hint="eastAsia" w:ascii="Times New Roman" w:hAnsi="Times New Roman" w:eastAsia="宋体" w:cs="Times New Roman"/>
                <w:color w:val="auto"/>
                <w:sz w:val="24"/>
                <w:highlight w:val="none"/>
                <w:u w:val="none"/>
                <w:lang w:val="en-US" w:eastAsia="zh-CN"/>
              </w:rPr>
              <w:t>3</w:t>
            </w:r>
            <w:r>
              <w:rPr>
                <w:rFonts w:hint="eastAsia" w:ascii="Times New Roman" w:hAnsi="Times New Roman" w:eastAsia="宋体" w:cs="Times New Roman"/>
                <w:color w:val="auto"/>
                <w:sz w:val="24"/>
                <w:highlight w:val="none"/>
                <w:u w:val="none"/>
                <w:lang w:eastAsia="zh-CN"/>
              </w:rPr>
              <w:t>类标准。</w:t>
            </w:r>
            <w:r>
              <w:rPr>
                <w:rFonts w:hint="default" w:ascii="Times New Roman" w:hAnsi="Times New Roman" w:cs="Times New Roman"/>
                <w:bCs/>
                <w:snapToGrid w:val="0"/>
                <w:color w:val="auto"/>
                <w:kern w:val="0"/>
                <w:sz w:val="24"/>
                <w:highlight w:val="none"/>
                <w:u w:val="none"/>
              </w:rPr>
              <w:t>因此，项目完成后对周边声环境的影响较小。</w:t>
            </w:r>
          </w:p>
          <w:p w14:paraId="5E1F06AD">
            <w:pPr>
              <w:pStyle w:val="13"/>
              <w:keepNext w:val="0"/>
              <w:keepLines w:val="0"/>
              <w:suppressLineNumbers w:val="0"/>
              <w:spacing w:before="0" w:beforeAutospacing="0" w:after="0" w:afterAutospacing="0" w:line="360" w:lineRule="auto"/>
              <w:ind w:left="0" w:right="0" w:firstLine="482"/>
              <w:rPr>
                <w:rFonts w:hint="eastAsia" w:cs="Times New Roman"/>
                <w:b/>
                <w:bCs/>
                <w:color w:val="000000"/>
                <w:sz w:val="24"/>
                <w:u w:val="none"/>
              </w:rPr>
            </w:pPr>
            <w:r>
              <w:rPr>
                <w:rFonts w:hint="eastAsia" w:cs="Times New Roman"/>
                <w:b/>
                <w:bCs/>
                <w:color w:val="000000"/>
                <w:sz w:val="24"/>
                <w:u w:val="none"/>
                <w:lang w:val="en-US" w:eastAsia="zh-CN"/>
              </w:rPr>
              <w:t>3.3</w:t>
            </w:r>
            <w:r>
              <w:rPr>
                <w:rFonts w:hint="eastAsia" w:cs="Times New Roman"/>
                <w:b/>
                <w:bCs/>
                <w:color w:val="000000"/>
                <w:sz w:val="24"/>
                <w:u w:val="none"/>
              </w:rPr>
              <w:t>、防治措施</w:t>
            </w:r>
          </w:p>
          <w:p w14:paraId="62AFD66D">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为了将项目产生的噪声对周围环境的影响降至最低，本环评建议建设单位采取以下的隔声、降噪措施：</w:t>
            </w:r>
          </w:p>
          <w:p w14:paraId="75F25CA7">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①从声源上控制，选择低噪声和符合国家噪声标准的设备；</w:t>
            </w:r>
          </w:p>
          <w:p w14:paraId="1A83ED2A">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②合理布局本项目高噪声的设备，将生产设备全部布置于车间内部，尽可能集中布置于车间中部，同时尽可能将厂房进行封闭，减少对外界的影响；</w:t>
            </w:r>
          </w:p>
          <w:p w14:paraId="7E1A2C80">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③加强对设备保养维护，确保设备处于良好的运转状态，杜绝因设备不正常运转时产生的高噪声现象；</w:t>
            </w:r>
          </w:p>
          <w:p w14:paraId="365D9C63">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④在设备和基础之间加弹簧和弹性材料制作的减振器或减振垫层以减少设备基础与墙体振动形成的噪声；</w:t>
            </w:r>
          </w:p>
          <w:p w14:paraId="0AE97725">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⑤在机械设备结构的连接处作减振处理，如采用弹性的连轴节，弹性垫或其它装置；</w:t>
            </w:r>
          </w:p>
          <w:p w14:paraId="5B0C917F">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⑥工人佩戴防护用品，如耳塞、耳罩、头盔等，减少噪声对工人的伤害。</w:t>
            </w:r>
          </w:p>
          <w:p w14:paraId="1B3D85F9">
            <w:pPr>
              <w:pStyle w:val="10"/>
              <w:suppressLineNumbers w:val="0"/>
              <w:spacing w:before="0" w:beforeAutospacing="0" w:after="0" w:afterAutospacing="0"/>
              <w:ind w:left="0" w:leftChars="0" w:right="0" w:firstLine="482" w:firstLineChars="200"/>
              <w:outlineLvl w:val="1"/>
              <w:rPr>
                <w:rFonts w:hint="default" w:ascii="Times New Roman" w:hAnsi="Times New Roman" w:eastAsia="宋体" w:cs="Times New Roman"/>
                <w:b/>
                <w:bCs w:val="0"/>
                <w:color w:val="auto"/>
                <w:kern w:val="2"/>
                <w:sz w:val="24"/>
                <w:szCs w:val="24"/>
                <w:highlight w:val="none"/>
                <w:lang w:val="en-US" w:eastAsia="zh-CN" w:bidi="ar-SA"/>
              </w:rPr>
            </w:pPr>
            <w:r>
              <w:rPr>
                <w:rFonts w:hint="default" w:ascii="Times New Roman" w:hAnsi="Times New Roman" w:eastAsia="宋体" w:cs="Times New Roman"/>
                <w:b/>
                <w:bCs w:val="0"/>
                <w:color w:val="auto"/>
                <w:kern w:val="2"/>
                <w:sz w:val="24"/>
                <w:szCs w:val="24"/>
                <w:highlight w:val="none"/>
                <w:lang w:val="en-US" w:eastAsia="zh-CN" w:bidi="ar-SA"/>
              </w:rPr>
              <w:t>3.</w:t>
            </w:r>
            <w:r>
              <w:rPr>
                <w:rFonts w:hint="eastAsia" w:eastAsia="宋体" w:cs="Times New Roman"/>
                <w:b/>
                <w:bCs w:val="0"/>
                <w:color w:val="auto"/>
                <w:kern w:val="2"/>
                <w:sz w:val="24"/>
                <w:szCs w:val="24"/>
                <w:highlight w:val="none"/>
                <w:lang w:val="en-US" w:eastAsia="zh-CN" w:bidi="ar-SA"/>
              </w:rPr>
              <w:t>4</w:t>
            </w:r>
            <w:r>
              <w:rPr>
                <w:rFonts w:hint="default" w:ascii="Times New Roman" w:hAnsi="Times New Roman" w:eastAsia="宋体" w:cs="Times New Roman"/>
                <w:b/>
                <w:bCs w:val="0"/>
                <w:color w:val="auto"/>
                <w:kern w:val="2"/>
                <w:sz w:val="24"/>
                <w:szCs w:val="24"/>
                <w:highlight w:val="none"/>
                <w:lang w:val="en-US" w:eastAsia="zh-CN" w:bidi="ar-SA"/>
              </w:rPr>
              <w:t>、监测要求</w:t>
            </w:r>
          </w:p>
          <w:p w14:paraId="00E61688">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根据《排污单位自行监测技术指南 总则》（HJ819-2017）</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bCs/>
                <w:color w:val="auto"/>
                <w:sz w:val="24"/>
                <w:szCs w:val="24"/>
                <w:highlight w:val="none"/>
                <w:lang w:val="en-US" w:eastAsia="zh-CN"/>
              </w:rPr>
              <w:t>项目运营期噪声监测计划详见下表：</w:t>
            </w:r>
          </w:p>
          <w:p w14:paraId="565541CD">
            <w:pPr>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w:t>
            </w:r>
            <w:r>
              <w:rPr>
                <w:rFonts w:hint="eastAsia" w:ascii="Times New Roman" w:hAnsi="Times New Roman" w:cs="Times New Roman"/>
                <w:b/>
                <w:color w:val="auto"/>
                <w:szCs w:val="21"/>
                <w:highlight w:val="none"/>
                <w:lang w:val="en-US" w:eastAsia="zh-CN"/>
              </w:rPr>
              <w:t>1</w:t>
            </w:r>
            <w:r>
              <w:rPr>
                <w:rFonts w:hint="eastAsia" w:cs="Times New Roman"/>
                <w:b/>
                <w:color w:val="auto"/>
                <w:szCs w:val="21"/>
                <w:highlight w:val="none"/>
                <w:lang w:val="en-US" w:eastAsia="zh-CN"/>
              </w:rPr>
              <w:t>4</w:t>
            </w:r>
            <w:r>
              <w:rPr>
                <w:rFonts w:hint="default" w:ascii="Times New Roman" w:hAnsi="Times New Roman" w:cs="Times New Roman"/>
                <w:b/>
                <w:color w:val="auto"/>
                <w:szCs w:val="21"/>
                <w:highlight w:val="none"/>
              </w:rPr>
              <w:t xml:space="preserve"> 噪声监测计划</w:t>
            </w:r>
            <w:r>
              <w:rPr>
                <w:rFonts w:hint="default" w:ascii="Times New Roman" w:hAnsi="Times New Roman" w:cs="Times New Roman"/>
                <w:b/>
                <w:color w:val="auto"/>
                <w:szCs w:val="21"/>
                <w:highlight w:val="none"/>
                <w:lang w:val="en-US" w:eastAsia="zh-CN"/>
              </w:rPr>
              <w:t>一览表</w:t>
            </w:r>
          </w:p>
          <w:tbl>
            <w:tblPr>
              <w:tblStyle w:val="4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9"/>
              <w:gridCol w:w="3436"/>
              <w:gridCol w:w="1431"/>
            </w:tblGrid>
            <w:tr w14:paraId="69EA3C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8" w:type="pct"/>
                  <w:noWrap w:val="0"/>
                  <w:vAlign w:val="center"/>
                </w:tcPr>
                <w:p w14:paraId="529460C2">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类别</w:t>
                  </w:r>
                </w:p>
              </w:tc>
              <w:tc>
                <w:tcPr>
                  <w:tcW w:w="1502" w:type="pct"/>
                  <w:noWrap w:val="0"/>
                  <w:vAlign w:val="center"/>
                </w:tcPr>
                <w:p w14:paraId="1C7980D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监测点位</w:t>
                  </w:r>
                </w:p>
              </w:tc>
              <w:tc>
                <w:tcPr>
                  <w:tcW w:w="2024" w:type="pct"/>
                  <w:noWrap w:val="0"/>
                  <w:vAlign w:val="center"/>
                </w:tcPr>
                <w:p w14:paraId="6409F19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监测因子</w:t>
                  </w:r>
                </w:p>
              </w:tc>
              <w:tc>
                <w:tcPr>
                  <w:tcW w:w="843" w:type="pct"/>
                  <w:noWrap w:val="0"/>
                  <w:vAlign w:val="center"/>
                </w:tcPr>
                <w:p w14:paraId="73570F6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监测频次</w:t>
                  </w:r>
                </w:p>
              </w:tc>
            </w:tr>
            <w:tr w14:paraId="5F6DE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8" w:type="pct"/>
                  <w:noWrap w:val="0"/>
                  <w:vAlign w:val="center"/>
                </w:tcPr>
                <w:p w14:paraId="4C1250DC">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噪声</w:t>
                  </w:r>
                </w:p>
              </w:tc>
              <w:tc>
                <w:tcPr>
                  <w:tcW w:w="1502" w:type="pct"/>
                  <w:noWrap w:val="0"/>
                  <w:vAlign w:val="center"/>
                </w:tcPr>
                <w:p w14:paraId="69F02369">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lang w:val="en-US" w:eastAsia="zh-CN"/>
                    </w:rPr>
                    <w:t>四周</w:t>
                  </w:r>
                  <w:r>
                    <w:rPr>
                      <w:rFonts w:hint="default" w:ascii="Times New Roman" w:hAnsi="Times New Roman" w:cs="Times New Roman"/>
                      <w:bCs/>
                      <w:color w:val="auto"/>
                      <w:sz w:val="21"/>
                      <w:szCs w:val="21"/>
                      <w:highlight w:val="none"/>
                    </w:rPr>
                    <w:t>厂界</w:t>
                  </w:r>
                </w:p>
              </w:tc>
              <w:tc>
                <w:tcPr>
                  <w:tcW w:w="2024" w:type="pct"/>
                  <w:noWrap w:val="0"/>
                  <w:vAlign w:val="center"/>
                </w:tcPr>
                <w:p w14:paraId="73BCF7D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eastAsia="zh-CN"/>
                    </w:rPr>
                  </w:pPr>
                  <w:r>
                    <w:rPr>
                      <w:rFonts w:hint="default" w:ascii="Times New Roman" w:hAnsi="Times New Roman" w:cs="Times New Roman"/>
                      <w:bCs/>
                      <w:color w:val="auto"/>
                      <w:sz w:val="21"/>
                      <w:szCs w:val="21"/>
                      <w:highlight w:val="none"/>
                    </w:rPr>
                    <w:t>等效连续A声级</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lang w:val="en-US" w:eastAsia="zh-CN"/>
                    </w:rPr>
                    <w:t>昼间</w:t>
                  </w:r>
                  <w:r>
                    <w:rPr>
                      <w:rFonts w:hint="default" w:ascii="Times New Roman" w:hAnsi="Times New Roman" w:cs="Times New Roman"/>
                      <w:bCs/>
                      <w:color w:val="auto"/>
                      <w:sz w:val="21"/>
                      <w:szCs w:val="21"/>
                      <w:highlight w:val="none"/>
                      <w:lang w:eastAsia="zh-CN"/>
                    </w:rPr>
                    <w:t>）</w:t>
                  </w:r>
                </w:p>
              </w:tc>
              <w:tc>
                <w:tcPr>
                  <w:tcW w:w="843" w:type="pct"/>
                  <w:noWrap w:val="0"/>
                  <w:vAlign w:val="center"/>
                </w:tcPr>
                <w:p w14:paraId="02911667">
                  <w:pPr>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1次/季度</w:t>
                  </w:r>
                </w:p>
              </w:tc>
            </w:tr>
          </w:tbl>
          <w:p w14:paraId="276138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4、固体废物</w:t>
            </w:r>
          </w:p>
          <w:p w14:paraId="0C634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cs="Times New Roman"/>
                <w:b/>
                <w:color w:val="auto"/>
                <w:sz w:val="24"/>
                <w:szCs w:val="24"/>
                <w:highlight w:val="none"/>
                <w:u w:val="none"/>
              </w:rPr>
            </w:pPr>
            <w:r>
              <w:rPr>
                <w:rFonts w:hint="default" w:ascii="Times New Roman" w:hAnsi="Times New Roman" w:cs="Times New Roman"/>
                <w:b/>
                <w:color w:val="auto"/>
                <w:sz w:val="24"/>
                <w:szCs w:val="24"/>
                <w:highlight w:val="none"/>
                <w:u w:val="none"/>
              </w:rPr>
              <w:t>4.1、</w:t>
            </w:r>
            <w:r>
              <w:rPr>
                <w:rFonts w:hint="default" w:ascii="Times New Roman" w:hAnsi="Times New Roman" w:cs="Times New Roman"/>
                <w:b/>
                <w:color w:val="auto"/>
                <w:sz w:val="24"/>
                <w:szCs w:val="24"/>
                <w:highlight w:val="none"/>
                <w:u w:val="none"/>
                <w:lang w:eastAsia="zh-CN"/>
              </w:rPr>
              <w:t>固体废物</w:t>
            </w:r>
            <w:r>
              <w:rPr>
                <w:rFonts w:hint="default" w:ascii="Times New Roman" w:hAnsi="Times New Roman" w:cs="Times New Roman"/>
                <w:b/>
                <w:color w:val="auto"/>
                <w:sz w:val="24"/>
                <w:szCs w:val="24"/>
                <w:highlight w:val="none"/>
                <w:u w:val="none"/>
              </w:rPr>
              <w:t>源强分析</w:t>
            </w:r>
          </w:p>
          <w:p w14:paraId="30808D3B">
            <w:pPr>
              <w:keepNext w:val="0"/>
              <w:keepLines w:val="0"/>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color w:val="000000"/>
                <w:sz w:val="24"/>
                <w:u w:val="none"/>
              </w:rPr>
            </w:pPr>
            <w:r>
              <w:rPr>
                <w:rFonts w:hint="eastAsia" w:ascii="Times New Roman" w:hAnsi="Times New Roman" w:cs="Times New Roman"/>
                <w:color w:val="000000"/>
                <w:sz w:val="24"/>
                <w:u w:val="none"/>
              </w:rPr>
              <w:t>本项目生产固废主要有</w:t>
            </w:r>
            <w:r>
              <w:rPr>
                <w:rFonts w:hint="eastAsia" w:cs="Times New Roman"/>
                <w:color w:val="000000"/>
                <w:sz w:val="24"/>
                <w:u w:val="none"/>
                <w:lang w:val="en-US" w:eastAsia="zh-CN"/>
              </w:rPr>
              <w:t>一般固体废物、危险废物和</w:t>
            </w:r>
            <w:r>
              <w:rPr>
                <w:rFonts w:hint="eastAsia" w:ascii="Times New Roman" w:hAnsi="Times New Roman" w:cs="Times New Roman"/>
                <w:color w:val="000000"/>
                <w:sz w:val="24"/>
                <w:u w:val="none"/>
              </w:rPr>
              <w:t>生活垃圾</w:t>
            </w:r>
            <w:r>
              <w:rPr>
                <w:rFonts w:hint="eastAsia" w:ascii="Times New Roman" w:hAnsi="Times New Roman" w:eastAsia="宋体" w:cs="Times New Roman"/>
                <w:color w:val="000000"/>
                <w:sz w:val="24"/>
                <w:u w:val="none"/>
              </w:rPr>
              <w:t>。项目固废产排情况如下表所示：</w:t>
            </w:r>
          </w:p>
          <w:p w14:paraId="305553E6">
            <w:pPr>
              <w:keepNext w:val="0"/>
              <w:keepLines w:val="0"/>
              <w:suppressLineNumbers w:val="0"/>
              <w:spacing w:before="0" w:beforeAutospacing="0" w:after="0" w:afterAutospacing="0" w:line="360" w:lineRule="auto"/>
              <w:ind w:left="0" w:right="0" w:firstLine="480" w:firstLineChars="200"/>
              <w:rPr>
                <w:rFonts w:hint="default" w:ascii="Times New Roman" w:hAnsi="宋体" w:cs="Times New Roman"/>
                <w:iCs/>
                <w:color w:val="000000"/>
                <w:kern w:val="0"/>
                <w:sz w:val="24"/>
                <w:u w:val="none"/>
              </w:rPr>
            </w:pPr>
            <w:r>
              <w:rPr>
                <w:rFonts w:hint="eastAsia" w:ascii="Times New Roman" w:hAnsi="Times New Roman" w:eastAsia="宋体" w:cs="Times New Roman"/>
                <w:color w:val="000000"/>
                <w:sz w:val="24"/>
                <w:u w:val="none"/>
                <w:lang w:eastAsia="zh-CN"/>
              </w:rPr>
              <w:t>（</w:t>
            </w:r>
            <w:r>
              <w:rPr>
                <w:rFonts w:hint="eastAsia" w:ascii="Times New Roman" w:hAnsi="Times New Roman" w:eastAsia="宋体" w:cs="Times New Roman"/>
                <w:color w:val="000000"/>
                <w:sz w:val="24"/>
                <w:u w:val="none"/>
                <w:lang w:val="en-US" w:eastAsia="zh-CN"/>
              </w:rPr>
              <w:t>1）</w:t>
            </w:r>
            <w:r>
              <w:rPr>
                <w:rFonts w:hint="default" w:ascii="Times New Roman" w:hAnsi="宋体" w:cs="Times New Roman"/>
                <w:iCs/>
                <w:color w:val="000000"/>
                <w:kern w:val="0"/>
                <w:sz w:val="24"/>
                <w:u w:val="none"/>
              </w:rPr>
              <w:t>生活</w:t>
            </w:r>
            <w:r>
              <w:rPr>
                <w:rFonts w:hint="eastAsia" w:ascii="Times New Roman" w:hAnsi="宋体" w:cs="Times New Roman"/>
                <w:iCs/>
                <w:color w:val="000000"/>
                <w:kern w:val="0"/>
                <w:sz w:val="24"/>
                <w:u w:val="none"/>
              </w:rPr>
              <w:t>垃圾</w:t>
            </w:r>
          </w:p>
          <w:p w14:paraId="2D0DF02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u w:val="none"/>
              </w:rPr>
            </w:pPr>
            <w:r>
              <w:rPr>
                <w:rFonts w:hint="eastAsia" w:ascii="Times New Roman" w:hAnsi="宋体" w:cs="Times New Roman"/>
                <w:iCs/>
                <w:color w:val="000000"/>
                <w:kern w:val="0"/>
                <w:sz w:val="24"/>
                <w:u w:val="none"/>
              </w:rPr>
              <w:t>本项目</w:t>
            </w:r>
            <w:r>
              <w:rPr>
                <w:rFonts w:hint="eastAsia" w:ascii="Times New Roman" w:hAnsi="宋体" w:cs="Times New Roman"/>
                <w:iCs/>
                <w:color w:val="000000"/>
                <w:kern w:val="0"/>
                <w:sz w:val="24"/>
                <w:u w:val="none"/>
                <w:lang w:val="en-US" w:eastAsia="zh-CN"/>
              </w:rPr>
              <w:t>在厂内员工</w:t>
            </w:r>
            <w:r>
              <w:rPr>
                <w:rFonts w:hint="eastAsia" w:ascii="Times New Roman" w:hAnsi="宋体" w:cs="Times New Roman"/>
                <w:iCs/>
                <w:color w:val="000000"/>
                <w:kern w:val="0"/>
                <w:sz w:val="24"/>
                <w:u w:val="none"/>
              </w:rPr>
              <w:t>生活垃圾产生系数</w:t>
            </w:r>
            <w:r>
              <w:rPr>
                <w:rFonts w:hint="default" w:ascii="Times New Roman" w:hAnsi="宋体" w:cs="Times New Roman"/>
                <w:iCs/>
                <w:color w:val="000000"/>
                <w:kern w:val="0"/>
                <w:sz w:val="24"/>
                <w:u w:val="none"/>
              </w:rPr>
              <w:t>按每人每天</w:t>
            </w:r>
            <w:r>
              <w:rPr>
                <w:rFonts w:hint="eastAsia" w:ascii="Times New Roman" w:hAnsi="宋体" w:cs="Times New Roman"/>
                <w:iCs/>
                <w:color w:val="000000"/>
                <w:kern w:val="0"/>
                <w:sz w:val="24"/>
                <w:u w:val="none"/>
                <w:lang w:val="en-US" w:eastAsia="zh-CN"/>
              </w:rPr>
              <w:t>0.5</w:t>
            </w:r>
            <w:r>
              <w:rPr>
                <w:rFonts w:hint="default" w:ascii="Times New Roman" w:hAnsi="宋体" w:cs="Times New Roman"/>
                <w:iCs/>
                <w:color w:val="000000"/>
                <w:kern w:val="0"/>
                <w:sz w:val="24"/>
                <w:u w:val="none"/>
              </w:rPr>
              <w:t>kg</w:t>
            </w:r>
            <w:r>
              <w:rPr>
                <w:rFonts w:hint="eastAsia" w:ascii="Times New Roman" w:hAnsi="宋体" w:cs="Times New Roman"/>
                <w:iCs/>
                <w:color w:val="000000"/>
                <w:kern w:val="0"/>
                <w:sz w:val="24"/>
                <w:u w:val="none"/>
              </w:rPr>
              <w:t>计</w:t>
            </w:r>
            <w:r>
              <w:rPr>
                <w:rFonts w:hint="eastAsia" w:ascii="Times New Roman" w:hAnsi="宋体" w:cs="Times New Roman"/>
                <w:iCs/>
                <w:color w:val="000000"/>
                <w:kern w:val="0"/>
                <w:sz w:val="24"/>
                <w:u w:val="none"/>
                <w:lang w:eastAsia="zh-CN"/>
              </w:rPr>
              <w:t>，</w:t>
            </w:r>
            <w:r>
              <w:rPr>
                <w:rFonts w:hint="default" w:ascii="Times New Roman" w:hAnsi="宋体" w:cs="Times New Roman"/>
                <w:iCs/>
                <w:color w:val="000000"/>
                <w:kern w:val="0"/>
                <w:sz w:val="24"/>
                <w:u w:val="none"/>
              </w:rPr>
              <w:t>则</w:t>
            </w:r>
            <w:r>
              <w:rPr>
                <w:rFonts w:hint="eastAsia" w:ascii="Times New Roman" w:hAnsi="宋体" w:cs="Times New Roman"/>
                <w:iCs/>
                <w:color w:val="000000"/>
                <w:kern w:val="0"/>
                <w:sz w:val="24"/>
                <w:u w:val="none"/>
              </w:rPr>
              <w:t>职工生活垃圾产生量</w:t>
            </w:r>
            <w:r>
              <w:rPr>
                <w:rFonts w:hint="default" w:ascii="Times New Roman" w:hAnsi="宋体" w:cs="Times New Roman"/>
                <w:iCs/>
                <w:color w:val="000000"/>
                <w:kern w:val="0"/>
                <w:sz w:val="24"/>
                <w:u w:val="none"/>
              </w:rPr>
              <w:t>为</w:t>
            </w:r>
            <w:r>
              <w:rPr>
                <w:rFonts w:hint="eastAsia" w:hAnsi="宋体" w:cs="Times New Roman"/>
                <w:iCs/>
                <w:color w:val="000000"/>
                <w:kern w:val="0"/>
                <w:sz w:val="24"/>
                <w:u w:val="none"/>
                <w:lang w:val="en-US" w:eastAsia="zh-CN"/>
              </w:rPr>
              <w:t>35</w:t>
            </w:r>
            <w:r>
              <w:rPr>
                <w:rFonts w:hint="default" w:ascii="Times New Roman" w:hAnsi="宋体" w:cs="Times New Roman"/>
                <w:iCs/>
                <w:color w:val="000000"/>
                <w:kern w:val="0"/>
                <w:sz w:val="24"/>
                <w:u w:val="none"/>
              </w:rPr>
              <w:t>kg/d</w:t>
            </w:r>
            <w:r>
              <w:rPr>
                <w:rFonts w:hint="eastAsia" w:ascii="Times New Roman" w:hAnsi="宋体" w:cs="Times New Roman"/>
                <w:iCs/>
                <w:color w:val="000000"/>
                <w:kern w:val="0"/>
                <w:sz w:val="24"/>
                <w:u w:val="none"/>
              </w:rPr>
              <w:t>（</w:t>
            </w:r>
            <w:r>
              <w:rPr>
                <w:rFonts w:hint="eastAsia" w:hAnsi="宋体" w:cs="Times New Roman"/>
                <w:iCs/>
                <w:color w:val="000000"/>
                <w:kern w:val="0"/>
                <w:sz w:val="24"/>
                <w:u w:val="none"/>
                <w:lang w:val="en-US" w:eastAsia="zh-CN"/>
              </w:rPr>
              <w:t>10.92</w:t>
            </w:r>
            <w:r>
              <w:rPr>
                <w:rFonts w:hint="default" w:ascii="Times New Roman" w:hAnsi="宋体" w:cs="Times New Roman"/>
                <w:iCs/>
                <w:color w:val="000000"/>
                <w:kern w:val="0"/>
                <w:sz w:val="24"/>
                <w:u w:val="none"/>
              </w:rPr>
              <w:t>t/a</w:t>
            </w:r>
            <w:r>
              <w:rPr>
                <w:rFonts w:hint="eastAsia" w:ascii="Times New Roman" w:hAnsi="宋体" w:cs="Times New Roman"/>
                <w:iCs/>
                <w:color w:val="000000"/>
                <w:kern w:val="0"/>
                <w:sz w:val="24"/>
                <w:u w:val="none"/>
              </w:rPr>
              <w:t>），经垃圾桶收集后</w:t>
            </w:r>
            <w:r>
              <w:rPr>
                <w:rFonts w:hint="eastAsia" w:ascii="Times New Roman" w:hAnsi="宋体" w:cs="Times New Roman"/>
                <w:iCs/>
                <w:color w:val="000000"/>
                <w:kern w:val="0"/>
                <w:sz w:val="24"/>
                <w:u w:val="none"/>
                <w:lang w:val="en-US" w:eastAsia="zh-CN"/>
              </w:rPr>
              <w:t>交由</w:t>
            </w:r>
            <w:r>
              <w:rPr>
                <w:rFonts w:hint="eastAsia" w:ascii="Times New Roman" w:hAnsi="宋体" w:cs="Times New Roman"/>
                <w:iCs/>
                <w:color w:val="000000"/>
                <w:kern w:val="0"/>
                <w:sz w:val="24"/>
                <w:u w:val="none"/>
              </w:rPr>
              <w:t>当地环卫部门统一处置</w:t>
            </w:r>
            <w:r>
              <w:rPr>
                <w:rFonts w:hint="eastAsia" w:ascii="Times New Roman" w:hAnsi="Times New Roman" w:eastAsia="宋体" w:cs="Times New Roman"/>
                <w:color w:val="000000"/>
                <w:sz w:val="24"/>
                <w:u w:val="none"/>
                <w:lang w:val="en-US" w:eastAsia="zh-CN"/>
              </w:rPr>
              <w:t>。</w:t>
            </w:r>
          </w:p>
          <w:p w14:paraId="5F54837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sz w:val="24"/>
                <w:u w:val="none"/>
                <w:lang w:eastAsia="zh-CN"/>
              </w:rPr>
            </w:pPr>
            <w:r>
              <w:rPr>
                <w:rFonts w:hint="eastAsia" w:ascii="Times New Roman" w:hAnsi="Times New Roman" w:eastAsia="宋体" w:cs="Times New Roman"/>
                <w:color w:val="000000"/>
                <w:sz w:val="24"/>
                <w:u w:val="none"/>
                <w:lang w:eastAsia="zh-CN"/>
              </w:rPr>
              <w:t>（</w:t>
            </w:r>
            <w:r>
              <w:rPr>
                <w:rFonts w:hint="eastAsia" w:ascii="Times New Roman" w:hAnsi="Times New Roman" w:eastAsia="宋体" w:cs="Times New Roman"/>
                <w:color w:val="000000"/>
                <w:sz w:val="24"/>
                <w:u w:val="none"/>
                <w:lang w:val="en-US" w:eastAsia="zh-CN"/>
              </w:rPr>
              <w:t>2</w:t>
            </w:r>
            <w:r>
              <w:rPr>
                <w:rFonts w:hint="eastAsia" w:ascii="Times New Roman" w:hAnsi="Times New Roman" w:eastAsia="宋体" w:cs="Times New Roman"/>
                <w:color w:val="000000"/>
                <w:sz w:val="24"/>
                <w:u w:val="none"/>
                <w:lang w:eastAsia="zh-CN"/>
              </w:rPr>
              <w:t>）废版辊</w:t>
            </w:r>
          </w:p>
          <w:p w14:paraId="6FDDA88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iCs/>
                <w:color w:val="000000"/>
                <w:kern w:val="0"/>
                <w:sz w:val="24"/>
                <w:u w:val="none"/>
              </w:rPr>
            </w:pPr>
            <w:r>
              <w:rPr>
                <w:rFonts w:hint="eastAsia" w:ascii="Times New Roman" w:hAnsi="Times New Roman" w:eastAsia="宋体" w:cs="Times New Roman"/>
                <w:color w:val="000000"/>
                <w:sz w:val="24"/>
                <w:u w:val="none"/>
                <w:lang w:eastAsia="zh-CN"/>
              </w:rPr>
              <w:t>本项目版辊使用时间长后，会产生废版辊。根据业主提供资料，废版辊均清洗过后才作为固废管理，废版辊平均产生量约</w:t>
            </w:r>
            <w:r>
              <w:rPr>
                <w:rFonts w:hint="eastAsia" w:cs="Times New Roman"/>
                <w:color w:val="auto"/>
                <w:sz w:val="24"/>
                <w:u w:val="none"/>
                <w:lang w:val="en-US" w:eastAsia="zh-CN"/>
              </w:rPr>
              <w:t>2</w:t>
            </w:r>
            <w:r>
              <w:rPr>
                <w:rFonts w:hint="eastAsia" w:ascii="Times New Roman" w:hAnsi="Times New Roman" w:eastAsia="宋体" w:cs="Times New Roman"/>
                <w:color w:val="auto"/>
                <w:sz w:val="24"/>
                <w:u w:val="none"/>
                <w:lang w:eastAsia="zh-CN"/>
              </w:rPr>
              <w:t>t</w:t>
            </w:r>
            <w:r>
              <w:rPr>
                <w:rFonts w:hint="eastAsia" w:ascii="Times New Roman" w:hAnsi="Times New Roman" w:eastAsia="宋体" w:cs="Times New Roman"/>
                <w:color w:val="000000"/>
                <w:sz w:val="24"/>
                <w:u w:val="none"/>
                <w:lang w:eastAsia="zh-CN"/>
              </w:rPr>
              <w:t>/a，产生的废版辊暂存于版库，由版辊厂家回收</w:t>
            </w:r>
            <w:r>
              <w:rPr>
                <w:rFonts w:hint="default" w:ascii="Times New Roman" w:hAnsi="Times New Roman" w:cs="Times New Roman"/>
                <w:iCs/>
                <w:color w:val="000000"/>
                <w:kern w:val="0"/>
                <w:sz w:val="24"/>
                <w:u w:val="none"/>
              </w:rPr>
              <w:t>。</w:t>
            </w:r>
          </w:p>
          <w:p w14:paraId="6E4FEB47">
            <w:pPr>
              <w:keepNext w:val="0"/>
              <w:keepLines w:val="0"/>
              <w:suppressLineNumbers w:val="0"/>
              <w:spacing w:before="0" w:beforeAutospacing="0" w:after="0" w:afterAutospacing="0" w:line="360" w:lineRule="auto"/>
              <w:ind w:left="0" w:right="0" w:firstLine="480" w:firstLineChars="200"/>
              <w:rPr>
                <w:rFonts w:hint="eastAsia" w:cs="Times New Roman"/>
                <w:iCs/>
                <w:color w:val="000000"/>
                <w:kern w:val="0"/>
                <w:sz w:val="24"/>
                <w:u w:val="none"/>
                <w:lang w:eastAsia="zh-CN"/>
              </w:rPr>
            </w:pPr>
            <w:r>
              <w:rPr>
                <w:rFonts w:hint="eastAsia" w:cs="Times New Roman"/>
                <w:iCs/>
                <w:color w:val="000000"/>
                <w:kern w:val="0"/>
                <w:sz w:val="24"/>
                <w:u w:val="none"/>
                <w:lang w:eastAsia="zh-CN"/>
              </w:rPr>
              <w:t>（</w:t>
            </w:r>
            <w:r>
              <w:rPr>
                <w:rFonts w:hint="eastAsia" w:cs="Times New Roman"/>
                <w:iCs/>
                <w:color w:val="000000"/>
                <w:kern w:val="0"/>
                <w:sz w:val="24"/>
                <w:u w:val="none"/>
                <w:lang w:val="en-US" w:eastAsia="zh-CN"/>
              </w:rPr>
              <w:t>3</w:t>
            </w:r>
            <w:r>
              <w:rPr>
                <w:rFonts w:hint="eastAsia" w:cs="Times New Roman"/>
                <w:iCs/>
                <w:color w:val="000000"/>
                <w:kern w:val="0"/>
                <w:sz w:val="24"/>
                <w:u w:val="none"/>
                <w:lang w:eastAsia="zh-CN"/>
              </w:rPr>
              <w:t>）废边角料、不合格品</w:t>
            </w:r>
          </w:p>
          <w:p w14:paraId="2F76B0D1">
            <w:pPr>
              <w:keepNext w:val="0"/>
              <w:keepLines w:val="0"/>
              <w:suppressLineNumbers w:val="0"/>
              <w:spacing w:before="0" w:beforeAutospacing="0" w:after="0" w:afterAutospacing="0" w:line="360" w:lineRule="auto"/>
              <w:ind w:left="0" w:right="0" w:firstLine="480" w:firstLineChars="200"/>
              <w:rPr>
                <w:rFonts w:hint="eastAsia" w:cs="Times New Roman"/>
                <w:iCs/>
                <w:color w:val="000000"/>
                <w:kern w:val="0"/>
                <w:sz w:val="24"/>
                <w:u w:val="none"/>
                <w:lang w:eastAsia="zh-CN"/>
              </w:rPr>
            </w:pPr>
            <w:r>
              <w:rPr>
                <w:rFonts w:hint="eastAsia" w:cs="Times New Roman"/>
                <w:iCs/>
                <w:color w:val="000000"/>
                <w:kern w:val="0"/>
                <w:sz w:val="24"/>
                <w:u w:val="none"/>
                <w:lang w:eastAsia="zh-CN"/>
              </w:rPr>
              <w:t>制袋工序、分切工序、吹塑工序会产生废边角料，生产过程中会产生不合格产品，根据企业生产经验，该部分边角料</w:t>
            </w:r>
            <w:r>
              <w:rPr>
                <w:rFonts w:hint="eastAsia" w:cs="Times New Roman"/>
                <w:iCs/>
                <w:color w:val="000000"/>
                <w:kern w:val="0"/>
                <w:sz w:val="24"/>
                <w:u w:val="none"/>
                <w:lang w:val="en-US" w:eastAsia="zh-CN"/>
              </w:rPr>
              <w:t>和不合格品</w:t>
            </w:r>
            <w:r>
              <w:rPr>
                <w:rFonts w:hint="eastAsia" w:cs="Times New Roman"/>
                <w:iCs/>
                <w:color w:val="000000"/>
                <w:kern w:val="0"/>
                <w:sz w:val="24"/>
                <w:u w:val="none"/>
                <w:lang w:eastAsia="zh-CN"/>
              </w:rPr>
              <w:t>产生量约占产品的1%，则废边角料和不合格产品的产生量约</w:t>
            </w:r>
            <w:r>
              <w:rPr>
                <w:rFonts w:hint="eastAsia" w:cs="Times New Roman"/>
                <w:iCs/>
                <w:color w:val="auto"/>
                <w:kern w:val="0"/>
                <w:sz w:val="24"/>
                <w:u w:val="none"/>
                <w:lang w:val="en-US" w:eastAsia="zh-CN"/>
              </w:rPr>
              <w:t>18.4</w:t>
            </w:r>
            <w:r>
              <w:rPr>
                <w:rFonts w:hint="eastAsia" w:cs="Times New Roman"/>
                <w:iCs/>
                <w:color w:val="auto"/>
                <w:kern w:val="0"/>
                <w:sz w:val="24"/>
                <w:u w:val="none"/>
                <w:lang w:eastAsia="zh-CN"/>
              </w:rPr>
              <w:t>t/</w:t>
            </w:r>
            <w:r>
              <w:rPr>
                <w:rFonts w:hint="eastAsia" w:cs="Times New Roman"/>
                <w:iCs/>
                <w:color w:val="000000"/>
                <w:kern w:val="0"/>
                <w:sz w:val="24"/>
                <w:u w:val="none"/>
                <w:lang w:eastAsia="zh-CN"/>
              </w:rPr>
              <w:t>a，外售综合利用。</w:t>
            </w:r>
          </w:p>
          <w:p w14:paraId="061BBF96">
            <w:pPr>
              <w:keepNext w:val="0"/>
              <w:keepLines w:val="0"/>
              <w:numPr>
                <w:ilvl w:val="0"/>
                <w:numId w:val="0"/>
              </w:numPr>
              <w:suppressLineNumbers w:val="0"/>
              <w:spacing w:before="0" w:beforeAutospacing="0" w:after="0" w:afterAutospacing="0" w:line="360" w:lineRule="auto"/>
              <w:ind w:left="420" w:leftChars="200" w:right="0" w:rightChars="0"/>
              <w:rPr>
                <w:rFonts w:hint="eastAsia" w:cs="Times New Roman"/>
                <w:iCs/>
                <w:color w:val="000000"/>
                <w:kern w:val="0"/>
                <w:sz w:val="24"/>
                <w:u w:val="none"/>
                <w:lang w:eastAsia="zh-CN"/>
              </w:rPr>
            </w:pPr>
            <w:r>
              <w:rPr>
                <w:rFonts w:hint="eastAsia" w:cs="Times New Roman"/>
                <w:iCs/>
                <w:color w:val="000000"/>
                <w:kern w:val="0"/>
                <w:sz w:val="24"/>
                <w:u w:val="none"/>
                <w:lang w:eastAsia="zh-CN"/>
              </w:rPr>
              <w:t>（</w:t>
            </w:r>
            <w:r>
              <w:rPr>
                <w:rFonts w:hint="eastAsia" w:cs="Times New Roman"/>
                <w:iCs/>
                <w:color w:val="000000"/>
                <w:kern w:val="0"/>
                <w:sz w:val="24"/>
                <w:u w:val="none"/>
                <w:lang w:val="en-US" w:eastAsia="zh-CN"/>
              </w:rPr>
              <w:t>4</w:t>
            </w:r>
            <w:r>
              <w:rPr>
                <w:rFonts w:hint="eastAsia" w:cs="Times New Roman"/>
                <w:iCs/>
                <w:color w:val="000000"/>
                <w:kern w:val="0"/>
                <w:sz w:val="24"/>
                <w:u w:val="none"/>
                <w:lang w:eastAsia="zh-CN"/>
              </w:rPr>
              <w:t>）废包装袋</w:t>
            </w:r>
          </w:p>
          <w:p w14:paraId="237F9A2F">
            <w:pPr>
              <w:keepNext w:val="0"/>
              <w:keepLines w:val="0"/>
              <w:numPr>
                <w:ilvl w:val="0"/>
                <w:numId w:val="0"/>
              </w:numPr>
              <w:suppressLineNumbers w:val="0"/>
              <w:spacing w:before="0" w:beforeAutospacing="0" w:after="0" w:afterAutospacing="0" w:line="360" w:lineRule="auto"/>
              <w:ind w:left="0" w:leftChars="0" w:right="0" w:rightChars="0" w:firstLine="480" w:firstLineChars="200"/>
              <w:rPr>
                <w:rFonts w:hint="eastAsia" w:cs="Times New Roman"/>
                <w:iCs/>
                <w:color w:val="000000"/>
                <w:kern w:val="0"/>
                <w:sz w:val="24"/>
                <w:u w:val="none"/>
                <w:lang w:eastAsia="zh-CN"/>
              </w:rPr>
            </w:pPr>
            <w:r>
              <w:rPr>
                <w:rFonts w:hint="eastAsia" w:cs="Times New Roman"/>
                <w:iCs/>
                <w:color w:val="000000"/>
                <w:kern w:val="0"/>
                <w:sz w:val="24"/>
                <w:u w:val="none"/>
                <w:lang w:eastAsia="zh-CN"/>
              </w:rPr>
              <w:t>外购塑料膜等原辅材料使用塑料或纸箱等材料进行包装，以上包装材料均不与危险化学品直接接触，将产生不沾有危险物质的废包装材料，主要成分为塑料和纸，可外售废品回收站，根据企业提供资料，废包装袋产生量约1.2t/a。</w:t>
            </w:r>
          </w:p>
          <w:p w14:paraId="4D4AECA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iCs/>
                <w:color w:val="000000"/>
                <w:kern w:val="0"/>
                <w:sz w:val="24"/>
                <w:u w:val="none"/>
              </w:rPr>
            </w:pPr>
            <w:r>
              <w:rPr>
                <w:rFonts w:hint="eastAsia" w:ascii="Times New Roman" w:hAnsi="宋体" w:cs="Times New Roman"/>
                <w:color w:val="000000"/>
                <w:kern w:val="0"/>
                <w:sz w:val="24"/>
                <w:u w:val="none"/>
                <w:lang w:eastAsia="zh-CN"/>
              </w:rPr>
              <w:t>（</w:t>
            </w:r>
            <w:r>
              <w:rPr>
                <w:rFonts w:hint="eastAsia" w:hAnsi="宋体" w:cs="Times New Roman"/>
                <w:iCs/>
                <w:color w:val="000000"/>
                <w:kern w:val="0"/>
                <w:sz w:val="24"/>
                <w:u w:val="none"/>
                <w:lang w:val="en-US" w:eastAsia="zh-CN"/>
              </w:rPr>
              <w:t>5</w:t>
            </w:r>
            <w:r>
              <w:rPr>
                <w:rFonts w:hint="eastAsia" w:ascii="Times New Roman" w:hAnsi="宋体" w:cs="Times New Roman"/>
                <w:iCs/>
                <w:color w:val="000000"/>
                <w:kern w:val="0"/>
                <w:sz w:val="24"/>
                <w:u w:val="none"/>
              </w:rPr>
              <w:t>）</w:t>
            </w:r>
            <w:r>
              <w:rPr>
                <w:rFonts w:hint="eastAsia" w:ascii="Times New Roman" w:hAnsi="Times New Roman" w:cs="Times New Roman"/>
                <w:iCs/>
                <w:color w:val="000000"/>
                <w:kern w:val="0"/>
                <w:sz w:val="24"/>
                <w:u w:val="none"/>
              </w:rPr>
              <w:t>废矿物油</w:t>
            </w:r>
          </w:p>
          <w:p w14:paraId="1D64746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iCs/>
                <w:color w:val="000000"/>
                <w:kern w:val="0"/>
                <w:sz w:val="24"/>
                <w:u w:val="none"/>
              </w:rPr>
            </w:pPr>
            <w:r>
              <w:rPr>
                <w:rFonts w:hint="eastAsia" w:ascii="Times New Roman" w:hAnsi="Times New Roman" w:cs="Times New Roman"/>
                <w:iCs/>
                <w:color w:val="000000"/>
                <w:kern w:val="0"/>
                <w:sz w:val="24"/>
                <w:u w:val="none"/>
              </w:rPr>
              <w:t>项目机械设备使用过程中会产生废矿物油，根据《国家危险废物名录》（2</w:t>
            </w:r>
            <w:r>
              <w:rPr>
                <w:rFonts w:hint="default" w:ascii="Times New Roman" w:hAnsi="Times New Roman" w:cs="Times New Roman"/>
                <w:iCs/>
                <w:color w:val="000000"/>
                <w:kern w:val="0"/>
                <w:sz w:val="24"/>
                <w:u w:val="none"/>
              </w:rPr>
              <w:t>02</w:t>
            </w:r>
            <w:r>
              <w:rPr>
                <w:rFonts w:hint="eastAsia" w:ascii="Times New Roman" w:hAnsi="Times New Roman" w:cs="Times New Roman"/>
                <w:iCs/>
                <w:color w:val="000000"/>
                <w:kern w:val="0"/>
                <w:sz w:val="24"/>
                <w:u w:val="none"/>
                <w:lang w:val="en-US" w:eastAsia="zh-CN"/>
              </w:rPr>
              <w:t>5</w:t>
            </w:r>
            <w:r>
              <w:rPr>
                <w:rFonts w:hint="eastAsia" w:ascii="Times New Roman" w:hAnsi="Times New Roman" w:cs="Times New Roman"/>
                <w:iCs/>
                <w:color w:val="000000"/>
                <w:kern w:val="0"/>
                <w:sz w:val="24"/>
                <w:u w:val="none"/>
              </w:rPr>
              <w:t>年版），废机油属于H</w:t>
            </w:r>
            <w:r>
              <w:rPr>
                <w:rFonts w:hint="default" w:ascii="Times New Roman" w:hAnsi="Times New Roman" w:cs="Times New Roman"/>
                <w:iCs/>
                <w:color w:val="000000"/>
                <w:kern w:val="0"/>
                <w:sz w:val="24"/>
                <w:u w:val="none"/>
              </w:rPr>
              <w:t>W08</w:t>
            </w:r>
            <w:r>
              <w:rPr>
                <w:rFonts w:hint="eastAsia" w:ascii="Times New Roman" w:hAnsi="Times New Roman" w:cs="Times New Roman"/>
                <w:iCs/>
                <w:color w:val="000000"/>
                <w:kern w:val="0"/>
                <w:sz w:val="24"/>
                <w:u w:val="none"/>
              </w:rPr>
              <w:t>废矿物油与含矿物油废物类别，危废代码为9</w:t>
            </w:r>
            <w:r>
              <w:rPr>
                <w:rFonts w:hint="default" w:ascii="Times New Roman" w:hAnsi="Times New Roman" w:cs="Times New Roman"/>
                <w:iCs/>
                <w:color w:val="000000"/>
                <w:kern w:val="0"/>
                <w:sz w:val="24"/>
                <w:u w:val="none"/>
              </w:rPr>
              <w:t>00-214-08</w:t>
            </w:r>
            <w:r>
              <w:rPr>
                <w:rFonts w:hint="eastAsia" w:ascii="Times New Roman" w:hAnsi="Times New Roman" w:eastAsia="宋体" w:cs="Times New Roman"/>
                <w:iCs/>
                <w:color w:val="000000"/>
                <w:kern w:val="0"/>
                <w:sz w:val="24"/>
                <w:u w:val="none"/>
              </w:rPr>
              <w:t>。根据</w:t>
            </w:r>
            <w:r>
              <w:rPr>
                <w:rFonts w:hint="eastAsia" w:ascii="Times New Roman" w:hAnsi="Times New Roman" w:eastAsia="宋体" w:cs="Times New Roman"/>
                <w:iCs/>
                <w:color w:val="000000"/>
                <w:kern w:val="0"/>
                <w:sz w:val="24"/>
                <w:u w:val="none"/>
                <w:lang w:val="en-US" w:eastAsia="zh-CN"/>
              </w:rPr>
              <w:t>同类</w:t>
            </w:r>
            <w:r>
              <w:rPr>
                <w:rFonts w:hint="eastAsia" w:ascii="Times New Roman" w:hAnsi="Times New Roman" w:eastAsia="宋体" w:cs="Times New Roman"/>
                <w:iCs/>
                <w:color w:val="000000"/>
                <w:kern w:val="0"/>
                <w:sz w:val="24"/>
                <w:u w:val="none"/>
              </w:rPr>
              <w:t>项目实际生产经验，废机油产生量约为</w:t>
            </w:r>
            <w:r>
              <w:rPr>
                <w:rFonts w:hint="eastAsia" w:ascii="Times New Roman" w:hAnsi="Times New Roman" w:eastAsia="宋体" w:cs="Times New Roman"/>
                <w:iCs/>
                <w:color w:val="000000"/>
                <w:kern w:val="0"/>
                <w:sz w:val="24"/>
                <w:u w:val="none"/>
                <w:lang w:val="en-US" w:eastAsia="zh-CN"/>
              </w:rPr>
              <w:t>0.1</w:t>
            </w:r>
            <w:r>
              <w:rPr>
                <w:rFonts w:hint="eastAsia" w:ascii="Times New Roman" w:hAnsi="Times New Roman" w:eastAsia="宋体" w:cs="Times New Roman"/>
                <w:iCs/>
                <w:color w:val="000000"/>
                <w:kern w:val="0"/>
                <w:sz w:val="24"/>
                <w:u w:val="none"/>
              </w:rPr>
              <w:t>t/a，经危废暂存间暂存后委托有资质单位处置。</w:t>
            </w:r>
          </w:p>
          <w:p w14:paraId="7DFB14FB">
            <w:pPr>
              <w:keepNext w:val="0"/>
              <w:keepLines w:val="0"/>
              <w:numPr>
                <w:ilvl w:val="0"/>
                <w:numId w:val="0"/>
              </w:numPr>
              <w:suppressLineNumbers w:val="0"/>
              <w:spacing w:before="0" w:beforeAutospacing="0" w:after="0" w:afterAutospacing="0" w:line="360" w:lineRule="auto"/>
              <w:ind w:left="0" w:right="0" w:firstLine="480" w:firstLineChars="200"/>
              <w:rPr>
                <w:rFonts w:hint="eastAsia" w:ascii="Times New Roman" w:hAnsi="Times New Roman" w:eastAsia="宋体" w:cs="Times New Roman"/>
                <w:iCs/>
                <w:color w:val="000000"/>
                <w:kern w:val="0"/>
                <w:sz w:val="24"/>
                <w:szCs w:val="24"/>
                <w:lang w:val="en-US" w:eastAsia="zh-CN" w:bidi="ar-SA"/>
              </w:rPr>
            </w:pPr>
            <w:r>
              <w:rPr>
                <w:rFonts w:hint="eastAsia" w:ascii="Times New Roman" w:hAnsi="Times New Roman" w:eastAsia="宋体" w:cs="Times New Roman"/>
                <w:iCs/>
                <w:color w:val="000000"/>
                <w:kern w:val="0"/>
                <w:sz w:val="24"/>
                <w:szCs w:val="24"/>
                <w:lang w:val="en-US" w:eastAsia="zh-CN" w:bidi="ar-SA"/>
              </w:rPr>
              <w:t>（</w:t>
            </w:r>
            <w:r>
              <w:rPr>
                <w:rFonts w:hint="eastAsia" w:cs="Times New Roman"/>
                <w:iCs/>
                <w:color w:val="000000"/>
                <w:kern w:val="0"/>
                <w:sz w:val="24"/>
                <w:szCs w:val="24"/>
                <w:lang w:val="en-US" w:eastAsia="zh-CN" w:bidi="ar-SA"/>
              </w:rPr>
              <w:t>6</w:t>
            </w:r>
            <w:r>
              <w:rPr>
                <w:rFonts w:hint="eastAsia" w:ascii="Times New Roman" w:hAnsi="Times New Roman" w:eastAsia="宋体" w:cs="Times New Roman"/>
                <w:iCs/>
                <w:color w:val="000000"/>
                <w:kern w:val="0"/>
                <w:sz w:val="24"/>
                <w:szCs w:val="24"/>
                <w:lang w:val="en-US" w:eastAsia="zh-CN" w:bidi="ar-SA"/>
              </w:rPr>
              <w:t>）废包装桶</w:t>
            </w:r>
          </w:p>
          <w:p w14:paraId="19AE60E2">
            <w:pPr>
              <w:keepNext w:val="0"/>
              <w:keepLines w:val="0"/>
              <w:numPr>
                <w:ilvl w:val="0"/>
                <w:numId w:val="0"/>
              </w:numPr>
              <w:suppressLineNumbers w:val="0"/>
              <w:spacing w:before="0" w:beforeAutospacing="0" w:after="0" w:afterAutospacing="0" w:line="360" w:lineRule="auto"/>
              <w:ind w:left="0" w:right="0" w:firstLine="480" w:firstLineChars="200"/>
              <w:rPr>
                <w:rFonts w:hint="eastAsia" w:ascii="Times New Roman" w:hAnsi="宋体" w:cs="Times New Roman"/>
                <w:iCs/>
                <w:color w:val="000000"/>
                <w:kern w:val="0"/>
                <w:sz w:val="24"/>
                <w:u w:val="none"/>
                <w:lang w:val="en-US" w:eastAsia="zh-CN"/>
              </w:rPr>
            </w:pPr>
            <w:r>
              <w:rPr>
                <w:rFonts w:hint="eastAsia" w:ascii="Times New Roman" w:hAnsi="Times New Roman" w:eastAsia="宋体" w:cs="Times New Roman"/>
                <w:iCs/>
                <w:color w:val="000000"/>
                <w:kern w:val="0"/>
                <w:sz w:val="24"/>
                <w:szCs w:val="24"/>
                <w:lang w:val="en-US" w:eastAsia="zh-CN" w:bidi="ar-SA"/>
              </w:rPr>
              <w:t>油墨、胶粘剂、有机溶剂均使用桶装。由于废包装桶内含有油墨、胶粘剂和各种溶剂，根据《国家危险废物名录（2025年版）》，产生的沾有油墨、胶粘剂和废有机溶剂的包装材料属于HW49中的900-041-49类危险废物。因此按照危险废物进行管理，暂存于危险废物暂存间，委托有资质的单位进行处理，产生量约</w:t>
            </w:r>
            <w:r>
              <w:rPr>
                <w:rFonts w:hint="eastAsia" w:cs="Times New Roman"/>
                <w:iCs/>
                <w:color w:val="auto"/>
                <w:kern w:val="0"/>
                <w:sz w:val="24"/>
                <w:szCs w:val="24"/>
                <w:lang w:val="en-US" w:eastAsia="zh-CN" w:bidi="ar-SA"/>
              </w:rPr>
              <w:t>0.763</w:t>
            </w:r>
            <w:r>
              <w:rPr>
                <w:rFonts w:hint="eastAsia" w:ascii="Times New Roman" w:hAnsi="Times New Roman" w:eastAsia="宋体" w:cs="Times New Roman"/>
                <w:iCs/>
                <w:color w:val="auto"/>
                <w:kern w:val="0"/>
                <w:sz w:val="24"/>
                <w:szCs w:val="24"/>
                <w:lang w:val="en-US" w:eastAsia="zh-CN" w:bidi="ar-SA"/>
              </w:rPr>
              <w:t>t/a</w:t>
            </w:r>
            <w:r>
              <w:rPr>
                <w:rFonts w:hint="eastAsia" w:ascii="Times New Roman" w:hAnsi="宋体" w:cs="Times New Roman"/>
                <w:iCs/>
                <w:color w:val="000000"/>
                <w:kern w:val="0"/>
                <w:sz w:val="24"/>
                <w:u w:val="none"/>
                <w:lang w:val="en-US" w:eastAsia="zh-CN"/>
              </w:rPr>
              <w:t>。</w:t>
            </w:r>
          </w:p>
          <w:p w14:paraId="706E07DF">
            <w:pPr>
              <w:keepNext w:val="0"/>
              <w:keepLines w:val="0"/>
              <w:suppressLineNumbers w:val="0"/>
              <w:snapToGrid w:val="0"/>
              <w:spacing w:before="0" w:beforeAutospacing="0" w:after="0" w:afterAutospacing="0" w:line="480" w:lineRule="exact"/>
              <w:ind w:left="0" w:right="0"/>
              <w:contextualSpacing/>
              <w:jc w:val="center"/>
              <w:rPr>
                <w:rFonts w:hint="default" w:ascii="Times New Roman" w:hAnsi="Times New Roman" w:cs="Times New Roman"/>
                <w:b/>
                <w:color w:val="000000"/>
                <w:szCs w:val="21"/>
                <w:u w:val="none"/>
              </w:rPr>
            </w:pPr>
            <w:r>
              <w:rPr>
                <w:rFonts w:hint="eastAsia" w:ascii="Times New Roman" w:hAnsi="Times New Roman" w:cs="Times New Roman"/>
                <w:b/>
                <w:color w:val="000000"/>
                <w:szCs w:val="21"/>
                <w:u w:val="none"/>
                <w:lang w:val="en-US" w:eastAsia="zh-CN"/>
              </w:rPr>
              <w:t xml:space="preserve">表 </w:t>
            </w:r>
            <w:r>
              <w:rPr>
                <w:rFonts w:hint="eastAsia" w:cs="Times New Roman"/>
                <w:b/>
                <w:color w:val="000000"/>
                <w:szCs w:val="21"/>
                <w:u w:val="none"/>
                <w:lang w:val="en-US" w:eastAsia="zh-CN"/>
              </w:rPr>
              <w:t>4</w:t>
            </w:r>
            <w:r>
              <w:rPr>
                <w:rFonts w:hint="default" w:ascii="Times New Roman" w:hAnsi="Times New Roman" w:cs="Times New Roman"/>
                <w:b/>
                <w:color w:val="000000"/>
                <w:szCs w:val="21"/>
                <w:u w:val="none"/>
                <w:lang w:val="en-US" w:eastAsia="zh-CN"/>
              </w:rPr>
              <w:t>-</w:t>
            </w:r>
            <w:r>
              <w:rPr>
                <w:rFonts w:hint="eastAsia" w:cs="Times New Roman"/>
                <w:b/>
                <w:color w:val="000000"/>
                <w:szCs w:val="21"/>
                <w:u w:val="none"/>
                <w:lang w:val="en-US" w:eastAsia="zh-CN"/>
              </w:rPr>
              <w:t>15</w:t>
            </w:r>
            <w:r>
              <w:rPr>
                <w:rFonts w:hint="default" w:ascii="Times New Roman" w:hAnsi="Times New Roman" w:cs="Times New Roman"/>
                <w:b/>
                <w:color w:val="000000"/>
                <w:szCs w:val="21"/>
                <w:u w:val="none"/>
                <w:lang w:val="en-US" w:eastAsia="zh-CN"/>
              </w:rPr>
              <w:t xml:space="preserve"> </w:t>
            </w:r>
            <w:r>
              <w:rPr>
                <w:rFonts w:hint="eastAsia" w:ascii="Times New Roman" w:hAnsi="Times New Roman" w:cs="Times New Roman"/>
                <w:b/>
                <w:color w:val="000000"/>
                <w:szCs w:val="21"/>
                <w:u w:val="none"/>
                <w:lang w:val="en-US" w:eastAsia="zh-CN"/>
              </w:rPr>
              <w:t>运营期废包装桶产生量核算表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645"/>
              <w:gridCol w:w="1162"/>
              <w:gridCol w:w="1104"/>
              <w:gridCol w:w="1554"/>
              <w:gridCol w:w="1594"/>
              <w:gridCol w:w="1420"/>
            </w:tblGrid>
            <w:tr w14:paraId="536E20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51AB36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原料</w:t>
                  </w:r>
                </w:p>
              </w:tc>
              <w:tc>
                <w:tcPr>
                  <w:tcW w:w="685" w:type="pct"/>
                  <w:tcBorders>
                    <w:tl2br w:val="nil"/>
                    <w:tr2bl w:val="nil"/>
                  </w:tcBorders>
                  <w:shd w:val="clear" w:color="auto" w:fill="auto"/>
                  <w:vAlign w:val="center"/>
                </w:tcPr>
                <w:p w14:paraId="04E00E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用量(t/a)</w:t>
                  </w:r>
                </w:p>
              </w:tc>
              <w:tc>
                <w:tcPr>
                  <w:tcW w:w="651" w:type="pct"/>
                  <w:tcBorders>
                    <w:tl2br w:val="nil"/>
                    <w:tr2bl w:val="nil"/>
                  </w:tcBorders>
                  <w:shd w:val="clear" w:color="auto" w:fill="auto"/>
                  <w:vAlign w:val="center"/>
                </w:tcPr>
                <w:p w14:paraId="1D7939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规格</w:t>
                  </w:r>
                </w:p>
              </w:tc>
              <w:tc>
                <w:tcPr>
                  <w:tcW w:w="916" w:type="pct"/>
                  <w:tcBorders>
                    <w:tl2br w:val="nil"/>
                    <w:tr2bl w:val="nil"/>
                  </w:tcBorders>
                  <w:shd w:val="clear" w:color="auto" w:fill="auto"/>
                  <w:vAlign w:val="center"/>
                </w:tcPr>
                <w:p w14:paraId="2596F47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废桶数量(桶)</w:t>
                  </w:r>
                </w:p>
              </w:tc>
              <w:tc>
                <w:tcPr>
                  <w:tcW w:w="939" w:type="pct"/>
                  <w:tcBorders>
                    <w:tl2br w:val="nil"/>
                    <w:tr2bl w:val="nil"/>
                  </w:tcBorders>
                  <w:shd w:val="clear" w:color="auto" w:fill="auto"/>
                  <w:vAlign w:val="center"/>
                </w:tcPr>
                <w:p w14:paraId="4E342A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废桶重量(kg)</w:t>
                  </w:r>
                </w:p>
              </w:tc>
              <w:tc>
                <w:tcPr>
                  <w:tcW w:w="837" w:type="pct"/>
                  <w:tcBorders>
                    <w:tl2br w:val="nil"/>
                    <w:tr2bl w:val="nil"/>
                  </w:tcBorders>
                  <w:shd w:val="clear" w:color="auto" w:fill="auto"/>
                  <w:vAlign w:val="center"/>
                </w:tcPr>
                <w:p w14:paraId="5BAAFD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4"/>
                      <w:rFonts w:hint="default" w:ascii="Times New Roman" w:hAnsi="Times New Roman" w:eastAsia="宋体" w:cs="Times New Roman"/>
                      <w:b w:val="0"/>
                      <w:bCs w:val="0"/>
                      <w:sz w:val="21"/>
                      <w:szCs w:val="21"/>
                      <w:lang w:val="en-US" w:eastAsia="zh-CN" w:bidi="ar"/>
                    </w:rPr>
                    <w:t>总重量(t/a)</w:t>
                  </w:r>
                </w:p>
              </w:tc>
            </w:tr>
            <w:tr w14:paraId="6C0D2B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783B6C7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凹版油墨</w:t>
                  </w:r>
                </w:p>
              </w:tc>
              <w:tc>
                <w:tcPr>
                  <w:tcW w:w="685" w:type="pct"/>
                  <w:tcBorders>
                    <w:tl2br w:val="nil"/>
                    <w:tr2bl w:val="nil"/>
                  </w:tcBorders>
                  <w:shd w:val="clear" w:color="auto" w:fill="auto"/>
                  <w:vAlign w:val="center"/>
                </w:tcPr>
                <w:p w14:paraId="4E58AD3E">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auto"/>
                      <w:sz w:val="21"/>
                      <w:szCs w:val="21"/>
                      <w:u w:val="none"/>
                      <w:lang w:val="en-US"/>
                    </w:rPr>
                  </w:pPr>
                  <w:r>
                    <w:rPr>
                      <w:rFonts w:hint="eastAsia" w:cs="Times New Roman"/>
                      <w:b w:val="0"/>
                      <w:bCs w:val="0"/>
                      <w:i w:val="0"/>
                      <w:iCs w:val="0"/>
                      <w:color w:val="auto"/>
                      <w:kern w:val="0"/>
                      <w:sz w:val="21"/>
                      <w:szCs w:val="21"/>
                      <w:u w:val="none"/>
                      <w:lang w:val="en-US" w:eastAsia="zh-CN" w:bidi="ar"/>
                    </w:rPr>
                    <w:t>0.5</w:t>
                  </w:r>
                </w:p>
              </w:tc>
              <w:tc>
                <w:tcPr>
                  <w:tcW w:w="651" w:type="pct"/>
                  <w:tcBorders>
                    <w:tl2br w:val="nil"/>
                    <w:tr2bl w:val="nil"/>
                  </w:tcBorders>
                  <w:shd w:val="clear" w:color="auto" w:fill="auto"/>
                  <w:vAlign w:val="center"/>
                </w:tcPr>
                <w:p w14:paraId="203AF6C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18kg/桶</w:t>
                  </w:r>
                </w:p>
              </w:tc>
              <w:tc>
                <w:tcPr>
                  <w:tcW w:w="916" w:type="pct"/>
                  <w:tcBorders>
                    <w:tl2br w:val="nil"/>
                    <w:tr2bl w:val="nil"/>
                  </w:tcBorders>
                  <w:shd w:val="clear" w:color="auto" w:fill="auto"/>
                  <w:vAlign w:val="center"/>
                </w:tcPr>
                <w:p w14:paraId="575E57A8">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28</w:t>
                  </w:r>
                </w:p>
              </w:tc>
              <w:tc>
                <w:tcPr>
                  <w:tcW w:w="939" w:type="pct"/>
                  <w:tcBorders>
                    <w:tl2br w:val="nil"/>
                    <w:tr2bl w:val="nil"/>
                  </w:tcBorders>
                  <w:shd w:val="clear" w:color="auto" w:fill="auto"/>
                  <w:vAlign w:val="center"/>
                </w:tcPr>
                <w:p w14:paraId="00DECF3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1420" w:type="dxa"/>
                  <w:tcBorders>
                    <w:tl2br w:val="nil"/>
                    <w:tr2bl w:val="nil"/>
                  </w:tcBorders>
                  <w:shd w:val="clear" w:color="auto" w:fill="auto"/>
                  <w:vAlign w:val="center"/>
                </w:tcPr>
                <w:p w14:paraId="5CA1E9A0">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0.014</w:t>
                  </w:r>
                </w:p>
              </w:tc>
            </w:tr>
            <w:tr w14:paraId="5C3199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530D9D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聚氨酯胶粘剂</w:t>
                  </w:r>
                </w:p>
              </w:tc>
              <w:tc>
                <w:tcPr>
                  <w:tcW w:w="685" w:type="pct"/>
                  <w:tcBorders>
                    <w:tl2br w:val="nil"/>
                    <w:tr2bl w:val="nil"/>
                  </w:tcBorders>
                  <w:shd w:val="clear" w:color="auto" w:fill="auto"/>
                  <w:vAlign w:val="center"/>
                </w:tcPr>
                <w:p w14:paraId="14F71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ascii="Times New Roman" w:hAnsi="Times New Roman" w:eastAsia="宋体" w:cs="Times New Roman"/>
                      <w:b w:val="0"/>
                      <w:bCs w:val="0"/>
                      <w:i w:val="0"/>
                      <w:iCs w:val="0"/>
                      <w:color w:val="auto"/>
                      <w:kern w:val="0"/>
                      <w:sz w:val="21"/>
                      <w:szCs w:val="21"/>
                      <w:u w:val="none"/>
                      <w:lang w:val="en-US" w:eastAsia="zh-CN" w:bidi="ar"/>
                    </w:rPr>
                    <w:t>2</w:t>
                  </w:r>
                </w:p>
              </w:tc>
              <w:tc>
                <w:tcPr>
                  <w:tcW w:w="651" w:type="pct"/>
                  <w:tcBorders>
                    <w:tl2br w:val="nil"/>
                    <w:tr2bl w:val="nil"/>
                  </w:tcBorders>
                  <w:shd w:val="clear" w:color="auto" w:fill="auto"/>
                  <w:vAlign w:val="center"/>
                </w:tcPr>
                <w:p w14:paraId="2F983F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20kg/桶</w:t>
                  </w:r>
                </w:p>
              </w:tc>
              <w:tc>
                <w:tcPr>
                  <w:tcW w:w="916" w:type="pct"/>
                  <w:tcBorders>
                    <w:tl2br w:val="nil"/>
                    <w:tr2bl w:val="nil"/>
                  </w:tcBorders>
                  <w:shd w:val="clear" w:color="auto" w:fill="auto"/>
                  <w:vAlign w:val="center"/>
                </w:tcPr>
                <w:p w14:paraId="20179B8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204040"/>
                      <w:sz w:val="21"/>
                      <w:szCs w:val="21"/>
                      <w:u w:val="none"/>
                      <w:lang w:val="en-US" w:eastAsia="zh-CN"/>
                    </w:rPr>
                  </w:pPr>
                  <w:r>
                    <w:rPr>
                      <w:rFonts w:hint="eastAsia" w:cs="Times New Roman"/>
                      <w:b w:val="0"/>
                      <w:bCs w:val="0"/>
                      <w:i w:val="0"/>
                      <w:iCs w:val="0"/>
                      <w:color w:val="204040"/>
                      <w:sz w:val="21"/>
                      <w:szCs w:val="21"/>
                      <w:u w:val="none"/>
                      <w:lang w:val="en-US" w:eastAsia="zh-CN"/>
                    </w:rPr>
                    <w:t>100</w:t>
                  </w:r>
                </w:p>
              </w:tc>
              <w:tc>
                <w:tcPr>
                  <w:tcW w:w="939" w:type="pct"/>
                  <w:tcBorders>
                    <w:tl2br w:val="nil"/>
                    <w:tr2bl w:val="nil"/>
                  </w:tcBorders>
                  <w:shd w:val="clear" w:color="auto" w:fill="auto"/>
                  <w:vAlign w:val="center"/>
                </w:tcPr>
                <w:p w14:paraId="38FCA2B2">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1420" w:type="dxa"/>
                  <w:tcBorders>
                    <w:tl2br w:val="nil"/>
                    <w:tr2bl w:val="nil"/>
                  </w:tcBorders>
                  <w:shd w:val="clear" w:color="auto" w:fill="auto"/>
                  <w:vAlign w:val="center"/>
                </w:tcPr>
                <w:p w14:paraId="29D4C0B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0.05</w:t>
                  </w:r>
                </w:p>
              </w:tc>
            </w:tr>
            <w:tr w14:paraId="2BF154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07FC243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聚氨酯固化剂</w:t>
                  </w:r>
                </w:p>
              </w:tc>
              <w:tc>
                <w:tcPr>
                  <w:tcW w:w="685" w:type="pct"/>
                  <w:tcBorders>
                    <w:tl2br w:val="nil"/>
                    <w:tr2bl w:val="nil"/>
                  </w:tcBorders>
                  <w:shd w:val="clear" w:color="auto" w:fill="auto"/>
                  <w:vAlign w:val="center"/>
                </w:tcPr>
                <w:p w14:paraId="47ABD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0.4</w:t>
                  </w:r>
                </w:p>
              </w:tc>
              <w:tc>
                <w:tcPr>
                  <w:tcW w:w="651" w:type="pct"/>
                  <w:tcBorders>
                    <w:tl2br w:val="nil"/>
                    <w:tr2bl w:val="nil"/>
                  </w:tcBorders>
                  <w:shd w:val="clear" w:color="auto" w:fill="auto"/>
                  <w:vAlign w:val="center"/>
                </w:tcPr>
                <w:p w14:paraId="50F8E6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4kg/桶</w:t>
                  </w:r>
                </w:p>
              </w:tc>
              <w:tc>
                <w:tcPr>
                  <w:tcW w:w="916" w:type="pct"/>
                  <w:tcBorders>
                    <w:tl2br w:val="nil"/>
                    <w:tr2bl w:val="nil"/>
                  </w:tcBorders>
                  <w:shd w:val="clear" w:color="auto" w:fill="auto"/>
                  <w:vAlign w:val="center"/>
                </w:tcPr>
                <w:p w14:paraId="6B47BF70">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204040"/>
                      <w:sz w:val="21"/>
                      <w:szCs w:val="21"/>
                      <w:u w:val="none"/>
                      <w:lang w:val="en-US" w:eastAsia="zh-CN"/>
                    </w:rPr>
                  </w:pPr>
                  <w:r>
                    <w:rPr>
                      <w:rFonts w:hint="eastAsia" w:cs="Times New Roman"/>
                      <w:b w:val="0"/>
                      <w:bCs w:val="0"/>
                      <w:i w:val="0"/>
                      <w:iCs w:val="0"/>
                      <w:color w:val="204040"/>
                      <w:sz w:val="21"/>
                      <w:szCs w:val="21"/>
                      <w:u w:val="none"/>
                      <w:lang w:val="en-US" w:eastAsia="zh-CN"/>
                    </w:rPr>
                    <w:t>100</w:t>
                  </w:r>
                </w:p>
              </w:tc>
              <w:tc>
                <w:tcPr>
                  <w:tcW w:w="939" w:type="pct"/>
                  <w:tcBorders>
                    <w:tl2br w:val="nil"/>
                    <w:tr2bl w:val="nil"/>
                  </w:tcBorders>
                  <w:shd w:val="clear" w:color="auto" w:fill="auto"/>
                  <w:vAlign w:val="center"/>
                </w:tcPr>
                <w:p w14:paraId="538A0580">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0.2</w:t>
                  </w:r>
                </w:p>
              </w:tc>
              <w:tc>
                <w:tcPr>
                  <w:tcW w:w="1420" w:type="dxa"/>
                  <w:tcBorders>
                    <w:tl2br w:val="nil"/>
                    <w:tr2bl w:val="nil"/>
                  </w:tcBorders>
                  <w:shd w:val="clear" w:color="auto" w:fill="auto"/>
                  <w:vAlign w:val="center"/>
                </w:tcPr>
                <w:p w14:paraId="456DB9DA">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0.02</w:t>
                  </w:r>
                </w:p>
              </w:tc>
            </w:tr>
            <w:tr w14:paraId="453AE6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2ECFDE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无溶剂聚氨酯</w:t>
                  </w:r>
                  <w:r>
                    <w:rPr>
                      <w:rStyle w:val="155"/>
                      <w:rFonts w:hint="default" w:ascii="Times New Roman" w:hAnsi="Times New Roman" w:eastAsia="宋体" w:cs="Times New Roman"/>
                      <w:b w:val="0"/>
                      <w:bCs w:val="0"/>
                      <w:sz w:val="21"/>
                      <w:szCs w:val="21"/>
                      <w:lang w:val="en-US" w:eastAsia="zh-CN" w:bidi="ar"/>
                    </w:rPr>
                    <w:br w:type="textWrapping"/>
                  </w:r>
                  <w:r>
                    <w:rPr>
                      <w:rStyle w:val="155"/>
                      <w:rFonts w:hint="default" w:ascii="Times New Roman" w:hAnsi="Times New Roman" w:eastAsia="宋体" w:cs="Times New Roman"/>
                      <w:b w:val="0"/>
                      <w:bCs w:val="0"/>
                      <w:sz w:val="21"/>
                      <w:szCs w:val="21"/>
                      <w:lang w:val="en-US" w:eastAsia="zh-CN" w:bidi="ar"/>
                    </w:rPr>
                    <w:t>胶粘剂</w:t>
                  </w:r>
                </w:p>
              </w:tc>
              <w:tc>
                <w:tcPr>
                  <w:tcW w:w="685" w:type="pct"/>
                  <w:tcBorders>
                    <w:tl2br w:val="nil"/>
                    <w:tr2bl w:val="nil"/>
                  </w:tcBorders>
                  <w:shd w:val="clear" w:color="auto" w:fill="auto"/>
                  <w:vAlign w:val="center"/>
                </w:tcPr>
                <w:p w14:paraId="79FFDD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ascii="Times New Roman" w:hAnsi="Times New Roman" w:eastAsia="宋体" w:cs="Times New Roman"/>
                      <w:b w:val="0"/>
                      <w:bCs w:val="0"/>
                      <w:i w:val="0"/>
                      <w:iCs w:val="0"/>
                      <w:color w:val="auto"/>
                      <w:kern w:val="0"/>
                      <w:sz w:val="21"/>
                      <w:szCs w:val="21"/>
                      <w:u w:val="none"/>
                      <w:lang w:val="en-US" w:eastAsia="zh-CN" w:bidi="ar"/>
                    </w:rPr>
                    <w:t>25</w:t>
                  </w:r>
                </w:p>
              </w:tc>
              <w:tc>
                <w:tcPr>
                  <w:tcW w:w="651" w:type="pct"/>
                  <w:tcBorders>
                    <w:tl2br w:val="nil"/>
                    <w:tr2bl w:val="nil"/>
                  </w:tcBorders>
                  <w:shd w:val="clear" w:color="auto" w:fill="auto"/>
                  <w:vAlign w:val="center"/>
                </w:tcPr>
                <w:p w14:paraId="5050097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20kg/桶</w:t>
                  </w:r>
                </w:p>
              </w:tc>
              <w:tc>
                <w:tcPr>
                  <w:tcW w:w="916" w:type="pct"/>
                  <w:tcBorders>
                    <w:tl2br w:val="nil"/>
                    <w:tr2bl w:val="nil"/>
                  </w:tcBorders>
                  <w:shd w:val="clear" w:color="auto" w:fill="auto"/>
                  <w:vAlign w:val="center"/>
                </w:tcPr>
                <w:p w14:paraId="650F7E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205050"/>
                      <w:sz w:val="21"/>
                      <w:szCs w:val="21"/>
                      <w:u w:val="none"/>
                      <w:lang w:val="en-US" w:eastAsia="zh-CN"/>
                    </w:rPr>
                  </w:pPr>
                  <w:r>
                    <w:rPr>
                      <w:rFonts w:hint="eastAsia" w:cs="Times New Roman"/>
                      <w:b w:val="0"/>
                      <w:bCs w:val="0"/>
                      <w:i w:val="0"/>
                      <w:iCs w:val="0"/>
                      <w:color w:val="205050"/>
                      <w:sz w:val="21"/>
                      <w:szCs w:val="21"/>
                      <w:u w:val="none"/>
                      <w:lang w:val="en-US" w:eastAsia="zh-CN"/>
                    </w:rPr>
                    <w:t>1250</w:t>
                  </w:r>
                </w:p>
              </w:tc>
              <w:tc>
                <w:tcPr>
                  <w:tcW w:w="939" w:type="pct"/>
                  <w:tcBorders>
                    <w:tl2br w:val="nil"/>
                    <w:tr2bl w:val="nil"/>
                  </w:tcBorders>
                  <w:shd w:val="clear" w:color="auto" w:fill="auto"/>
                  <w:vAlign w:val="center"/>
                </w:tcPr>
                <w:p w14:paraId="4F0A3B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1420" w:type="dxa"/>
                  <w:tcBorders>
                    <w:tl2br w:val="nil"/>
                    <w:tr2bl w:val="nil"/>
                  </w:tcBorders>
                  <w:shd w:val="clear" w:color="auto" w:fill="auto"/>
                  <w:vAlign w:val="center"/>
                </w:tcPr>
                <w:p w14:paraId="1E368ACF">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0.625</w:t>
                  </w:r>
                </w:p>
              </w:tc>
            </w:tr>
            <w:tr w14:paraId="2DDDBB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2FE16B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乙酸乙酯</w:t>
                  </w:r>
                </w:p>
              </w:tc>
              <w:tc>
                <w:tcPr>
                  <w:tcW w:w="685" w:type="pct"/>
                  <w:tcBorders>
                    <w:tl2br w:val="nil"/>
                    <w:tr2bl w:val="nil"/>
                  </w:tcBorders>
                  <w:shd w:val="clear" w:color="auto" w:fill="auto"/>
                  <w:vAlign w:val="center"/>
                </w:tcPr>
                <w:p w14:paraId="16B9A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auto"/>
                      <w:sz w:val="21"/>
                      <w:szCs w:val="21"/>
                      <w:u w:val="none"/>
                      <w:lang w:val="en-US"/>
                    </w:rPr>
                  </w:pPr>
                  <w:r>
                    <w:rPr>
                      <w:rFonts w:hint="eastAsia" w:cs="Times New Roman"/>
                      <w:b w:val="0"/>
                      <w:bCs w:val="0"/>
                      <w:i w:val="0"/>
                      <w:iCs w:val="0"/>
                      <w:color w:val="auto"/>
                      <w:kern w:val="0"/>
                      <w:sz w:val="21"/>
                      <w:szCs w:val="21"/>
                      <w:u w:val="none"/>
                      <w:lang w:val="en-US" w:eastAsia="zh-CN" w:bidi="ar"/>
                    </w:rPr>
                    <w:t>2.5</w:t>
                  </w:r>
                </w:p>
              </w:tc>
              <w:tc>
                <w:tcPr>
                  <w:tcW w:w="651" w:type="pct"/>
                  <w:tcBorders>
                    <w:tl2br w:val="nil"/>
                    <w:tr2bl w:val="nil"/>
                  </w:tcBorders>
                  <w:shd w:val="clear" w:color="auto" w:fill="auto"/>
                  <w:vAlign w:val="center"/>
                </w:tcPr>
                <w:p w14:paraId="1E6E4F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180kg/桶</w:t>
                  </w:r>
                </w:p>
              </w:tc>
              <w:tc>
                <w:tcPr>
                  <w:tcW w:w="916" w:type="pct"/>
                  <w:tcBorders>
                    <w:tl2br w:val="nil"/>
                    <w:tr2bl w:val="nil"/>
                  </w:tcBorders>
                  <w:shd w:val="clear" w:color="auto" w:fill="auto"/>
                  <w:vAlign w:val="center"/>
                </w:tcPr>
                <w:p w14:paraId="64E72DCF">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14</w:t>
                  </w:r>
                </w:p>
              </w:tc>
              <w:tc>
                <w:tcPr>
                  <w:tcW w:w="939" w:type="pct"/>
                  <w:tcBorders>
                    <w:tl2br w:val="nil"/>
                    <w:tr2bl w:val="nil"/>
                  </w:tcBorders>
                  <w:shd w:val="clear" w:color="auto" w:fill="auto"/>
                  <w:vAlign w:val="center"/>
                </w:tcPr>
                <w:p w14:paraId="0EA4327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1.5</w:t>
                  </w:r>
                </w:p>
              </w:tc>
              <w:tc>
                <w:tcPr>
                  <w:tcW w:w="1420" w:type="dxa"/>
                  <w:tcBorders>
                    <w:tl2br w:val="nil"/>
                    <w:tr2bl w:val="nil"/>
                  </w:tcBorders>
                  <w:shd w:val="clear" w:color="auto" w:fill="auto"/>
                  <w:vAlign w:val="center"/>
                </w:tcPr>
                <w:p w14:paraId="0FD19770">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0.021</w:t>
                  </w:r>
                </w:p>
              </w:tc>
            </w:tr>
            <w:tr w14:paraId="53975D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5FD5EA8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铝箔油墨</w:t>
                  </w:r>
                </w:p>
              </w:tc>
              <w:tc>
                <w:tcPr>
                  <w:tcW w:w="685" w:type="pct"/>
                  <w:tcBorders>
                    <w:tl2br w:val="nil"/>
                    <w:tr2bl w:val="nil"/>
                  </w:tcBorders>
                  <w:shd w:val="clear" w:color="auto" w:fill="auto"/>
                  <w:vAlign w:val="center"/>
                </w:tcPr>
                <w:p w14:paraId="75E04D37">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auto"/>
                      <w:sz w:val="21"/>
                      <w:szCs w:val="21"/>
                      <w:u w:val="none"/>
                      <w:lang w:val="en-US"/>
                    </w:rPr>
                  </w:pPr>
                  <w:r>
                    <w:rPr>
                      <w:rFonts w:hint="eastAsia" w:cs="Times New Roman"/>
                      <w:b w:val="0"/>
                      <w:bCs w:val="0"/>
                      <w:i w:val="0"/>
                      <w:iCs w:val="0"/>
                      <w:color w:val="auto"/>
                      <w:kern w:val="0"/>
                      <w:sz w:val="21"/>
                      <w:szCs w:val="21"/>
                      <w:u w:val="none"/>
                      <w:lang w:val="en-US" w:eastAsia="zh-CN" w:bidi="ar"/>
                    </w:rPr>
                    <w:t>0.2</w:t>
                  </w:r>
                </w:p>
              </w:tc>
              <w:tc>
                <w:tcPr>
                  <w:tcW w:w="651" w:type="pct"/>
                  <w:tcBorders>
                    <w:tl2br w:val="nil"/>
                    <w:tr2bl w:val="nil"/>
                  </w:tcBorders>
                  <w:shd w:val="clear" w:color="auto" w:fill="auto"/>
                  <w:vAlign w:val="center"/>
                </w:tcPr>
                <w:p w14:paraId="5BDD7A0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18kg/桶</w:t>
                  </w:r>
                </w:p>
              </w:tc>
              <w:tc>
                <w:tcPr>
                  <w:tcW w:w="916" w:type="pct"/>
                  <w:tcBorders>
                    <w:tl2br w:val="nil"/>
                    <w:tr2bl w:val="nil"/>
                  </w:tcBorders>
                  <w:shd w:val="clear" w:color="auto" w:fill="auto"/>
                  <w:vAlign w:val="center"/>
                </w:tcPr>
                <w:p w14:paraId="545A47B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12</w:t>
                  </w:r>
                </w:p>
              </w:tc>
              <w:tc>
                <w:tcPr>
                  <w:tcW w:w="939" w:type="pct"/>
                  <w:tcBorders>
                    <w:tl2br w:val="nil"/>
                    <w:tr2bl w:val="nil"/>
                  </w:tcBorders>
                  <w:shd w:val="clear" w:color="auto" w:fill="auto"/>
                  <w:vAlign w:val="center"/>
                </w:tcPr>
                <w:p w14:paraId="4796DBC4">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1420" w:type="dxa"/>
                  <w:tcBorders>
                    <w:tl2br w:val="nil"/>
                    <w:tr2bl w:val="nil"/>
                  </w:tcBorders>
                  <w:shd w:val="clear" w:color="auto" w:fill="auto"/>
                  <w:vAlign w:val="center"/>
                </w:tcPr>
                <w:p w14:paraId="638AD3C5">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0.006</w:t>
                  </w:r>
                </w:p>
              </w:tc>
            </w:tr>
            <w:tr w14:paraId="111002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6B7877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OP保护剂</w:t>
                  </w:r>
                </w:p>
              </w:tc>
              <w:tc>
                <w:tcPr>
                  <w:tcW w:w="1162" w:type="dxa"/>
                  <w:tcBorders>
                    <w:tl2br w:val="nil"/>
                    <w:tr2bl w:val="nil"/>
                  </w:tcBorders>
                  <w:shd w:val="clear" w:color="auto" w:fill="auto"/>
                  <w:vAlign w:val="center"/>
                </w:tcPr>
                <w:p w14:paraId="74A9F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ascii="Times New Roman" w:hAnsi="Times New Roman" w:eastAsia="宋体" w:cs="Times New Roman"/>
                      <w:b w:val="0"/>
                      <w:bCs w:val="0"/>
                      <w:i w:val="0"/>
                      <w:iCs w:val="0"/>
                      <w:color w:val="0000FF"/>
                      <w:sz w:val="21"/>
                      <w:szCs w:val="21"/>
                      <w:u w:val="none"/>
                    </w:rPr>
                  </w:pPr>
                  <w:r>
                    <w:rPr>
                      <w:rFonts w:hint="eastAsia" w:cs="Times New Roman"/>
                      <w:b w:val="0"/>
                      <w:bCs w:val="0"/>
                      <w:i w:val="0"/>
                      <w:iCs w:val="0"/>
                      <w:color w:val="auto"/>
                      <w:kern w:val="0"/>
                      <w:sz w:val="21"/>
                      <w:szCs w:val="21"/>
                      <w:u w:val="none"/>
                      <w:lang w:val="en-US" w:eastAsia="zh-CN" w:bidi="ar"/>
                    </w:rPr>
                    <w:t>0.5</w:t>
                  </w:r>
                  <w:r>
                    <w:rPr>
                      <w:rFonts w:hint="default" w:ascii="Times New Roman" w:hAnsi="Times New Roman" w:eastAsia="宋体" w:cs="Times New Roman"/>
                      <w:b w:val="0"/>
                      <w:bCs w:val="0"/>
                      <w:i w:val="0"/>
                      <w:iCs w:val="0"/>
                      <w:color w:val="auto"/>
                      <w:kern w:val="0"/>
                      <w:sz w:val="21"/>
                      <w:szCs w:val="21"/>
                      <w:u w:val="none"/>
                      <w:lang w:val="en-US" w:eastAsia="zh-CN" w:bidi="ar"/>
                    </w:rPr>
                    <w:t>0</w:t>
                  </w:r>
                </w:p>
              </w:tc>
              <w:tc>
                <w:tcPr>
                  <w:tcW w:w="651" w:type="pct"/>
                  <w:tcBorders>
                    <w:tl2br w:val="nil"/>
                    <w:tr2bl w:val="nil"/>
                  </w:tcBorders>
                  <w:shd w:val="clear" w:color="auto" w:fill="auto"/>
                  <w:vAlign w:val="center"/>
                </w:tcPr>
                <w:p w14:paraId="1C02F2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180kg/桶</w:t>
                  </w:r>
                </w:p>
              </w:tc>
              <w:tc>
                <w:tcPr>
                  <w:tcW w:w="916" w:type="pct"/>
                  <w:tcBorders>
                    <w:tl2br w:val="nil"/>
                    <w:tr2bl w:val="nil"/>
                  </w:tcBorders>
                  <w:shd w:val="clear" w:color="auto" w:fill="auto"/>
                  <w:vAlign w:val="center"/>
                </w:tcPr>
                <w:p w14:paraId="2E5573B2">
                  <w:pPr>
                    <w:keepNext w:val="0"/>
                    <w:keepLines w:val="0"/>
                    <w:widowControl/>
                    <w:suppressLineNumbers w:val="0"/>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306040"/>
                      <w:sz w:val="21"/>
                      <w:szCs w:val="21"/>
                      <w:u w:val="none"/>
                      <w:lang w:val="en-US" w:eastAsia="zh-CN"/>
                    </w:rPr>
                  </w:pPr>
                  <w:r>
                    <w:rPr>
                      <w:rFonts w:hint="eastAsia" w:cs="Times New Roman"/>
                      <w:b w:val="0"/>
                      <w:bCs w:val="0"/>
                      <w:i w:val="0"/>
                      <w:iCs w:val="0"/>
                      <w:color w:val="306040"/>
                      <w:sz w:val="21"/>
                      <w:szCs w:val="21"/>
                      <w:u w:val="none"/>
                      <w:lang w:val="en-US" w:eastAsia="zh-CN"/>
                    </w:rPr>
                    <w:t>3</w:t>
                  </w:r>
                </w:p>
              </w:tc>
              <w:tc>
                <w:tcPr>
                  <w:tcW w:w="939" w:type="pct"/>
                  <w:tcBorders>
                    <w:tl2br w:val="nil"/>
                    <w:tr2bl w:val="nil"/>
                  </w:tcBorders>
                  <w:shd w:val="clear" w:color="auto" w:fill="auto"/>
                  <w:vAlign w:val="center"/>
                </w:tcPr>
                <w:p w14:paraId="0CD63CDF">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1.5</w:t>
                  </w:r>
                </w:p>
              </w:tc>
              <w:tc>
                <w:tcPr>
                  <w:tcW w:w="1420" w:type="dxa"/>
                  <w:tcBorders>
                    <w:tl2br w:val="nil"/>
                    <w:tr2bl w:val="nil"/>
                  </w:tcBorders>
                  <w:shd w:val="clear" w:color="auto" w:fill="auto"/>
                  <w:vAlign w:val="center"/>
                </w:tcPr>
                <w:p w14:paraId="0CE49DD2">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0.0045</w:t>
                  </w:r>
                </w:p>
              </w:tc>
            </w:tr>
            <w:tr w14:paraId="488779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07AD85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VC胶粘剂</w:t>
                  </w:r>
                </w:p>
              </w:tc>
              <w:tc>
                <w:tcPr>
                  <w:tcW w:w="1162" w:type="dxa"/>
                  <w:tcBorders>
                    <w:tl2br w:val="nil"/>
                    <w:tr2bl w:val="nil"/>
                  </w:tcBorders>
                  <w:shd w:val="clear" w:color="auto" w:fill="auto"/>
                  <w:vAlign w:val="center"/>
                </w:tcPr>
                <w:p w14:paraId="2973E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2</w:t>
                  </w:r>
                  <w:r>
                    <w:rPr>
                      <w:rFonts w:hint="default" w:cs="Times New Roman"/>
                      <w:b w:val="0"/>
                      <w:bCs w:val="0"/>
                      <w:i w:val="0"/>
                      <w:iCs w:val="0"/>
                      <w:color w:val="auto"/>
                      <w:kern w:val="0"/>
                      <w:sz w:val="21"/>
                      <w:szCs w:val="21"/>
                      <w:u w:val="none"/>
                      <w:lang w:val="en-US" w:eastAsia="zh-CN" w:bidi="ar"/>
                    </w:rPr>
                    <w:t>.00</w:t>
                  </w:r>
                </w:p>
              </w:tc>
              <w:tc>
                <w:tcPr>
                  <w:tcW w:w="651" w:type="pct"/>
                  <w:tcBorders>
                    <w:tl2br w:val="nil"/>
                    <w:tr2bl w:val="nil"/>
                  </w:tcBorders>
                  <w:shd w:val="clear" w:color="auto" w:fill="auto"/>
                  <w:vAlign w:val="center"/>
                </w:tcPr>
                <w:p w14:paraId="7DF185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180kg/桶</w:t>
                  </w:r>
                </w:p>
              </w:tc>
              <w:tc>
                <w:tcPr>
                  <w:tcW w:w="916" w:type="pct"/>
                  <w:tcBorders>
                    <w:tl2br w:val="nil"/>
                    <w:tr2bl w:val="nil"/>
                  </w:tcBorders>
                  <w:shd w:val="clear" w:color="auto" w:fill="auto"/>
                  <w:vAlign w:val="center"/>
                </w:tcPr>
                <w:p w14:paraId="0C74EC2B">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12</w:t>
                  </w:r>
                </w:p>
              </w:tc>
              <w:tc>
                <w:tcPr>
                  <w:tcW w:w="939" w:type="pct"/>
                  <w:tcBorders>
                    <w:tl2br w:val="nil"/>
                    <w:tr2bl w:val="nil"/>
                  </w:tcBorders>
                  <w:shd w:val="clear" w:color="auto" w:fill="auto"/>
                  <w:vAlign w:val="center"/>
                </w:tcPr>
                <w:p w14:paraId="754E2F6A">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1.5</w:t>
                  </w:r>
                </w:p>
              </w:tc>
              <w:tc>
                <w:tcPr>
                  <w:tcW w:w="1420" w:type="dxa"/>
                  <w:tcBorders>
                    <w:tl2br w:val="nil"/>
                    <w:tr2bl w:val="nil"/>
                  </w:tcBorders>
                  <w:shd w:val="clear" w:color="auto" w:fill="auto"/>
                  <w:vAlign w:val="center"/>
                </w:tcPr>
                <w:p w14:paraId="653F3FEE">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0.018</w:t>
                  </w:r>
                </w:p>
              </w:tc>
            </w:tr>
            <w:tr w14:paraId="28E707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70" w:type="pct"/>
                  <w:tcBorders>
                    <w:tl2br w:val="nil"/>
                    <w:tr2bl w:val="nil"/>
                  </w:tcBorders>
                  <w:shd w:val="clear" w:color="auto" w:fill="auto"/>
                  <w:vAlign w:val="center"/>
                </w:tcPr>
                <w:p w14:paraId="69E0EAED">
                  <w:pPr>
                    <w:keepNext w:val="0"/>
                    <w:keepLines w:val="0"/>
                    <w:widowControl/>
                    <w:suppressLineNumbers w:val="0"/>
                    <w:spacing w:before="0" w:beforeAutospacing="0" w:after="0" w:afterAutospacing="0"/>
                    <w:ind w:left="0" w:right="0"/>
                    <w:jc w:val="center"/>
                    <w:textAlignment w:val="center"/>
                    <w:rPr>
                      <w:rStyle w:val="155"/>
                      <w:rFonts w:hint="default" w:ascii="Times New Roman" w:hAnsi="Times New Roman" w:eastAsia="宋体" w:cs="Times New Roman"/>
                      <w:b w:val="0"/>
                      <w:bCs w:val="0"/>
                      <w:sz w:val="21"/>
                      <w:szCs w:val="21"/>
                      <w:lang w:val="en-US" w:eastAsia="zh-CN" w:bidi="ar"/>
                    </w:rPr>
                  </w:pPr>
                  <w:r>
                    <w:rPr>
                      <w:rStyle w:val="155"/>
                      <w:rFonts w:hint="eastAsia" w:ascii="Times New Roman" w:hAnsi="Times New Roman" w:eastAsia="宋体" w:cs="Times New Roman"/>
                      <w:b w:val="0"/>
                      <w:bCs w:val="0"/>
                      <w:sz w:val="21"/>
                      <w:szCs w:val="21"/>
                      <w:lang w:val="en-US" w:eastAsia="zh-CN" w:bidi="ar"/>
                    </w:rPr>
                    <w:t>机油</w:t>
                  </w:r>
                </w:p>
              </w:tc>
              <w:tc>
                <w:tcPr>
                  <w:tcW w:w="685" w:type="pct"/>
                  <w:tcBorders>
                    <w:tl2br w:val="nil"/>
                    <w:tr2bl w:val="nil"/>
                  </w:tcBorders>
                  <w:shd w:val="clear" w:color="auto" w:fill="auto"/>
                  <w:vAlign w:val="center"/>
                </w:tcPr>
                <w:p w14:paraId="084D3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center"/>
                    <w:rPr>
                      <w:rFonts w:hint="default"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0.5</w:t>
                  </w:r>
                </w:p>
              </w:tc>
              <w:tc>
                <w:tcPr>
                  <w:tcW w:w="651" w:type="pct"/>
                  <w:tcBorders>
                    <w:tl2br w:val="nil"/>
                    <w:tr2bl w:val="nil"/>
                  </w:tcBorders>
                  <w:shd w:val="clear" w:color="auto" w:fill="auto"/>
                  <w:vAlign w:val="center"/>
                </w:tcPr>
                <w:p w14:paraId="41F727C2">
                  <w:pPr>
                    <w:keepNext w:val="0"/>
                    <w:keepLines w:val="0"/>
                    <w:widowControl/>
                    <w:suppressLineNumbers w:val="0"/>
                    <w:spacing w:before="0" w:beforeAutospacing="0" w:after="0" w:afterAutospacing="0"/>
                    <w:ind w:left="0" w:right="0"/>
                    <w:jc w:val="center"/>
                    <w:textAlignment w:val="center"/>
                    <w:rPr>
                      <w:rStyle w:val="155"/>
                      <w:rFonts w:hint="default" w:ascii="Times New Roman" w:hAnsi="Times New Roman" w:eastAsia="宋体" w:cs="Times New Roman"/>
                      <w:b w:val="0"/>
                      <w:bCs w:val="0"/>
                      <w:sz w:val="21"/>
                      <w:szCs w:val="21"/>
                      <w:lang w:val="en-US" w:eastAsia="zh-CN" w:bidi="ar"/>
                    </w:rPr>
                  </w:pPr>
                  <w:r>
                    <w:rPr>
                      <w:rStyle w:val="155"/>
                      <w:rFonts w:hint="default" w:ascii="Times New Roman" w:hAnsi="Times New Roman" w:eastAsia="宋体" w:cs="Times New Roman"/>
                      <w:b w:val="0"/>
                      <w:bCs w:val="0"/>
                      <w:sz w:val="21"/>
                      <w:szCs w:val="21"/>
                      <w:lang w:val="en-US" w:eastAsia="zh-CN" w:bidi="ar"/>
                    </w:rPr>
                    <w:t>180kg/桶</w:t>
                  </w:r>
                </w:p>
              </w:tc>
              <w:tc>
                <w:tcPr>
                  <w:tcW w:w="916" w:type="pct"/>
                  <w:tcBorders>
                    <w:tl2br w:val="nil"/>
                    <w:tr2bl w:val="nil"/>
                  </w:tcBorders>
                  <w:shd w:val="clear" w:color="auto" w:fill="auto"/>
                  <w:vAlign w:val="center"/>
                </w:tcPr>
                <w:p w14:paraId="3C45EFEE">
                  <w:pPr>
                    <w:keepNext w:val="0"/>
                    <w:keepLines w:val="0"/>
                    <w:widowControl/>
                    <w:suppressLineNumbers w:val="0"/>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3</w:t>
                  </w:r>
                </w:p>
              </w:tc>
              <w:tc>
                <w:tcPr>
                  <w:tcW w:w="939" w:type="pct"/>
                  <w:tcBorders>
                    <w:tl2br w:val="nil"/>
                    <w:tr2bl w:val="nil"/>
                  </w:tcBorders>
                  <w:shd w:val="clear" w:color="auto" w:fill="auto"/>
                  <w:vAlign w:val="center"/>
                </w:tcPr>
                <w:p w14:paraId="10A165D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1.5</w:t>
                  </w:r>
                </w:p>
              </w:tc>
              <w:tc>
                <w:tcPr>
                  <w:tcW w:w="1420" w:type="dxa"/>
                  <w:tcBorders>
                    <w:tl2br w:val="nil"/>
                    <w:tr2bl w:val="nil"/>
                  </w:tcBorders>
                  <w:shd w:val="clear" w:color="auto" w:fill="auto"/>
                  <w:vAlign w:val="center"/>
                </w:tcPr>
                <w:p w14:paraId="125DCDD2">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0.0045</w:t>
                  </w:r>
                </w:p>
              </w:tc>
            </w:tr>
            <w:tr w14:paraId="2101DF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162" w:type="pct"/>
                  <w:gridSpan w:val="5"/>
                  <w:tcBorders>
                    <w:tl2br w:val="nil"/>
                    <w:tr2bl w:val="nil"/>
                  </w:tcBorders>
                  <w:shd w:val="clear" w:color="auto" w:fill="auto"/>
                  <w:vAlign w:val="center"/>
                </w:tcPr>
                <w:p w14:paraId="687822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5"/>
                      <w:rFonts w:hint="default" w:ascii="Times New Roman" w:hAnsi="Times New Roman" w:eastAsia="宋体" w:cs="Times New Roman"/>
                      <w:b w:val="0"/>
                      <w:bCs w:val="0"/>
                      <w:sz w:val="21"/>
                      <w:szCs w:val="21"/>
                      <w:lang w:val="en-US" w:eastAsia="zh-CN" w:bidi="ar"/>
                    </w:rPr>
                    <w:t>总计</w:t>
                  </w:r>
                </w:p>
              </w:tc>
              <w:tc>
                <w:tcPr>
                  <w:tcW w:w="1420" w:type="dxa"/>
                  <w:tcBorders>
                    <w:tl2br w:val="nil"/>
                    <w:tr2bl w:val="nil"/>
                  </w:tcBorders>
                  <w:shd w:val="clear" w:color="auto" w:fill="auto"/>
                  <w:vAlign w:val="center"/>
                </w:tcPr>
                <w:p w14:paraId="6E3ED66B">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ascii="Times New Roman" w:hAnsi="Times New Roman" w:eastAsia="宋体" w:cs="Times New Roman"/>
                      <w:b w:val="0"/>
                      <w:bCs w:val="0"/>
                      <w:i w:val="0"/>
                      <w:iCs w:val="0"/>
                      <w:color w:val="000000"/>
                      <w:kern w:val="0"/>
                      <w:sz w:val="21"/>
                      <w:szCs w:val="21"/>
                      <w:u w:val="none"/>
                      <w:lang w:val="en-US" w:eastAsia="zh-CN" w:bidi="ar"/>
                    </w:rPr>
                    <w:t>0.763</w:t>
                  </w:r>
                </w:p>
              </w:tc>
            </w:tr>
          </w:tbl>
          <w:p w14:paraId="221F6B14">
            <w:pPr>
              <w:keepNext w:val="0"/>
              <w:keepLines w:val="0"/>
              <w:numPr>
                <w:ilvl w:val="0"/>
                <w:numId w:val="0"/>
              </w:numPr>
              <w:suppressLineNumbers w:val="0"/>
              <w:spacing w:before="0" w:beforeAutospacing="0" w:after="0" w:afterAutospacing="0" w:line="360" w:lineRule="auto"/>
              <w:ind w:left="0" w:right="0" w:firstLine="480" w:firstLineChars="200"/>
              <w:rPr>
                <w:rFonts w:hint="eastAsia"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（7）沾有油墨的废膜</w:t>
            </w:r>
          </w:p>
          <w:p w14:paraId="4B90027D">
            <w:pPr>
              <w:keepNext w:val="0"/>
              <w:keepLines w:val="0"/>
              <w:numPr>
                <w:ilvl w:val="0"/>
                <w:numId w:val="0"/>
              </w:numPr>
              <w:suppressLineNumbers w:val="0"/>
              <w:spacing w:before="0" w:beforeAutospacing="0" w:after="0" w:afterAutospacing="0" w:line="360" w:lineRule="auto"/>
              <w:ind w:left="0" w:right="0" w:firstLine="480" w:firstLineChars="200"/>
              <w:rPr>
                <w:rFonts w:hint="eastAsia"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生产过程中印刷设备出现不正常的工作情况，可能产生沾有油墨的废膜。根据《国家危险废物名录》（2025 版），沾有油墨的废膜属于危险废物，沾有油墨的废膜废物类别为 HW12-染料、涂料废物，危废代码为 900-253-12。根据同类型项目运营经验，项目沾有油墨的废膜的量约为0.1t/a。暂存于危险废物暂存间，委托有资质的单位进行处理。</w:t>
            </w:r>
          </w:p>
          <w:p w14:paraId="57E478E6">
            <w:pPr>
              <w:keepNext w:val="0"/>
              <w:keepLines w:val="0"/>
              <w:numPr>
                <w:ilvl w:val="0"/>
                <w:numId w:val="0"/>
              </w:numPr>
              <w:suppressLineNumbers w:val="0"/>
              <w:spacing w:before="0" w:beforeAutospacing="0" w:after="0" w:afterAutospacing="0" w:line="360" w:lineRule="auto"/>
              <w:ind w:left="0" w:right="0" w:firstLine="480" w:firstLineChars="200"/>
              <w:rPr>
                <w:rFonts w:hint="default"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（8）</w:t>
            </w:r>
            <w:r>
              <w:rPr>
                <w:rFonts w:hint="default" w:hAnsi="宋体" w:cs="Times New Roman"/>
                <w:iCs/>
                <w:color w:val="000000"/>
                <w:kern w:val="0"/>
                <w:sz w:val="24"/>
                <w:u w:val="none"/>
                <w:lang w:val="en-US" w:eastAsia="zh-CN"/>
              </w:rPr>
              <w:t>沾染有机溶剂的废抹布</w:t>
            </w:r>
          </w:p>
          <w:p w14:paraId="336A30B2">
            <w:pPr>
              <w:keepNext w:val="0"/>
              <w:keepLines w:val="0"/>
              <w:numPr>
                <w:ilvl w:val="0"/>
                <w:numId w:val="0"/>
              </w:numPr>
              <w:suppressLineNumbers w:val="0"/>
              <w:spacing w:before="0" w:beforeAutospacing="0" w:after="0" w:afterAutospacing="0" w:line="360" w:lineRule="auto"/>
              <w:ind w:left="0" w:right="0" w:firstLine="480" w:firstLineChars="200"/>
              <w:rPr>
                <w:rFonts w:hint="default" w:hAnsi="宋体" w:cs="Times New Roman"/>
                <w:iCs/>
                <w:color w:val="000000"/>
                <w:kern w:val="0"/>
                <w:sz w:val="24"/>
                <w:u w:val="none"/>
                <w:lang w:val="en-US" w:eastAsia="zh-CN"/>
              </w:rPr>
            </w:pPr>
            <w:r>
              <w:rPr>
                <w:rFonts w:hint="default" w:hAnsi="宋体" w:cs="Times New Roman"/>
                <w:iCs/>
                <w:color w:val="000000"/>
                <w:kern w:val="0"/>
                <w:sz w:val="24"/>
                <w:u w:val="none"/>
                <w:lang w:val="en-US" w:eastAsia="zh-CN"/>
              </w:rPr>
              <w:t>企业在清洁、维护、检修设备时会产生沾有油墨、有机溶剂、废机油等危险废物的废抹布等劳保用品。根据《国家危险废物名录》（2025 版），沾染有机溶剂的废抹布属于危险废物，沾染有机溶剂的废抹布废物类别为 HW49-其他废物，危废代码为900-041-49。根据</w:t>
            </w:r>
            <w:r>
              <w:rPr>
                <w:rFonts w:hint="eastAsia" w:hAnsi="宋体" w:cs="Times New Roman"/>
                <w:iCs/>
                <w:color w:val="000000"/>
                <w:kern w:val="0"/>
                <w:sz w:val="24"/>
                <w:u w:val="none"/>
                <w:lang w:val="en-US" w:eastAsia="zh-CN"/>
              </w:rPr>
              <w:t>同类型项目运行经验</w:t>
            </w:r>
            <w:r>
              <w:rPr>
                <w:rFonts w:hint="default" w:hAnsi="宋体" w:cs="Times New Roman"/>
                <w:iCs/>
                <w:color w:val="000000"/>
                <w:kern w:val="0"/>
                <w:sz w:val="24"/>
                <w:u w:val="none"/>
                <w:lang w:val="en-US" w:eastAsia="zh-CN"/>
              </w:rPr>
              <w:t>，项目沾有危险废物的废抹布、废手套的量约为</w:t>
            </w:r>
            <w:r>
              <w:rPr>
                <w:rFonts w:hint="eastAsia" w:hAnsi="宋体" w:cs="Times New Roman"/>
                <w:iCs/>
                <w:color w:val="000000"/>
                <w:kern w:val="0"/>
                <w:sz w:val="24"/>
                <w:u w:val="none"/>
                <w:lang w:val="en-US" w:eastAsia="zh-CN"/>
              </w:rPr>
              <w:t>1</w:t>
            </w:r>
            <w:r>
              <w:rPr>
                <w:rFonts w:hint="default" w:hAnsi="宋体" w:cs="Times New Roman"/>
                <w:iCs/>
                <w:color w:val="000000"/>
                <w:kern w:val="0"/>
                <w:sz w:val="24"/>
                <w:u w:val="none"/>
                <w:lang w:val="en-US" w:eastAsia="zh-CN"/>
              </w:rPr>
              <w:t>t/a。暂存于危险废物暂存间，委托有资质的单位进行处理。</w:t>
            </w:r>
          </w:p>
          <w:p w14:paraId="7C02AF18">
            <w:pPr>
              <w:keepNext w:val="0"/>
              <w:keepLines w:val="0"/>
              <w:numPr>
                <w:ilvl w:val="0"/>
                <w:numId w:val="0"/>
              </w:numPr>
              <w:suppressLineNumbers w:val="0"/>
              <w:spacing w:before="0" w:beforeAutospacing="0" w:after="0" w:afterAutospacing="0" w:line="360" w:lineRule="auto"/>
              <w:ind w:left="0" w:right="0" w:firstLine="480" w:firstLineChars="200"/>
              <w:rPr>
                <w:rFonts w:hint="eastAsia"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（9）废油墨</w:t>
            </w:r>
          </w:p>
          <w:p w14:paraId="72B749DE">
            <w:pPr>
              <w:keepNext w:val="0"/>
              <w:keepLines w:val="0"/>
              <w:numPr>
                <w:ilvl w:val="0"/>
                <w:numId w:val="0"/>
              </w:numPr>
              <w:suppressLineNumbers w:val="0"/>
              <w:spacing w:before="0" w:beforeAutospacing="0" w:after="0" w:afterAutospacing="0" w:line="360" w:lineRule="auto"/>
              <w:ind w:left="0" w:right="0" w:firstLine="480" w:firstLineChars="200"/>
              <w:rPr>
                <w:rFonts w:hint="eastAsia"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油墨放置时间过长，尤其是开过封的油墨，或者是旧盒装新油墨，油墨表面或墨盒上干结的油墨皮需要清理，会产生废油墨，产生量约0.2t/a。根据《国家危险废物名录》（2025 版），废油墨属于危险废物，废油墨废物类别为 HW12- 染料、涂料废物，危废代码为264-013-12。暂存于危险废物暂存间，委托有资质的单位进行处理。</w:t>
            </w:r>
          </w:p>
          <w:p w14:paraId="03D727A4">
            <w:pPr>
              <w:keepNext w:val="0"/>
              <w:keepLines w:val="0"/>
              <w:numPr>
                <w:ilvl w:val="0"/>
                <w:numId w:val="0"/>
              </w:numPr>
              <w:suppressLineNumbers w:val="0"/>
              <w:spacing w:before="0" w:beforeAutospacing="0" w:after="0" w:afterAutospacing="0" w:line="360" w:lineRule="auto"/>
              <w:ind w:left="0" w:right="0" w:firstLine="480" w:firstLineChars="200"/>
              <w:rPr>
                <w:rFonts w:hint="eastAsia"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（10）废沸石转轮</w:t>
            </w:r>
          </w:p>
          <w:p w14:paraId="7CC793E4">
            <w:pPr>
              <w:keepNext w:val="0"/>
              <w:keepLines w:val="0"/>
              <w:numPr>
                <w:ilvl w:val="0"/>
                <w:numId w:val="0"/>
              </w:numPr>
              <w:suppressLineNumbers w:val="0"/>
              <w:spacing w:before="0" w:beforeAutospacing="0" w:after="0" w:afterAutospacing="0" w:line="360" w:lineRule="auto"/>
              <w:ind w:left="0" w:right="0" w:firstLine="480" w:firstLineChars="200"/>
              <w:rPr>
                <w:rFonts w:hint="default"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项目废气处理设施中沸石转轮的理论使用寿命一般为‌5-10年‌，本次评价采取5年更换一次。根据建设单位提供的资料，沸石转轮的装填空间约8 m³，堆积密度约0.8 t/m³，故废沸石转轮的产生量为6.4 t/次。</w:t>
            </w:r>
          </w:p>
          <w:p w14:paraId="69ACA87E">
            <w:pPr>
              <w:keepNext w:val="0"/>
              <w:keepLines w:val="0"/>
              <w:numPr>
                <w:ilvl w:val="0"/>
                <w:numId w:val="0"/>
              </w:numPr>
              <w:suppressLineNumbers w:val="0"/>
              <w:spacing w:before="0" w:beforeAutospacing="0" w:after="0" w:afterAutospacing="0" w:line="360" w:lineRule="auto"/>
              <w:ind w:left="0" w:right="0" w:firstLine="480" w:firstLineChars="200"/>
              <w:rPr>
                <w:rFonts w:hint="default" w:hAnsi="宋体" w:cs="Times New Roman"/>
                <w:iCs/>
                <w:color w:val="000000"/>
                <w:kern w:val="0"/>
                <w:sz w:val="24"/>
                <w:u w:val="none"/>
                <w:lang w:val="en-US" w:eastAsia="zh-CN"/>
              </w:rPr>
            </w:pPr>
            <w:r>
              <w:rPr>
                <w:rFonts w:hint="eastAsia" w:hAnsi="宋体" w:cs="Times New Roman"/>
                <w:iCs/>
                <w:color w:val="000000"/>
                <w:kern w:val="0"/>
                <w:sz w:val="24"/>
                <w:u w:val="none"/>
                <w:lang w:val="en-US" w:eastAsia="zh-CN"/>
              </w:rPr>
              <w:t>对照《国家危险废物名录》（2025年版），属于“HW49 其他废物”中的“900-041-49 沾染或含有毒性危险废物的废弃过滤吸附介质”，暂存于危险废物暂存间，委托有资质的单位进行处理。</w:t>
            </w:r>
          </w:p>
          <w:p w14:paraId="4FFD6D4D">
            <w:pPr>
              <w:keepNext w:val="0"/>
              <w:keepLines w:val="0"/>
              <w:suppressLineNumbers w:val="0"/>
              <w:tabs>
                <w:tab w:val="left" w:pos="810"/>
              </w:tabs>
              <w:spacing w:before="0" w:beforeAutospacing="0" w:after="0" w:afterAutospacing="0" w:line="480" w:lineRule="exact"/>
              <w:ind w:left="0" w:right="0"/>
              <w:jc w:val="center"/>
              <w:rPr>
                <w:rFonts w:hint="default" w:ascii="Times New Roman" w:hAnsi="Times New Roman" w:cs="Times New Roman"/>
                <w:b/>
                <w:color w:val="000000"/>
                <w:szCs w:val="21"/>
                <w:u w:val="none"/>
              </w:rPr>
            </w:pPr>
            <w:r>
              <w:rPr>
                <w:rFonts w:hint="default" w:ascii="Times New Roman" w:hAnsi="Times New Roman" w:cs="Times New Roman"/>
                <w:b/>
                <w:color w:val="000000"/>
                <w:szCs w:val="21"/>
                <w:u w:val="none"/>
              </w:rPr>
              <w:t>表</w:t>
            </w:r>
            <w:r>
              <w:rPr>
                <w:rFonts w:hint="eastAsia" w:ascii="Times New Roman" w:hAnsi="Times New Roman" w:cs="Times New Roman"/>
                <w:b/>
                <w:color w:val="000000"/>
                <w:szCs w:val="21"/>
                <w:u w:val="none"/>
              </w:rPr>
              <w:t>4-</w:t>
            </w:r>
            <w:r>
              <w:rPr>
                <w:rFonts w:hint="eastAsia" w:cs="Times New Roman"/>
                <w:b/>
                <w:color w:val="000000"/>
                <w:szCs w:val="21"/>
                <w:u w:val="none"/>
                <w:lang w:val="en-US" w:eastAsia="zh-CN"/>
              </w:rPr>
              <w:t>16</w:t>
            </w:r>
            <w:r>
              <w:rPr>
                <w:rFonts w:hint="default" w:ascii="Times New Roman" w:hAnsi="Times New Roman" w:cs="Times New Roman"/>
                <w:b/>
                <w:color w:val="000000"/>
                <w:szCs w:val="21"/>
                <w:u w:val="none"/>
              </w:rPr>
              <w:t xml:space="preserve"> 固废产生及处置措施表</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3" w:type="dxa"/>
                <w:bottom w:w="0" w:type="dxa"/>
                <w:right w:w="23" w:type="dxa"/>
              </w:tblCellMar>
            </w:tblPr>
            <w:tblGrid>
              <w:gridCol w:w="1225"/>
              <w:gridCol w:w="1062"/>
              <w:gridCol w:w="969"/>
              <w:gridCol w:w="4629"/>
              <w:gridCol w:w="594"/>
            </w:tblGrid>
            <w:tr w14:paraId="580597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3228B895">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固废名称</w:t>
                  </w:r>
                </w:p>
              </w:tc>
              <w:tc>
                <w:tcPr>
                  <w:tcW w:w="626" w:type="pct"/>
                  <w:noWrap w:val="0"/>
                  <w:vAlign w:val="center"/>
                </w:tcPr>
                <w:p w14:paraId="0F6F92C2">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eastAsia" w:ascii="Times New Roman" w:hAnsi="Times New Roman" w:cs="Times New Roman"/>
                      <w:color w:val="000000"/>
                      <w:szCs w:val="21"/>
                      <w:u w:val="none"/>
                    </w:rPr>
                    <w:t>类别</w:t>
                  </w:r>
                </w:p>
              </w:tc>
              <w:tc>
                <w:tcPr>
                  <w:tcW w:w="571" w:type="pct"/>
                  <w:noWrap w:val="0"/>
                  <w:vAlign w:val="center"/>
                </w:tcPr>
                <w:p w14:paraId="60ED4F28">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产生量</w:t>
                  </w:r>
                  <w:r>
                    <w:rPr>
                      <w:rFonts w:hint="default" w:ascii="Times New Roman" w:hAnsi="Times New Roman" w:cs="Times New Roman"/>
                      <w:snapToGrid w:val="0"/>
                      <w:color w:val="000000"/>
                      <w:szCs w:val="21"/>
                      <w:u w:val="none"/>
                    </w:rPr>
                    <w:t>t/a</w:t>
                  </w:r>
                </w:p>
              </w:tc>
              <w:tc>
                <w:tcPr>
                  <w:tcW w:w="2729" w:type="pct"/>
                  <w:noWrap w:val="0"/>
                  <w:vAlign w:val="center"/>
                </w:tcPr>
                <w:p w14:paraId="4ED77E61">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处置措施</w:t>
                  </w:r>
                </w:p>
              </w:tc>
              <w:tc>
                <w:tcPr>
                  <w:tcW w:w="350" w:type="pct"/>
                  <w:noWrap w:val="0"/>
                  <w:vAlign w:val="center"/>
                </w:tcPr>
                <w:p w14:paraId="0770C0C0">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处置率%</w:t>
                  </w:r>
                </w:p>
              </w:tc>
            </w:tr>
            <w:tr w14:paraId="53D3FE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170D43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u w:val="none"/>
                      <w:lang w:val="en-US" w:eastAsia="zh-CN"/>
                    </w:rPr>
                  </w:pPr>
                  <w:r>
                    <w:rPr>
                      <w:rFonts w:hint="default" w:ascii="Times New Roman" w:hAnsi="Times New Roman" w:eastAsia="宋体" w:cs="Times New Roman"/>
                      <w:color w:val="000000"/>
                      <w:szCs w:val="21"/>
                      <w:u w:val="none"/>
                      <w:lang w:val="en-US" w:eastAsia="zh-CN"/>
                    </w:rPr>
                    <w:t>废版辊</w:t>
                  </w:r>
                </w:p>
              </w:tc>
              <w:tc>
                <w:tcPr>
                  <w:tcW w:w="626" w:type="pct"/>
                  <w:noWrap w:val="0"/>
                  <w:vAlign w:val="center"/>
                </w:tcPr>
                <w:p w14:paraId="789ED7FF">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snapToGrid w:val="0"/>
                      <w:color w:val="000000"/>
                      <w:szCs w:val="21"/>
                      <w:u w:val="none"/>
                    </w:rPr>
                    <w:t>一般固废</w:t>
                  </w:r>
                </w:p>
              </w:tc>
              <w:tc>
                <w:tcPr>
                  <w:tcW w:w="571" w:type="pct"/>
                  <w:noWrap w:val="0"/>
                  <w:vAlign w:val="center"/>
                </w:tcPr>
                <w:p w14:paraId="61B1BCEC">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eastAsia" w:ascii="Times New Roman" w:hAnsi="Times New Roman" w:cs="Times New Roman"/>
                      <w:snapToGrid w:val="0"/>
                      <w:color w:val="000000"/>
                      <w:szCs w:val="21"/>
                      <w:u w:val="none"/>
                      <w:lang w:val="en-US" w:eastAsia="zh-CN"/>
                    </w:rPr>
                    <w:t>2</w:t>
                  </w:r>
                </w:p>
              </w:tc>
              <w:tc>
                <w:tcPr>
                  <w:tcW w:w="2729" w:type="pct"/>
                  <w:noWrap w:val="0"/>
                  <w:vAlign w:val="center"/>
                </w:tcPr>
                <w:p w14:paraId="37A790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u w:val="none"/>
                      <w:lang w:val="en-US" w:eastAsia="zh-CN"/>
                    </w:rPr>
                  </w:pPr>
                  <w:r>
                    <w:rPr>
                      <w:rFonts w:hint="eastAsia" w:ascii="Times New Roman" w:hAnsi="Times New Roman" w:cs="Times New Roman"/>
                      <w:color w:val="000000"/>
                      <w:szCs w:val="21"/>
                      <w:u w:val="none"/>
                      <w:lang w:val="en-US" w:eastAsia="zh-CN"/>
                    </w:rPr>
                    <w:t>定期交</w:t>
                  </w:r>
                  <w:r>
                    <w:rPr>
                      <w:rFonts w:hint="eastAsia" w:cs="Times New Roman"/>
                      <w:color w:val="000000"/>
                      <w:szCs w:val="21"/>
                      <w:u w:val="none"/>
                      <w:lang w:val="en-US" w:eastAsia="zh-CN"/>
                    </w:rPr>
                    <w:t>厂家</w:t>
                  </w:r>
                  <w:r>
                    <w:rPr>
                      <w:rFonts w:hint="eastAsia" w:ascii="Times New Roman" w:hAnsi="Times New Roman" w:cs="Times New Roman"/>
                      <w:color w:val="000000"/>
                      <w:szCs w:val="21"/>
                      <w:u w:val="none"/>
                      <w:lang w:val="en-US" w:eastAsia="zh-CN"/>
                    </w:rPr>
                    <w:t>处置</w:t>
                  </w:r>
                </w:p>
              </w:tc>
              <w:tc>
                <w:tcPr>
                  <w:tcW w:w="350" w:type="pct"/>
                  <w:noWrap w:val="0"/>
                  <w:vAlign w:val="center"/>
                </w:tcPr>
                <w:p w14:paraId="3F7E8CE7">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03BA92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473ED0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u w:val="none"/>
                      <w:lang w:val="en-US" w:eastAsia="zh-CN"/>
                    </w:rPr>
                  </w:pPr>
                  <w:r>
                    <w:rPr>
                      <w:rFonts w:hint="default" w:ascii="Times New Roman" w:hAnsi="Times New Roman" w:eastAsia="宋体" w:cs="Times New Roman"/>
                      <w:color w:val="000000"/>
                      <w:szCs w:val="21"/>
                      <w:u w:val="none"/>
                      <w:lang w:val="en-US" w:eastAsia="zh-CN"/>
                    </w:rPr>
                    <w:t>废边角料、不</w:t>
                  </w:r>
                </w:p>
                <w:p w14:paraId="785E0B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u w:val="none"/>
                      <w:lang w:val="en-US" w:eastAsia="zh-CN"/>
                    </w:rPr>
                  </w:pPr>
                  <w:r>
                    <w:rPr>
                      <w:rFonts w:hint="default" w:ascii="Times New Roman" w:hAnsi="Times New Roman" w:eastAsia="宋体" w:cs="Times New Roman"/>
                      <w:color w:val="000000"/>
                      <w:szCs w:val="21"/>
                      <w:u w:val="none"/>
                      <w:lang w:val="en-US" w:eastAsia="zh-CN"/>
                    </w:rPr>
                    <w:t>合格品</w:t>
                  </w:r>
                </w:p>
              </w:tc>
              <w:tc>
                <w:tcPr>
                  <w:tcW w:w="626" w:type="pct"/>
                  <w:noWrap w:val="0"/>
                  <w:vAlign w:val="center"/>
                </w:tcPr>
                <w:p w14:paraId="72D7BC47">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一般固废</w:t>
                  </w:r>
                </w:p>
              </w:tc>
              <w:tc>
                <w:tcPr>
                  <w:tcW w:w="571" w:type="pct"/>
                  <w:noWrap w:val="0"/>
                  <w:vAlign w:val="center"/>
                </w:tcPr>
                <w:p w14:paraId="4F22F27A">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18.4</w:t>
                  </w:r>
                </w:p>
              </w:tc>
              <w:tc>
                <w:tcPr>
                  <w:tcW w:w="2729" w:type="pct"/>
                  <w:noWrap w:val="0"/>
                  <w:vAlign w:val="center"/>
                </w:tcPr>
                <w:p w14:paraId="7167A069">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lang w:val="en-US" w:eastAsia="zh-CN"/>
                    </w:rPr>
                  </w:pPr>
                  <w:r>
                    <w:rPr>
                      <w:rFonts w:hint="eastAsia" w:ascii="Times New Roman" w:hAnsi="Times New Roman" w:cs="Times New Roman"/>
                      <w:color w:val="000000"/>
                      <w:szCs w:val="21"/>
                      <w:u w:val="none"/>
                      <w:lang w:val="en-US" w:eastAsia="zh-CN"/>
                    </w:rPr>
                    <w:t>暂存于一般固废暂存间，外售综合利用</w:t>
                  </w:r>
                </w:p>
              </w:tc>
              <w:tc>
                <w:tcPr>
                  <w:tcW w:w="350" w:type="pct"/>
                  <w:noWrap w:val="0"/>
                  <w:vAlign w:val="center"/>
                </w:tcPr>
                <w:p w14:paraId="4ACD1987">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7BCAED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4CD689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szCs w:val="21"/>
                      <w:u w:val="none"/>
                      <w:lang w:val="en-US" w:eastAsia="zh-CN"/>
                    </w:rPr>
                  </w:pPr>
                  <w:r>
                    <w:rPr>
                      <w:rFonts w:hint="default" w:ascii="Times New Roman" w:hAnsi="Times New Roman" w:eastAsia="宋体" w:cs="Times New Roman"/>
                      <w:color w:val="000000"/>
                      <w:szCs w:val="21"/>
                      <w:u w:val="none"/>
                      <w:lang w:val="en-US" w:eastAsia="zh-CN"/>
                    </w:rPr>
                    <w:t>废包装袋</w:t>
                  </w:r>
                </w:p>
              </w:tc>
              <w:tc>
                <w:tcPr>
                  <w:tcW w:w="626" w:type="pct"/>
                  <w:noWrap w:val="0"/>
                  <w:vAlign w:val="center"/>
                </w:tcPr>
                <w:p w14:paraId="0EE0CD90">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一般固废</w:t>
                  </w:r>
                </w:p>
              </w:tc>
              <w:tc>
                <w:tcPr>
                  <w:tcW w:w="571" w:type="pct"/>
                  <w:noWrap w:val="0"/>
                  <w:vAlign w:val="center"/>
                </w:tcPr>
                <w:p w14:paraId="0CCF2F6D">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1.2</w:t>
                  </w:r>
                </w:p>
              </w:tc>
              <w:tc>
                <w:tcPr>
                  <w:tcW w:w="2729" w:type="pct"/>
                  <w:noWrap w:val="0"/>
                  <w:vAlign w:val="center"/>
                </w:tcPr>
                <w:p w14:paraId="79155C08">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lang w:val="en-US" w:eastAsia="zh-CN"/>
                    </w:rPr>
                  </w:pPr>
                  <w:r>
                    <w:rPr>
                      <w:rFonts w:hint="eastAsia" w:ascii="Times New Roman" w:hAnsi="Times New Roman" w:cs="Times New Roman"/>
                      <w:color w:val="000000"/>
                      <w:szCs w:val="21"/>
                      <w:u w:val="none"/>
                      <w:lang w:val="en-US" w:eastAsia="zh-CN"/>
                    </w:rPr>
                    <w:t>暂存于一般固废暂存间，外售废品回收站</w:t>
                  </w:r>
                </w:p>
              </w:tc>
              <w:tc>
                <w:tcPr>
                  <w:tcW w:w="350" w:type="pct"/>
                  <w:noWrap w:val="0"/>
                  <w:vAlign w:val="center"/>
                </w:tcPr>
                <w:p w14:paraId="79599E55">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770D80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3AF95AD1">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snapToGrid w:val="0"/>
                      <w:color w:val="000000"/>
                      <w:szCs w:val="21"/>
                      <w:u w:val="none"/>
                    </w:rPr>
                    <w:t>废</w:t>
                  </w:r>
                  <w:r>
                    <w:rPr>
                      <w:rFonts w:hint="eastAsia" w:cs="Times New Roman"/>
                      <w:snapToGrid w:val="0"/>
                      <w:color w:val="000000"/>
                      <w:szCs w:val="21"/>
                      <w:u w:val="none"/>
                      <w:lang w:val="en-US" w:eastAsia="zh-CN"/>
                    </w:rPr>
                    <w:t>矿物</w:t>
                  </w:r>
                  <w:r>
                    <w:rPr>
                      <w:rFonts w:hint="default" w:ascii="Times New Roman" w:hAnsi="Times New Roman" w:cs="Times New Roman"/>
                      <w:snapToGrid w:val="0"/>
                      <w:color w:val="000000"/>
                      <w:szCs w:val="21"/>
                      <w:u w:val="none"/>
                    </w:rPr>
                    <w:t>油</w:t>
                  </w:r>
                </w:p>
              </w:tc>
              <w:tc>
                <w:tcPr>
                  <w:tcW w:w="626" w:type="pct"/>
                  <w:noWrap w:val="0"/>
                  <w:vAlign w:val="center"/>
                </w:tcPr>
                <w:p w14:paraId="289DDC7A">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560FBBBC">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eastAsia" w:ascii="Times New Roman" w:hAnsi="Times New Roman" w:cs="Times New Roman"/>
                      <w:snapToGrid w:val="0"/>
                      <w:color w:val="000000"/>
                      <w:szCs w:val="21"/>
                      <w:u w:val="none"/>
                      <w:lang w:val="en-US" w:eastAsia="zh-CN"/>
                    </w:rPr>
                    <w:t>0.1</w:t>
                  </w:r>
                </w:p>
              </w:tc>
              <w:tc>
                <w:tcPr>
                  <w:tcW w:w="2729" w:type="pct"/>
                  <w:vMerge w:val="restart"/>
                  <w:noWrap w:val="0"/>
                  <w:vAlign w:val="center"/>
                </w:tcPr>
                <w:p w14:paraId="754A6C65">
                  <w:pPr>
                    <w:keepNext w:val="0"/>
                    <w:keepLines w:val="0"/>
                    <w:suppressLineNumbers w:val="0"/>
                    <w:spacing w:before="0" w:beforeAutospacing="0" w:after="0" w:afterAutospacing="0"/>
                    <w:ind w:left="0" w:right="0"/>
                    <w:jc w:val="center"/>
                    <w:rPr>
                      <w:rFonts w:hint="default" w:ascii="Times New Roman" w:hAnsi="Times New Roman" w:cs="Times New Roman"/>
                      <w:color w:val="000000"/>
                      <w:spacing w:val="-6"/>
                      <w:szCs w:val="21"/>
                      <w:u w:val="none"/>
                    </w:rPr>
                  </w:pPr>
                  <w:r>
                    <w:rPr>
                      <w:rFonts w:hint="eastAsia" w:ascii="Times New Roman" w:hAnsi="Times New Roman" w:cs="Times New Roman"/>
                      <w:snapToGrid w:val="0"/>
                      <w:color w:val="000000"/>
                      <w:szCs w:val="21"/>
                      <w:u w:val="none"/>
                    </w:rPr>
                    <w:t>暂存于危废暂存间，定期委托有资质的单位处置</w:t>
                  </w:r>
                </w:p>
              </w:tc>
              <w:tc>
                <w:tcPr>
                  <w:tcW w:w="350" w:type="pct"/>
                  <w:noWrap w:val="0"/>
                  <w:vAlign w:val="center"/>
                </w:tcPr>
                <w:p w14:paraId="29E6F18C">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111DEC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588678A4">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废包装桶</w:t>
                  </w:r>
                </w:p>
              </w:tc>
              <w:tc>
                <w:tcPr>
                  <w:tcW w:w="626" w:type="pct"/>
                  <w:noWrap w:val="0"/>
                  <w:vAlign w:val="center"/>
                </w:tcPr>
                <w:p w14:paraId="090EA307">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3A1F13AF">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0.763</w:t>
                  </w:r>
                </w:p>
              </w:tc>
              <w:tc>
                <w:tcPr>
                  <w:tcW w:w="2729" w:type="pct"/>
                  <w:vMerge w:val="continue"/>
                  <w:noWrap w:val="0"/>
                  <w:vAlign w:val="center"/>
                </w:tcPr>
                <w:p w14:paraId="705E476A">
                  <w:pPr>
                    <w:keepNext w:val="0"/>
                    <w:keepLines w:val="0"/>
                    <w:suppressLineNumbers w:val="0"/>
                    <w:spacing w:before="0" w:beforeAutospacing="0" w:after="0" w:afterAutospacing="0"/>
                    <w:ind w:left="0" w:right="0"/>
                    <w:jc w:val="center"/>
                    <w:rPr>
                      <w:rFonts w:hint="eastAsia" w:ascii="Times New Roman" w:hAnsi="Times New Roman" w:cs="Times New Roman"/>
                      <w:snapToGrid w:val="0"/>
                      <w:color w:val="000000"/>
                      <w:szCs w:val="21"/>
                      <w:u w:val="none"/>
                    </w:rPr>
                  </w:pPr>
                </w:p>
              </w:tc>
              <w:tc>
                <w:tcPr>
                  <w:tcW w:w="350" w:type="pct"/>
                  <w:noWrap w:val="0"/>
                  <w:vAlign w:val="center"/>
                </w:tcPr>
                <w:p w14:paraId="54503863">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6F89F1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144CF8B1">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rPr>
                  </w:pPr>
                  <w:r>
                    <w:rPr>
                      <w:rFonts w:hint="eastAsia" w:ascii="Times New Roman" w:hAnsi="Times New Roman" w:cs="Times New Roman"/>
                      <w:color w:val="000000"/>
                      <w:szCs w:val="21"/>
                      <w:u w:val="none"/>
                    </w:rPr>
                    <w:t>沾有油墨的废膜</w:t>
                  </w:r>
                </w:p>
              </w:tc>
              <w:tc>
                <w:tcPr>
                  <w:tcW w:w="626" w:type="pct"/>
                  <w:noWrap w:val="0"/>
                  <w:vAlign w:val="center"/>
                </w:tcPr>
                <w:p w14:paraId="6BBA9DC3">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38C3AC9C">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0.1</w:t>
                  </w:r>
                </w:p>
              </w:tc>
              <w:tc>
                <w:tcPr>
                  <w:tcW w:w="2729" w:type="pct"/>
                  <w:vMerge w:val="continue"/>
                  <w:noWrap w:val="0"/>
                  <w:vAlign w:val="center"/>
                </w:tcPr>
                <w:p w14:paraId="485B0C51">
                  <w:pPr>
                    <w:keepNext w:val="0"/>
                    <w:keepLines w:val="0"/>
                    <w:suppressLineNumbers w:val="0"/>
                    <w:spacing w:before="0" w:beforeAutospacing="0" w:after="0" w:afterAutospacing="0"/>
                    <w:ind w:left="0" w:right="0"/>
                    <w:jc w:val="center"/>
                    <w:rPr>
                      <w:rFonts w:hint="eastAsia" w:ascii="Times New Roman" w:hAnsi="Times New Roman" w:cs="Times New Roman"/>
                      <w:snapToGrid w:val="0"/>
                      <w:color w:val="000000"/>
                      <w:szCs w:val="21"/>
                      <w:u w:val="none"/>
                    </w:rPr>
                  </w:pPr>
                </w:p>
              </w:tc>
              <w:tc>
                <w:tcPr>
                  <w:tcW w:w="350" w:type="pct"/>
                  <w:noWrap w:val="0"/>
                  <w:vAlign w:val="center"/>
                </w:tcPr>
                <w:p w14:paraId="23194E7F">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6C1087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703C981A">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rPr>
                  </w:pPr>
                  <w:r>
                    <w:rPr>
                      <w:rFonts w:hint="eastAsia" w:ascii="Times New Roman" w:hAnsi="Times New Roman" w:cs="Times New Roman"/>
                      <w:color w:val="000000"/>
                      <w:szCs w:val="21"/>
                      <w:u w:val="none"/>
                    </w:rPr>
                    <w:t>沾染有机溶剂</w:t>
                  </w:r>
                  <w:r>
                    <w:rPr>
                      <w:rFonts w:hint="eastAsia" w:cs="Times New Roman"/>
                      <w:color w:val="000000"/>
                      <w:szCs w:val="21"/>
                      <w:u w:val="none"/>
                      <w:lang w:eastAsia="zh-CN"/>
                    </w:rPr>
                    <w:t>、</w:t>
                  </w:r>
                  <w:r>
                    <w:rPr>
                      <w:rFonts w:hint="eastAsia" w:cs="Times New Roman"/>
                      <w:color w:val="000000"/>
                      <w:szCs w:val="21"/>
                      <w:u w:val="none"/>
                      <w:lang w:val="en-US" w:eastAsia="zh-CN"/>
                    </w:rPr>
                    <w:t>矿物油</w:t>
                  </w:r>
                  <w:r>
                    <w:rPr>
                      <w:rFonts w:hint="eastAsia" w:ascii="Times New Roman" w:hAnsi="Times New Roman" w:cs="Times New Roman"/>
                      <w:color w:val="000000"/>
                      <w:szCs w:val="21"/>
                      <w:u w:val="none"/>
                    </w:rPr>
                    <w:t>的废抹布</w:t>
                  </w:r>
                </w:p>
              </w:tc>
              <w:tc>
                <w:tcPr>
                  <w:tcW w:w="626" w:type="pct"/>
                  <w:noWrap w:val="0"/>
                  <w:vAlign w:val="center"/>
                </w:tcPr>
                <w:p w14:paraId="2E88C036">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6B18FE1B">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1</w:t>
                  </w:r>
                </w:p>
              </w:tc>
              <w:tc>
                <w:tcPr>
                  <w:tcW w:w="2729" w:type="pct"/>
                  <w:vMerge w:val="continue"/>
                  <w:noWrap w:val="0"/>
                  <w:vAlign w:val="center"/>
                </w:tcPr>
                <w:p w14:paraId="2481C21A">
                  <w:pPr>
                    <w:keepNext w:val="0"/>
                    <w:keepLines w:val="0"/>
                    <w:suppressLineNumbers w:val="0"/>
                    <w:spacing w:before="0" w:beforeAutospacing="0" w:after="0" w:afterAutospacing="0"/>
                    <w:ind w:left="0" w:right="0"/>
                    <w:jc w:val="center"/>
                    <w:rPr>
                      <w:rFonts w:hint="eastAsia" w:ascii="Times New Roman" w:hAnsi="Times New Roman" w:cs="Times New Roman"/>
                      <w:snapToGrid w:val="0"/>
                      <w:color w:val="000000"/>
                      <w:szCs w:val="21"/>
                      <w:u w:val="none"/>
                    </w:rPr>
                  </w:pPr>
                </w:p>
              </w:tc>
              <w:tc>
                <w:tcPr>
                  <w:tcW w:w="350" w:type="pct"/>
                  <w:noWrap w:val="0"/>
                  <w:vAlign w:val="center"/>
                </w:tcPr>
                <w:p w14:paraId="2ABB6AD5">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61DEB3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058C8FC1">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rPr>
                  </w:pPr>
                  <w:r>
                    <w:rPr>
                      <w:rFonts w:hint="eastAsia" w:ascii="Times New Roman" w:hAnsi="Times New Roman" w:cs="Times New Roman"/>
                      <w:color w:val="000000"/>
                      <w:szCs w:val="21"/>
                      <w:u w:val="none"/>
                    </w:rPr>
                    <w:t>废油墨</w:t>
                  </w:r>
                </w:p>
              </w:tc>
              <w:tc>
                <w:tcPr>
                  <w:tcW w:w="626" w:type="pct"/>
                  <w:noWrap w:val="0"/>
                  <w:vAlign w:val="center"/>
                </w:tcPr>
                <w:p w14:paraId="02B74AAA">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5994FCFD">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0.2</w:t>
                  </w:r>
                </w:p>
              </w:tc>
              <w:tc>
                <w:tcPr>
                  <w:tcW w:w="2729" w:type="pct"/>
                  <w:vMerge w:val="continue"/>
                  <w:noWrap w:val="0"/>
                  <w:vAlign w:val="center"/>
                </w:tcPr>
                <w:p w14:paraId="7054B156">
                  <w:pPr>
                    <w:keepNext w:val="0"/>
                    <w:keepLines w:val="0"/>
                    <w:suppressLineNumbers w:val="0"/>
                    <w:spacing w:before="0" w:beforeAutospacing="0" w:after="0" w:afterAutospacing="0"/>
                    <w:ind w:left="0" w:right="0"/>
                    <w:jc w:val="center"/>
                    <w:rPr>
                      <w:rFonts w:hint="eastAsia" w:ascii="Times New Roman" w:hAnsi="Times New Roman" w:cs="Times New Roman"/>
                      <w:snapToGrid w:val="0"/>
                      <w:color w:val="000000"/>
                      <w:szCs w:val="21"/>
                      <w:u w:val="none"/>
                    </w:rPr>
                  </w:pPr>
                </w:p>
              </w:tc>
              <w:tc>
                <w:tcPr>
                  <w:tcW w:w="350" w:type="pct"/>
                  <w:noWrap w:val="0"/>
                  <w:vAlign w:val="center"/>
                </w:tcPr>
                <w:p w14:paraId="25034CC6">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5F8B8E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500AF731">
                  <w:pPr>
                    <w:keepNext w:val="0"/>
                    <w:keepLines w:val="0"/>
                    <w:suppressLineNumbers w:val="0"/>
                    <w:spacing w:before="0" w:beforeAutospacing="0" w:after="0" w:afterAutospacing="0"/>
                    <w:ind w:left="0" w:right="0"/>
                    <w:jc w:val="center"/>
                    <w:rPr>
                      <w:rFonts w:hint="eastAsia" w:ascii="Times New Roman" w:hAnsi="Times New Roman" w:cs="Times New Roman"/>
                      <w:color w:val="000000"/>
                      <w:szCs w:val="21"/>
                      <w:u w:val="none"/>
                    </w:rPr>
                  </w:pPr>
                  <w:r>
                    <w:rPr>
                      <w:rFonts w:hint="eastAsia" w:ascii="Times New Roman" w:hAnsi="Times New Roman" w:cs="Times New Roman"/>
                      <w:color w:val="000000"/>
                      <w:szCs w:val="21"/>
                      <w:u w:val="none"/>
                    </w:rPr>
                    <w:t>废沸石转轮</w:t>
                  </w:r>
                </w:p>
              </w:tc>
              <w:tc>
                <w:tcPr>
                  <w:tcW w:w="626" w:type="pct"/>
                  <w:noWrap w:val="0"/>
                  <w:vAlign w:val="center"/>
                </w:tcPr>
                <w:p w14:paraId="7E4E88A3">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rPr>
                  </w:pPr>
                  <w:r>
                    <w:rPr>
                      <w:rFonts w:hint="default" w:ascii="Times New Roman" w:hAnsi="Times New Roman" w:cs="Times New Roman"/>
                      <w:snapToGrid w:val="0"/>
                      <w:color w:val="000000"/>
                      <w:szCs w:val="21"/>
                      <w:u w:val="none"/>
                    </w:rPr>
                    <w:t>危险废物</w:t>
                  </w:r>
                </w:p>
              </w:tc>
              <w:tc>
                <w:tcPr>
                  <w:tcW w:w="571" w:type="pct"/>
                  <w:noWrap w:val="0"/>
                  <w:vAlign w:val="center"/>
                </w:tcPr>
                <w:p w14:paraId="6E33CD39">
                  <w:pPr>
                    <w:keepNext w:val="0"/>
                    <w:keepLines w:val="0"/>
                    <w:suppressLineNumbers w:val="0"/>
                    <w:spacing w:before="0" w:beforeAutospacing="0" w:after="0" w:afterAutospacing="0"/>
                    <w:ind w:left="0" w:right="0"/>
                    <w:jc w:val="center"/>
                    <w:rPr>
                      <w:rFonts w:hint="default" w:ascii="Times New Roman" w:hAnsi="Times New Roman" w:cs="Times New Roman"/>
                      <w:snapToGrid w:val="0"/>
                      <w:color w:val="000000"/>
                      <w:szCs w:val="21"/>
                      <w:u w:val="none"/>
                      <w:lang w:val="en-US" w:eastAsia="zh-CN"/>
                    </w:rPr>
                  </w:pPr>
                  <w:r>
                    <w:rPr>
                      <w:rFonts w:hint="eastAsia" w:cs="Times New Roman"/>
                      <w:snapToGrid w:val="0"/>
                      <w:color w:val="000000"/>
                      <w:szCs w:val="21"/>
                      <w:u w:val="none"/>
                      <w:lang w:val="en-US" w:eastAsia="zh-CN"/>
                    </w:rPr>
                    <w:t>6.4t/次</w:t>
                  </w:r>
                </w:p>
              </w:tc>
              <w:tc>
                <w:tcPr>
                  <w:tcW w:w="2729" w:type="pct"/>
                  <w:vMerge w:val="continue"/>
                  <w:noWrap w:val="0"/>
                  <w:vAlign w:val="center"/>
                </w:tcPr>
                <w:p w14:paraId="47745946">
                  <w:pPr>
                    <w:keepNext w:val="0"/>
                    <w:keepLines w:val="0"/>
                    <w:suppressLineNumbers w:val="0"/>
                    <w:spacing w:before="0" w:beforeAutospacing="0" w:after="0" w:afterAutospacing="0"/>
                    <w:ind w:left="0" w:right="0"/>
                    <w:jc w:val="center"/>
                    <w:rPr>
                      <w:rFonts w:hint="eastAsia" w:ascii="Times New Roman" w:hAnsi="Times New Roman" w:cs="Times New Roman"/>
                      <w:snapToGrid w:val="0"/>
                      <w:color w:val="000000"/>
                      <w:szCs w:val="21"/>
                      <w:u w:val="none"/>
                    </w:rPr>
                  </w:pPr>
                </w:p>
              </w:tc>
              <w:tc>
                <w:tcPr>
                  <w:tcW w:w="350" w:type="pct"/>
                  <w:noWrap w:val="0"/>
                  <w:vAlign w:val="center"/>
                </w:tcPr>
                <w:p w14:paraId="321042EC">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r w14:paraId="7E2097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454" w:hRule="atLeast"/>
                <w:jc w:val="center"/>
              </w:trPr>
              <w:tc>
                <w:tcPr>
                  <w:tcW w:w="722" w:type="pct"/>
                  <w:noWrap w:val="0"/>
                  <w:vAlign w:val="center"/>
                </w:tcPr>
                <w:p w14:paraId="660FBC18">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snapToGrid w:val="0"/>
                      <w:color w:val="000000"/>
                      <w:szCs w:val="21"/>
                      <w:u w:val="none"/>
                    </w:rPr>
                    <w:t>生活垃圾</w:t>
                  </w:r>
                </w:p>
              </w:tc>
              <w:tc>
                <w:tcPr>
                  <w:tcW w:w="626" w:type="pct"/>
                  <w:noWrap w:val="0"/>
                  <w:vAlign w:val="center"/>
                </w:tcPr>
                <w:p w14:paraId="0204D677">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snapToGrid w:val="0"/>
                      <w:color w:val="000000"/>
                      <w:szCs w:val="21"/>
                      <w:u w:val="none"/>
                    </w:rPr>
                    <w:t>一般固废</w:t>
                  </w:r>
                </w:p>
              </w:tc>
              <w:tc>
                <w:tcPr>
                  <w:tcW w:w="571" w:type="pct"/>
                  <w:noWrap w:val="0"/>
                  <w:vAlign w:val="center"/>
                </w:tcPr>
                <w:p w14:paraId="6EA0E3B2">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eastAsia" w:cs="Times New Roman"/>
                      <w:snapToGrid w:val="0"/>
                      <w:color w:val="000000"/>
                      <w:szCs w:val="21"/>
                      <w:u w:val="none"/>
                      <w:lang w:val="en-US" w:eastAsia="zh-CN"/>
                    </w:rPr>
                    <w:t>10.92</w:t>
                  </w:r>
                  <w:r>
                    <w:rPr>
                      <w:rFonts w:hint="default" w:ascii="Times New Roman" w:hAnsi="Times New Roman" w:cs="Times New Roman"/>
                      <w:snapToGrid w:val="0"/>
                      <w:color w:val="000000"/>
                      <w:szCs w:val="21"/>
                      <w:u w:val="none"/>
                    </w:rPr>
                    <w:t>t/a</w:t>
                  </w:r>
                </w:p>
              </w:tc>
              <w:tc>
                <w:tcPr>
                  <w:tcW w:w="2729" w:type="pct"/>
                  <w:noWrap w:val="0"/>
                  <w:vAlign w:val="center"/>
                </w:tcPr>
                <w:p w14:paraId="23672BE6">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eastAsia" w:ascii="Times New Roman" w:hAnsi="Times New Roman" w:cs="Times New Roman"/>
                      <w:color w:val="000000"/>
                      <w:szCs w:val="21"/>
                      <w:u w:val="none"/>
                    </w:rPr>
                    <w:t>垃圾桶暂存，委托环卫部门统一处置</w:t>
                  </w:r>
                </w:p>
              </w:tc>
              <w:tc>
                <w:tcPr>
                  <w:tcW w:w="350" w:type="pct"/>
                  <w:noWrap w:val="0"/>
                  <w:vAlign w:val="center"/>
                </w:tcPr>
                <w:p w14:paraId="6FA9E324">
                  <w:pPr>
                    <w:keepNext w:val="0"/>
                    <w:keepLines w:val="0"/>
                    <w:suppressLineNumbers w:val="0"/>
                    <w:spacing w:before="0" w:beforeAutospacing="0" w:after="0" w:afterAutospacing="0"/>
                    <w:ind w:left="0" w:right="0"/>
                    <w:jc w:val="center"/>
                    <w:rPr>
                      <w:rFonts w:hint="default" w:ascii="Times New Roman" w:hAnsi="Times New Roman" w:cs="Times New Roman"/>
                      <w:color w:val="000000"/>
                      <w:szCs w:val="21"/>
                      <w:u w:val="none"/>
                    </w:rPr>
                  </w:pPr>
                  <w:r>
                    <w:rPr>
                      <w:rFonts w:hint="default" w:ascii="Times New Roman" w:hAnsi="Times New Roman" w:cs="Times New Roman"/>
                      <w:color w:val="000000"/>
                      <w:szCs w:val="21"/>
                      <w:u w:val="none"/>
                    </w:rPr>
                    <w:t>100</w:t>
                  </w:r>
                </w:p>
              </w:tc>
            </w:tr>
          </w:tbl>
          <w:p w14:paraId="1D04ED94">
            <w:pPr>
              <w:keepNext w:val="0"/>
              <w:keepLines w:val="0"/>
              <w:suppressLineNumbers w:val="0"/>
              <w:spacing w:before="0" w:beforeAutospacing="0" w:after="0" w:afterAutospacing="0"/>
              <w:ind w:left="0" w:right="0"/>
              <w:jc w:val="center"/>
              <w:rPr>
                <w:rFonts w:hint="eastAsia" w:ascii="Times New Roman" w:hAnsi="Times New Roman" w:cs="Times New Roman"/>
                <w:b/>
                <w:color w:val="auto"/>
                <w:szCs w:val="21"/>
                <w:u w:val="none"/>
              </w:rPr>
            </w:pPr>
            <w:r>
              <w:rPr>
                <w:rFonts w:hint="eastAsia" w:ascii="Times New Roman" w:hAnsi="Times New Roman" w:cs="Times New Roman"/>
                <w:b/>
                <w:color w:val="auto"/>
                <w:szCs w:val="21"/>
                <w:u w:val="none"/>
              </w:rPr>
              <w:t>表4-</w:t>
            </w:r>
            <w:r>
              <w:rPr>
                <w:rFonts w:hint="eastAsia" w:cs="Times New Roman"/>
                <w:b/>
                <w:color w:val="auto"/>
                <w:szCs w:val="21"/>
                <w:u w:val="none"/>
                <w:lang w:val="en-US" w:eastAsia="zh-CN"/>
              </w:rPr>
              <w:t>17</w:t>
            </w:r>
            <w:r>
              <w:rPr>
                <w:rFonts w:hint="eastAsia" w:ascii="Times New Roman" w:hAnsi="Times New Roman" w:cs="Times New Roman"/>
                <w:b/>
                <w:color w:val="auto"/>
                <w:szCs w:val="21"/>
                <w:u w:val="none"/>
              </w:rPr>
              <w:t xml:space="preserve">  </w:t>
            </w:r>
            <w:r>
              <w:rPr>
                <w:rFonts w:hint="eastAsia" w:ascii="Times New Roman" w:hAnsi="Times New Roman" w:cs="Times New Roman"/>
                <w:b/>
                <w:color w:val="auto"/>
                <w:szCs w:val="21"/>
                <w:u w:val="none"/>
                <w:lang w:val="en-US" w:eastAsia="zh-CN"/>
              </w:rPr>
              <w:t>危险废物贮存场所基本情况表</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359"/>
              <w:gridCol w:w="1592"/>
              <w:gridCol w:w="852"/>
              <w:gridCol w:w="1164"/>
              <w:gridCol w:w="913"/>
              <w:gridCol w:w="961"/>
              <w:gridCol w:w="789"/>
            </w:tblGrid>
            <w:tr w14:paraId="5F8EB7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00" w:type="pct"/>
                  <w:tcBorders>
                    <w:tl2br w:val="nil"/>
                    <w:tr2bl w:val="nil"/>
                  </w:tcBorders>
                  <w:noWrap w:val="0"/>
                  <w:vAlign w:val="center"/>
                </w:tcPr>
                <w:p w14:paraId="251F027D">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贮存场所名称</w:t>
                  </w:r>
                </w:p>
              </w:tc>
              <w:tc>
                <w:tcPr>
                  <w:tcW w:w="801" w:type="pct"/>
                  <w:tcBorders>
                    <w:tl2br w:val="nil"/>
                    <w:tr2bl w:val="nil"/>
                  </w:tcBorders>
                  <w:noWrap w:val="0"/>
                  <w:vAlign w:val="center"/>
                </w:tcPr>
                <w:p w14:paraId="24B09394">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固废名称</w:t>
                  </w:r>
                </w:p>
              </w:tc>
              <w:tc>
                <w:tcPr>
                  <w:tcW w:w="938" w:type="pct"/>
                  <w:tcBorders>
                    <w:tl2br w:val="nil"/>
                    <w:tr2bl w:val="nil"/>
                  </w:tcBorders>
                  <w:noWrap w:val="0"/>
                  <w:vAlign w:val="center"/>
                </w:tcPr>
                <w:p w14:paraId="2634FEBC">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危废类别/代码</w:t>
                  </w:r>
                </w:p>
              </w:tc>
              <w:tc>
                <w:tcPr>
                  <w:tcW w:w="502" w:type="pct"/>
                  <w:tcBorders>
                    <w:tl2br w:val="nil"/>
                    <w:tr2bl w:val="nil"/>
                  </w:tcBorders>
                  <w:noWrap w:val="0"/>
                  <w:vAlign w:val="center"/>
                </w:tcPr>
                <w:p w14:paraId="3F5E2B57">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暂存量</w:t>
                  </w:r>
                </w:p>
              </w:tc>
              <w:tc>
                <w:tcPr>
                  <w:tcW w:w="686" w:type="pct"/>
                  <w:tcBorders>
                    <w:tl2br w:val="nil"/>
                    <w:tr2bl w:val="nil"/>
                  </w:tcBorders>
                  <w:noWrap w:val="0"/>
                  <w:vAlign w:val="center"/>
                </w:tcPr>
                <w:p w14:paraId="2BF13D7A">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贮存方式</w:t>
                  </w:r>
                </w:p>
              </w:tc>
              <w:tc>
                <w:tcPr>
                  <w:tcW w:w="538" w:type="pct"/>
                  <w:tcBorders>
                    <w:tl2br w:val="nil"/>
                    <w:tr2bl w:val="nil"/>
                  </w:tcBorders>
                  <w:noWrap w:val="0"/>
                  <w:vAlign w:val="center"/>
                </w:tcPr>
                <w:p w14:paraId="6E39737B">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位置</w:t>
                  </w:r>
                </w:p>
              </w:tc>
              <w:tc>
                <w:tcPr>
                  <w:tcW w:w="566" w:type="pct"/>
                  <w:tcBorders>
                    <w:tl2br w:val="nil"/>
                    <w:tr2bl w:val="nil"/>
                  </w:tcBorders>
                  <w:noWrap w:val="0"/>
                  <w:vAlign w:val="center"/>
                </w:tcPr>
                <w:p w14:paraId="1E2E24B3">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占地面积</w:t>
                  </w:r>
                </w:p>
              </w:tc>
              <w:tc>
                <w:tcPr>
                  <w:tcW w:w="465" w:type="pct"/>
                  <w:tcBorders>
                    <w:tl2br w:val="nil"/>
                    <w:tr2bl w:val="nil"/>
                  </w:tcBorders>
                  <w:noWrap w:val="0"/>
                  <w:vAlign w:val="center"/>
                </w:tcPr>
                <w:p w14:paraId="3D6D45D7">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贮存周期</w:t>
                  </w:r>
                </w:p>
              </w:tc>
            </w:tr>
            <w:tr w14:paraId="1D863C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restart"/>
                  <w:tcBorders>
                    <w:tl2br w:val="nil"/>
                    <w:tr2bl w:val="nil"/>
                  </w:tcBorders>
                  <w:noWrap w:val="0"/>
                  <w:vAlign w:val="center"/>
                </w:tcPr>
                <w:p w14:paraId="6FE3BF6C">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cs="Times New Roman"/>
                      <w:color w:val="auto"/>
                      <w:kern w:val="2"/>
                      <w:sz w:val="21"/>
                      <w:szCs w:val="21"/>
                      <w:u w:val="none"/>
                      <w:lang w:val="en-US" w:eastAsia="zh-CN" w:bidi="ar-SA"/>
                    </w:rPr>
                  </w:pPr>
                  <w:r>
                    <w:rPr>
                      <w:rFonts w:hint="eastAsia" w:ascii="Times New Roman" w:hAnsi="Times New Roman" w:cs="Times New Roman"/>
                      <w:color w:val="auto"/>
                      <w:kern w:val="2"/>
                      <w:sz w:val="21"/>
                      <w:szCs w:val="21"/>
                      <w:u w:val="none"/>
                      <w:lang w:val="en-US" w:eastAsia="zh-CN" w:bidi="ar-SA"/>
                    </w:rPr>
                    <w:t>危废暂存间</w:t>
                  </w:r>
                </w:p>
              </w:tc>
              <w:tc>
                <w:tcPr>
                  <w:tcW w:w="801" w:type="pct"/>
                  <w:tcBorders>
                    <w:tl2br w:val="nil"/>
                    <w:tr2bl w:val="nil"/>
                  </w:tcBorders>
                  <w:shd w:val="clear" w:color="auto" w:fill="auto"/>
                  <w:noWrap w:val="0"/>
                  <w:vAlign w:val="center"/>
                </w:tcPr>
                <w:p w14:paraId="04CEB93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u w:val="none"/>
                      <w:lang w:val="en-US" w:eastAsia="zh-CN" w:bidi="ar-SA"/>
                    </w:rPr>
                  </w:pPr>
                  <w:r>
                    <w:rPr>
                      <w:rFonts w:hint="default" w:ascii="Times New Roman" w:hAnsi="Times New Roman" w:cs="Times New Roman"/>
                      <w:snapToGrid w:val="0"/>
                      <w:color w:val="000000"/>
                      <w:szCs w:val="21"/>
                      <w:u w:val="none"/>
                    </w:rPr>
                    <w:t>废</w:t>
                  </w:r>
                  <w:r>
                    <w:rPr>
                      <w:rFonts w:hint="eastAsia" w:cs="Times New Roman"/>
                      <w:snapToGrid w:val="0"/>
                      <w:color w:val="000000"/>
                      <w:szCs w:val="21"/>
                      <w:u w:val="none"/>
                      <w:lang w:val="en-US" w:eastAsia="zh-CN"/>
                    </w:rPr>
                    <w:t>矿物</w:t>
                  </w:r>
                  <w:r>
                    <w:rPr>
                      <w:rFonts w:hint="default" w:ascii="Times New Roman" w:hAnsi="Times New Roman" w:cs="Times New Roman"/>
                      <w:snapToGrid w:val="0"/>
                      <w:color w:val="000000"/>
                      <w:szCs w:val="21"/>
                      <w:u w:val="none"/>
                    </w:rPr>
                    <w:t>油</w:t>
                  </w:r>
                </w:p>
              </w:tc>
              <w:tc>
                <w:tcPr>
                  <w:tcW w:w="938" w:type="pct"/>
                  <w:tcBorders>
                    <w:tl2br w:val="nil"/>
                    <w:tr2bl w:val="nil"/>
                  </w:tcBorders>
                  <w:shd w:val="clear" w:color="auto" w:fill="auto"/>
                  <w:noWrap w:val="0"/>
                  <w:vAlign w:val="center"/>
                </w:tcPr>
                <w:p w14:paraId="0E4B31A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eastAsia="宋体" w:cs="Times New Roman"/>
                      <w:color w:val="000000"/>
                      <w:kern w:val="2"/>
                      <w:sz w:val="21"/>
                      <w:szCs w:val="21"/>
                      <w:u w:val="none"/>
                      <w:lang w:val="en-US" w:eastAsia="zh-CN" w:bidi="ar-SA"/>
                    </w:rPr>
                    <w:t>HW08 废矿物油与含矿物油废物</w:t>
                  </w:r>
                </w:p>
                <w:p w14:paraId="119794B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eastAsia="宋体" w:cs="Times New Roman"/>
                      <w:color w:val="000000"/>
                      <w:kern w:val="2"/>
                      <w:sz w:val="21"/>
                      <w:szCs w:val="21"/>
                      <w:u w:val="none"/>
                      <w:lang w:val="en-US" w:eastAsia="zh-CN" w:bidi="ar-SA"/>
                    </w:rPr>
                    <w:t>900-249-08</w:t>
                  </w:r>
                </w:p>
              </w:tc>
              <w:tc>
                <w:tcPr>
                  <w:tcW w:w="502" w:type="pct"/>
                  <w:tcBorders>
                    <w:tl2br w:val="nil"/>
                    <w:tr2bl w:val="nil"/>
                  </w:tcBorders>
                  <w:noWrap w:val="0"/>
                  <w:vAlign w:val="center"/>
                </w:tcPr>
                <w:p w14:paraId="713655AB">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1"/>
                      <w:szCs w:val="21"/>
                      <w:u w:val="none"/>
                      <w:lang w:val="zh-CN" w:eastAsia="zh-CN"/>
                    </w:rPr>
                    <w:t>0.</w:t>
                  </w:r>
                  <w:r>
                    <w:rPr>
                      <w:rFonts w:hint="eastAsia" w:ascii="Times New Roman" w:hAnsi="Times New Roman" w:eastAsia="宋体" w:cs="Times New Roman"/>
                      <w:color w:val="auto"/>
                      <w:sz w:val="21"/>
                      <w:szCs w:val="21"/>
                      <w:u w:val="none"/>
                      <w:lang w:val="en-US" w:eastAsia="zh-CN"/>
                    </w:rPr>
                    <w:t>1</w:t>
                  </w:r>
                </w:p>
              </w:tc>
              <w:tc>
                <w:tcPr>
                  <w:tcW w:w="686" w:type="pct"/>
                  <w:tcBorders>
                    <w:tl2br w:val="nil"/>
                    <w:tr2bl w:val="nil"/>
                  </w:tcBorders>
                  <w:noWrap w:val="0"/>
                  <w:vAlign w:val="center"/>
                </w:tcPr>
                <w:p w14:paraId="4791E81E">
                  <w:pPr>
                    <w:pStyle w:val="66"/>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default" w:ascii="Times New Roman" w:hAnsi="Times New Roman" w:eastAsia="宋体" w:cs="Times New Roman"/>
                      <w:bCs/>
                      <w:color w:val="auto"/>
                      <w:kern w:val="2"/>
                      <w:sz w:val="21"/>
                      <w:szCs w:val="21"/>
                      <w:u w:val="none"/>
                      <w:lang w:val="en-US" w:eastAsia="zh-CN" w:bidi="ar-SA"/>
                    </w:rPr>
                  </w:pPr>
                  <w:r>
                    <w:rPr>
                      <w:rFonts w:hint="default" w:ascii="Times New Roman" w:hAnsi="Times New Roman" w:cs="Times New Roman"/>
                      <w:bCs/>
                      <w:color w:val="auto"/>
                      <w:sz w:val="21"/>
                      <w:szCs w:val="21"/>
                      <w:u w:val="none"/>
                    </w:rPr>
                    <w:t>桶装</w:t>
                  </w:r>
                </w:p>
              </w:tc>
              <w:tc>
                <w:tcPr>
                  <w:tcW w:w="538" w:type="pct"/>
                  <w:vMerge w:val="restart"/>
                  <w:tcBorders>
                    <w:tl2br w:val="nil"/>
                    <w:tr2bl w:val="nil"/>
                  </w:tcBorders>
                  <w:noWrap w:val="0"/>
                  <w:vAlign w:val="center"/>
                </w:tcPr>
                <w:p w14:paraId="1BA52FAF">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厂区东</w:t>
                  </w:r>
                  <w:r>
                    <w:rPr>
                      <w:rFonts w:hint="eastAsia" w:cs="Times New Roman"/>
                      <w:color w:val="auto"/>
                      <w:sz w:val="21"/>
                      <w:szCs w:val="21"/>
                      <w:u w:val="none"/>
                      <w:lang w:val="en-US" w:eastAsia="zh-CN"/>
                    </w:rPr>
                    <w:t>南</w:t>
                  </w:r>
                  <w:r>
                    <w:rPr>
                      <w:rFonts w:hint="eastAsia" w:ascii="Times New Roman" w:hAnsi="Times New Roman" w:eastAsia="宋体" w:cs="Times New Roman"/>
                      <w:color w:val="auto"/>
                      <w:sz w:val="21"/>
                      <w:szCs w:val="21"/>
                      <w:u w:val="none"/>
                      <w:lang w:val="en-US" w:eastAsia="zh-CN"/>
                    </w:rPr>
                    <w:t>侧</w:t>
                  </w:r>
                </w:p>
              </w:tc>
              <w:tc>
                <w:tcPr>
                  <w:tcW w:w="566" w:type="pct"/>
                  <w:vMerge w:val="restart"/>
                  <w:tcBorders>
                    <w:tl2br w:val="nil"/>
                    <w:tr2bl w:val="nil"/>
                  </w:tcBorders>
                  <w:noWrap w:val="0"/>
                  <w:vAlign w:val="center"/>
                </w:tcPr>
                <w:p w14:paraId="750AB98F">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20</w:t>
                  </w:r>
                  <w:r>
                    <w:rPr>
                      <w:rFonts w:hint="eastAsia" w:ascii="Times New Roman" w:hAnsi="Times New Roman" w:eastAsia="宋体" w:cs="Times New Roman"/>
                      <w:color w:val="auto"/>
                      <w:sz w:val="21"/>
                      <w:szCs w:val="21"/>
                      <w:u w:val="none"/>
                      <w:lang w:val="en-US" w:eastAsia="zh-CN"/>
                    </w:rPr>
                    <w:t>m</w:t>
                  </w:r>
                  <w:r>
                    <w:rPr>
                      <w:rFonts w:hint="eastAsia" w:ascii="Times New Roman" w:hAnsi="Times New Roman" w:eastAsia="宋体" w:cs="Times New Roman"/>
                      <w:color w:val="auto"/>
                      <w:sz w:val="21"/>
                      <w:szCs w:val="21"/>
                      <w:u w:val="none"/>
                      <w:vertAlign w:val="superscript"/>
                      <w:lang w:val="en-US" w:eastAsia="zh-CN"/>
                    </w:rPr>
                    <w:t>2</w:t>
                  </w:r>
                </w:p>
              </w:tc>
              <w:tc>
                <w:tcPr>
                  <w:tcW w:w="465" w:type="pct"/>
                  <w:tcBorders>
                    <w:tl2br w:val="nil"/>
                    <w:tr2bl w:val="nil"/>
                  </w:tcBorders>
                  <w:noWrap w:val="0"/>
                  <w:vAlign w:val="center"/>
                </w:tcPr>
                <w:p w14:paraId="26CD2B30">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3个月</w:t>
                  </w:r>
                </w:p>
              </w:tc>
            </w:tr>
            <w:tr w14:paraId="18F2C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continue"/>
                  <w:tcBorders>
                    <w:tl2br w:val="nil"/>
                    <w:tr2bl w:val="nil"/>
                  </w:tcBorders>
                  <w:noWrap w:val="0"/>
                  <w:vAlign w:val="center"/>
                </w:tcPr>
                <w:p w14:paraId="2475671B">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kern w:val="2"/>
                      <w:sz w:val="21"/>
                      <w:szCs w:val="21"/>
                      <w:u w:val="none"/>
                      <w:lang w:val="en-US" w:eastAsia="zh-CN" w:bidi="ar-SA"/>
                    </w:rPr>
                  </w:pPr>
                </w:p>
              </w:tc>
              <w:tc>
                <w:tcPr>
                  <w:tcW w:w="801" w:type="pct"/>
                  <w:tcBorders>
                    <w:tl2br w:val="nil"/>
                    <w:tr2bl w:val="nil"/>
                  </w:tcBorders>
                  <w:shd w:val="clear" w:color="auto" w:fill="auto"/>
                  <w:noWrap w:val="0"/>
                  <w:vAlign w:val="center"/>
                </w:tcPr>
                <w:p w14:paraId="495CB91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default" w:ascii="Times New Roman" w:hAnsi="Times New Roman" w:cs="Times New Roman"/>
                      <w:snapToGrid w:val="0"/>
                      <w:color w:val="000000"/>
                      <w:szCs w:val="21"/>
                      <w:u w:val="none"/>
                    </w:rPr>
                    <w:t>废包装桶</w:t>
                  </w:r>
                </w:p>
              </w:tc>
              <w:tc>
                <w:tcPr>
                  <w:tcW w:w="938" w:type="pct"/>
                  <w:tcBorders>
                    <w:tl2br w:val="nil"/>
                    <w:tr2bl w:val="nil"/>
                  </w:tcBorders>
                  <w:shd w:val="clear" w:color="auto" w:fill="auto"/>
                  <w:noWrap w:val="0"/>
                  <w:vAlign w:val="center"/>
                </w:tcPr>
                <w:p w14:paraId="4D7F692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HW49 其他废物</w:t>
                  </w:r>
                </w:p>
                <w:p w14:paraId="523E6F2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900-041-49</w:t>
                  </w:r>
                </w:p>
              </w:tc>
              <w:tc>
                <w:tcPr>
                  <w:tcW w:w="502" w:type="pct"/>
                  <w:tcBorders>
                    <w:tl2br w:val="nil"/>
                    <w:tr2bl w:val="nil"/>
                  </w:tcBorders>
                  <w:noWrap w:val="0"/>
                  <w:vAlign w:val="center"/>
                </w:tcPr>
                <w:p w14:paraId="698DBC36">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zh-CN" w:eastAsia="zh-CN"/>
                    </w:rPr>
                  </w:pPr>
                  <w:r>
                    <w:rPr>
                      <w:rFonts w:hint="eastAsia" w:ascii="Times New Roman" w:hAnsi="Times New Roman" w:eastAsia="宋体" w:cs="Times New Roman"/>
                      <w:color w:val="auto"/>
                      <w:sz w:val="21"/>
                      <w:szCs w:val="21"/>
                      <w:u w:val="none"/>
                      <w:lang w:val="zh-CN" w:eastAsia="zh-CN"/>
                    </w:rPr>
                    <w:t>0.</w:t>
                  </w:r>
                  <w:r>
                    <w:rPr>
                      <w:rFonts w:hint="eastAsia" w:ascii="Times New Roman" w:hAnsi="Times New Roman" w:eastAsia="宋体" w:cs="Times New Roman"/>
                      <w:color w:val="auto"/>
                      <w:sz w:val="21"/>
                      <w:szCs w:val="21"/>
                      <w:u w:val="none"/>
                      <w:lang w:val="en-US" w:eastAsia="zh-CN"/>
                    </w:rPr>
                    <w:t>1</w:t>
                  </w:r>
                </w:p>
              </w:tc>
              <w:tc>
                <w:tcPr>
                  <w:tcW w:w="686" w:type="pct"/>
                  <w:tcBorders>
                    <w:tl2br w:val="nil"/>
                    <w:tr2bl w:val="nil"/>
                  </w:tcBorders>
                  <w:noWrap w:val="0"/>
                  <w:vAlign w:val="center"/>
                </w:tcPr>
                <w:p w14:paraId="65780708">
                  <w:pPr>
                    <w:pStyle w:val="66"/>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default" w:ascii="Times New Roman" w:hAnsi="Times New Roman" w:cs="Times New Roman"/>
                      <w:bCs/>
                      <w:color w:val="auto"/>
                      <w:sz w:val="21"/>
                      <w:szCs w:val="21"/>
                      <w:u w:val="none"/>
                    </w:rPr>
                  </w:pPr>
                  <w:r>
                    <w:rPr>
                      <w:rFonts w:hint="eastAsia" w:eastAsia="宋体" w:cs="Times New Roman"/>
                      <w:bCs/>
                      <w:color w:val="auto"/>
                      <w:sz w:val="21"/>
                      <w:szCs w:val="21"/>
                      <w:u w:val="none"/>
                      <w:lang w:val="en-US" w:eastAsia="zh-CN"/>
                    </w:rPr>
                    <w:t>/</w:t>
                  </w:r>
                </w:p>
              </w:tc>
              <w:tc>
                <w:tcPr>
                  <w:tcW w:w="538" w:type="pct"/>
                  <w:vMerge w:val="continue"/>
                  <w:tcBorders>
                    <w:tl2br w:val="nil"/>
                    <w:tr2bl w:val="nil"/>
                  </w:tcBorders>
                  <w:noWrap w:val="0"/>
                  <w:vAlign w:val="center"/>
                </w:tcPr>
                <w:p w14:paraId="0BA897AF">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p>
              </w:tc>
              <w:tc>
                <w:tcPr>
                  <w:tcW w:w="566" w:type="pct"/>
                  <w:vMerge w:val="continue"/>
                  <w:tcBorders>
                    <w:tl2br w:val="nil"/>
                    <w:tr2bl w:val="nil"/>
                  </w:tcBorders>
                  <w:noWrap w:val="0"/>
                  <w:vAlign w:val="center"/>
                </w:tcPr>
                <w:p w14:paraId="1A33B069">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sz w:val="21"/>
                      <w:szCs w:val="21"/>
                      <w:u w:val="none"/>
                      <w:lang w:val="en-US" w:eastAsia="zh-CN"/>
                    </w:rPr>
                  </w:pPr>
                </w:p>
              </w:tc>
              <w:tc>
                <w:tcPr>
                  <w:tcW w:w="465" w:type="pct"/>
                  <w:tcBorders>
                    <w:tl2br w:val="nil"/>
                    <w:tr2bl w:val="nil"/>
                  </w:tcBorders>
                  <w:noWrap w:val="0"/>
                  <w:vAlign w:val="center"/>
                </w:tcPr>
                <w:p w14:paraId="4C8B02FE">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Arial" w:hAnsi="Arial" w:cs="Arial"/>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3个月</w:t>
                  </w:r>
                </w:p>
              </w:tc>
            </w:tr>
            <w:tr w14:paraId="49862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continue"/>
                  <w:tcBorders>
                    <w:tl2br w:val="nil"/>
                    <w:tr2bl w:val="nil"/>
                  </w:tcBorders>
                  <w:noWrap w:val="0"/>
                  <w:vAlign w:val="center"/>
                </w:tcPr>
                <w:p w14:paraId="3CD1EE84">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kern w:val="2"/>
                      <w:sz w:val="21"/>
                      <w:szCs w:val="21"/>
                      <w:u w:val="none"/>
                      <w:lang w:val="en-US" w:eastAsia="zh-CN" w:bidi="ar-SA"/>
                    </w:rPr>
                  </w:pPr>
                </w:p>
              </w:tc>
              <w:tc>
                <w:tcPr>
                  <w:tcW w:w="801" w:type="pct"/>
                  <w:tcBorders>
                    <w:tl2br w:val="nil"/>
                    <w:tr2bl w:val="nil"/>
                  </w:tcBorders>
                  <w:shd w:val="clear" w:color="auto" w:fill="auto"/>
                  <w:noWrap w:val="0"/>
                  <w:vAlign w:val="center"/>
                </w:tcPr>
                <w:p w14:paraId="57BB90B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cs="Times New Roman"/>
                      <w:color w:val="000000"/>
                      <w:szCs w:val="21"/>
                      <w:u w:val="none"/>
                    </w:rPr>
                    <w:t>沾有油墨的废膜</w:t>
                  </w:r>
                </w:p>
              </w:tc>
              <w:tc>
                <w:tcPr>
                  <w:tcW w:w="938" w:type="pct"/>
                  <w:tcBorders>
                    <w:tl2br w:val="nil"/>
                    <w:tr2bl w:val="nil"/>
                  </w:tcBorders>
                  <w:shd w:val="clear" w:color="auto" w:fill="auto"/>
                  <w:noWrap w:val="0"/>
                  <w:vAlign w:val="center"/>
                </w:tcPr>
                <w:p w14:paraId="1B0CF90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HW12 染料、涂料废物</w:t>
                  </w:r>
                </w:p>
                <w:p w14:paraId="7ED77C6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900-253-12</w:t>
                  </w:r>
                </w:p>
              </w:tc>
              <w:tc>
                <w:tcPr>
                  <w:tcW w:w="502" w:type="pct"/>
                  <w:tcBorders>
                    <w:tl2br w:val="nil"/>
                    <w:tr2bl w:val="nil"/>
                  </w:tcBorders>
                  <w:noWrap w:val="0"/>
                  <w:vAlign w:val="center"/>
                </w:tcPr>
                <w:p w14:paraId="4E25548E">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0.1</w:t>
                  </w:r>
                </w:p>
              </w:tc>
              <w:tc>
                <w:tcPr>
                  <w:tcW w:w="686" w:type="pct"/>
                  <w:tcBorders>
                    <w:tl2br w:val="nil"/>
                    <w:tr2bl w:val="nil"/>
                  </w:tcBorders>
                  <w:noWrap w:val="0"/>
                  <w:vAlign w:val="center"/>
                </w:tcPr>
                <w:p w14:paraId="529CE6E5">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eastAsia" w:ascii="Times New Roman" w:hAnsi="Times New Roman" w:eastAsia="宋体" w:cs="Times New Roman"/>
                      <w:bCs/>
                      <w:color w:val="auto"/>
                      <w:sz w:val="21"/>
                      <w:szCs w:val="21"/>
                      <w:u w:val="none"/>
                      <w:lang w:val="en-US" w:eastAsia="zh-CN"/>
                    </w:rPr>
                  </w:pPr>
                  <w:r>
                    <w:rPr>
                      <w:rFonts w:hint="default" w:ascii="Times New Roman" w:hAnsi="Times New Roman" w:cs="Times New Roman"/>
                      <w:bCs/>
                      <w:color w:val="auto"/>
                      <w:sz w:val="21"/>
                      <w:szCs w:val="21"/>
                      <w:u w:val="none"/>
                    </w:rPr>
                    <w:t>桶装</w:t>
                  </w:r>
                </w:p>
              </w:tc>
              <w:tc>
                <w:tcPr>
                  <w:tcW w:w="538" w:type="pct"/>
                  <w:vMerge w:val="continue"/>
                  <w:tcBorders>
                    <w:tl2br w:val="nil"/>
                    <w:tr2bl w:val="nil"/>
                  </w:tcBorders>
                  <w:noWrap w:val="0"/>
                  <w:vAlign w:val="center"/>
                </w:tcPr>
                <w:p w14:paraId="22E3A389">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p>
              </w:tc>
              <w:tc>
                <w:tcPr>
                  <w:tcW w:w="566" w:type="pct"/>
                  <w:vMerge w:val="continue"/>
                  <w:tcBorders>
                    <w:tl2br w:val="nil"/>
                    <w:tr2bl w:val="nil"/>
                  </w:tcBorders>
                  <w:noWrap w:val="0"/>
                  <w:vAlign w:val="center"/>
                </w:tcPr>
                <w:p w14:paraId="6126214B">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sz w:val="21"/>
                      <w:szCs w:val="21"/>
                      <w:u w:val="none"/>
                      <w:lang w:val="en-US" w:eastAsia="zh-CN"/>
                    </w:rPr>
                  </w:pPr>
                </w:p>
              </w:tc>
              <w:tc>
                <w:tcPr>
                  <w:tcW w:w="465" w:type="pct"/>
                  <w:tcBorders>
                    <w:tl2br w:val="nil"/>
                    <w:tr2bl w:val="nil"/>
                  </w:tcBorders>
                  <w:noWrap w:val="0"/>
                  <w:vAlign w:val="center"/>
                </w:tcPr>
                <w:p w14:paraId="5A6D3957">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Arial" w:hAnsi="Arial" w:cs="Arial"/>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3个月</w:t>
                  </w:r>
                </w:p>
              </w:tc>
            </w:tr>
            <w:tr w14:paraId="1F8A26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continue"/>
                  <w:tcBorders>
                    <w:tl2br w:val="nil"/>
                    <w:tr2bl w:val="nil"/>
                  </w:tcBorders>
                  <w:noWrap w:val="0"/>
                  <w:vAlign w:val="center"/>
                </w:tcPr>
                <w:p w14:paraId="4AE8A302">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kern w:val="2"/>
                      <w:sz w:val="21"/>
                      <w:szCs w:val="21"/>
                      <w:u w:val="none"/>
                      <w:lang w:val="en-US" w:eastAsia="zh-CN" w:bidi="ar-SA"/>
                    </w:rPr>
                  </w:pPr>
                </w:p>
              </w:tc>
              <w:tc>
                <w:tcPr>
                  <w:tcW w:w="801" w:type="pct"/>
                  <w:tcBorders>
                    <w:tl2br w:val="nil"/>
                    <w:tr2bl w:val="nil"/>
                  </w:tcBorders>
                  <w:shd w:val="clear" w:color="auto" w:fill="auto"/>
                  <w:noWrap w:val="0"/>
                  <w:vAlign w:val="center"/>
                </w:tcPr>
                <w:p w14:paraId="3F92714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cs="Times New Roman"/>
                      <w:color w:val="000000"/>
                      <w:szCs w:val="21"/>
                      <w:u w:val="none"/>
                    </w:rPr>
                    <w:t>沾染有机溶剂</w:t>
                  </w:r>
                  <w:r>
                    <w:rPr>
                      <w:rFonts w:hint="eastAsia" w:cs="Times New Roman"/>
                      <w:color w:val="000000"/>
                      <w:szCs w:val="21"/>
                      <w:u w:val="none"/>
                      <w:lang w:eastAsia="zh-CN"/>
                    </w:rPr>
                    <w:t>、</w:t>
                  </w:r>
                  <w:r>
                    <w:rPr>
                      <w:rFonts w:hint="eastAsia" w:cs="Times New Roman"/>
                      <w:color w:val="000000"/>
                      <w:szCs w:val="21"/>
                      <w:u w:val="none"/>
                      <w:lang w:val="en-US" w:eastAsia="zh-CN"/>
                    </w:rPr>
                    <w:t>矿物油</w:t>
                  </w:r>
                  <w:r>
                    <w:rPr>
                      <w:rFonts w:hint="eastAsia" w:ascii="Times New Roman" w:hAnsi="Times New Roman" w:cs="Times New Roman"/>
                      <w:color w:val="000000"/>
                      <w:szCs w:val="21"/>
                      <w:u w:val="none"/>
                    </w:rPr>
                    <w:t>的废抹布</w:t>
                  </w:r>
                </w:p>
              </w:tc>
              <w:tc>
                <w:tcPr>
                  <w:tcW w:w="938" w:type="pct"/>
                  <w:tcBorders>
                    <w:tl2br w:val="nil"/>
                    <w:tr2bl w:val="nil"/>
                  </w:tcBorders>
                  <w:shd w:val="clear" w:color="auto" w:fill="auto"/>
                  <w:noWrap w:val="0"/>
                  <w:vAlign w:val="center"/>
                </w:tcPr>
                <w:p w14:paraId="1E87BE5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HW49 其他废物</w:t>
                  </w:r>
                </w:p>
                <w:p w14:paraId="7DC5566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900-041-49</w:t>
                  </w:r>
                </w:p>
              </w:tc>
              <w:tc>
                <w:tcPr>
                  <w:tcW w:w="502" w:type="pct"/>
                  <w:tcBorders>
                    <w:tl2br w:val="nil"/>
                    <w:tr2bl w:val="nil"/>
                  </w:tcBorders>
                  <w:noWrap w:val="0"/>
                  <w:vAlign w:val="center"/>
                </w:tcPr>
                <w:p w14:paraId="31021DC6">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0.1</w:t>
                  </w:r>
                </w:p>
              </w:tc>
              <w:tc>
                <w:tcPr>
                  <w:tcW w:w="686" w:type="pct"/>
                  <w:tcBorders>
                    <w:tl2br w:val="nil"/>
                    <w:tr2bl w:val="nil"/>
                  </w:tcBorders>
                  <w:noWrap w:val="0"/>
                  <w:vAlign w:val="center"/>
                </w:tcPr>
                <w:p w14:paraId="2363ED1C">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eastAsia" w:ascii="Times New Roman" w:hAnsi="Times New Roman" w:eastAsia="宋体" w:cs="Times New Roman"/>
                      <w:bCs/>
                      <w:color w:val="auto"/>
                      <w:sz w:val="21"/>
                      <w:szCs w:val="21"/>
                      <w:u w:val="none"/>
                      <w:lang w:val="en-US" w:eastAsia="zh-CN"/>
                    </w:rPr>
                  </w:pPr>
                  <w:r>
                    <w:rPr>
                      <w:rFonts w:hint="default" w:ascii="Times New Roman" w:hAnsi="Times New Roman" w:cs="Times New Roman"/>
                      <w:bCs/>
                      <w:color w:val="auto"/>
                      <w:sz w:val="21"/>
                      <w:szCs w:val="21"/>
                      <w:u w:val="none"/>
                    </w:rPr>
                    <w:t>桶装</w:t>
                  </w:r>
                </w:p>
              </w:tc>
              <w:tc>
                <w:tcPr>
                  <w:tcW w:w="538" w:type="pct"/>
                  <w:vMerge w:val="continue"/>
                  <w:tcBorders>
                    <w:tl2br w:val="nil"/>
                    <w:tr2bl w:val="nil"/>
                  </w:tcBorders>
                  <w:noWrap w:val="0"/>
                  <w:vAlign w:val="center"/>
                </w:tcPr>
                <w:p w14:paraId="55E61A1E">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p>
              </w:tc>
              <w:tc>
                <w:tcPr>
                  <w:tcW w:w="566" w:type="pct"/>
                  <w:vMerge w:val="continue"/>
                  <w:tcBorders>
                    <w:tl2br w:val="nil"/>
                    <w:tr2bl w:val="nil"/>
                  </w:tcBorders>
                  <w:noWrap w:val="0"/>
                  <w:vAlign w:val="center"/>
                </w:tcPr>
                <w:p w14:paraId="72DD5E90">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sz w:val="21"/>
                      <w:szCs w:val="21"/>
                      <w:u w:val="none"/>
                      <w:lang w:val="en-US" w:eastAsia="zh-CN"/>
                    </w:rPr>
                  </w:pPr>
                </w:p>
              </w:tc>
              <w:tc>
                <w:tcPr>
                  <w:tcW w:w="465" w:type="pct"/>
                  <w:tcBorders>
                    <w:tl2br w:val="nil"/>
                    <w:tr2bl w:val="nil"/>
                  </w:tcBorders>
                  <w:noWrap w:val="0"/>
                  <w:vAlign w:val="center"/>
                </w:tcPr>
                <w:p w14:paraId="7E798CF5">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Arial" w:hAnsi="Arial" w:cs="Arial"/>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3个月</w:t>
                  </w:r>
                </w:p>
              </w:tc>
            </w:tr>
            <w:tr w14:paraId="4F71D6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continue"/>
                  <w:tcBorders>
                    <w:tl2br w:val="nil"/>
                    <w:tr2bl w:val="nil"/>
                  </w:tcBorders>
                  <w:noWrap w:val="0"/>
                  <w:vAlign w:val="center"/>
                </w:tcPr>
                <w:p w14:paraId="3FEA3D3C">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kern w:val="2"/>
                      <w:sz w:val="21"/>
                      <w:szCs w:val="21"/>
                      <w:u w:val="none"/>
                      <w:lang w:val="en-US" w:eastAsia="zh-CN" w:bidi="ar-SA"/>
                    </w:rPr>
                  </w:pPr>
                </w:p>
              </w:tc>
              <w:tc>
                <w:tcPr>
                  <w:tcW w:w="801" w:type="pct"/>
                  <w:tcBorders>
                    <w:tl2br w:val="nil"/>
                    <w:tr2bl w:val="nil"/>
                  </w:tcBorders>
                  <w:shd w:val="clear" w:color="auto" w:fill="auto"/>
                  <w:noWrap w:val="0"/>
                  <w:vAlign w:val="center"/>
                </w:tcPr>
                <w:p w14:paraId="0FFD559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cs="Times New Roman"/>
                      <w:color w:val="000000"/>
                      <w:szCs w:val="21"/>
                      <w:u w:val="none"/>
                    </w:rPr>
                    <w:t>废油墨</w:t>
                  </w:r>
                </w:p>
              </w:tc>
              <w:tc>
                <w:tcPr>
                  <w:tcW w:w="938" w:type="pct"/>
                  <w:tcBorders>
                    <w:tl2br w:val="nil"/>
                    <w:tr2bl w:val="nil"/>
                  </w:tcBorders>
                  <w:shd w:val="clear" w:color="auto" w:fill="auto"/>
                  <w:noWrap w:val="0"/>
                  <w:vAlign w:val="center"/>
                </w:tcPr>
                <w:p w14:paraId="4B8A273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HW12 染料、涂料废物</w:t>
                  </w:r>
                </w:p>
                <w:p w14:paraId="2D2913D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264-013-12</w:t>
                  </w:r>
                </w:p>
              </w:tc>
              <w:tc>
                <w:tcPr>
                  <w:tcW w:w="502" w:type="pct"/>
                  <w:tcBorders>
                    <w:tl2br w:val="nil"/>
                    <w:tr2bl w:val="nil"/>
                  </w:tcBorders>
                  <w:noWrap w:val="0"/>
                  <w:vAlign w:val="center"/>
                </w:tcPr>
                <w:p w14:paraId="31466F9E">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0.2</w:t>
                  </w:r>
                </w:p>
              </w:tc>
              <w:tc>
                <w:tcPr>
                  <w:tcW w:w="686" w:type="pct"/>
                  <w:tcBorders>
                    <w:tl2br w:val="nil"/>
                    <w:tr2bl w:val="nil"/>
                  </w:tcBorders>
                  <w:noWrap w:val="0"/>
                  <w:vAlign w:val="center"/>
                </w:tcPr>
                <w:p w14:paraId="478FB652">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eastAsia" w:ascii="Times New Roman" w:hAnsi="Times New Roman" w:eastAsia="宋体" w:cs="Times New Roman"/>
                      <w:bCs/>
                      <w:color w:val="auto"/>
                      <w:sz w:val="21"/>
                      <w:szCs w:val="21"/>
                      <w:u w:val="none"/>
                      <w:lang w:val="en-US" w:eastAsia="zh-CN"/>
                    </w:rPr>
                  </w:pPr>
                  <w:r>
                    <w:rPr>
                      <w:rFonts w:hint="default" w:ascii="Times New Roman" w:hAnsi="Times New Roman" w:cs="Times New Roman"/>
                      <w:bCs/>
                      <w:color w:val="auto"/>
                      <w:sz w:val="21"/>
                      <w:szCs w:val="21"/>
                      <w:u w:val="none"/>
                    </w:rPr>
                    <w:t>桶装</w:t>
                  </w:r>
                </w:p>
              </w:tc>
              <w:tc>
                <w:tcPr>
                  <w:tcW w:w="538" w:type="pct"/>
                  <w:vMerge w:val="continue"/>
                  <w:tcBorders>
                    <w:tl2br w:val="nil"/>
                    <w:tr2bl w:val="nil"/>
                  </w:tcBorders>
                  <w:noWrap w:val="0"/>
                  <w:vAlign w:val="center"/>
                </w:tcPr>
                <w:p w14:paraId="49DE61F1">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p>
              </w:tc>
              <w:tc>
                <w:tcPr>
                  <w:tcW w:w="566" w:type="pct"/>
                  <w:vMerge w:val="continue"/>
                  <w:tcBorders>
                    <w:tl2br w:val="nil"/>
                    <w:tr2bl w:val="nil"/>
                  </w:tcBorders>
                  <w:noWrap w:val="0"/>
                  <w:vAlign w:val="center"/>
                </w:tcPr>
                <w:p w14:paraId="2305362D">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sz w:val="21"/>
                      <w:szCs w:val="21"/>
                      <w:u w:val="none"/>
                      <w:lang w:val="en-US" w:eastAsia="zh-CN"/>
                    </w:rPr>
                  </w:pPr>
                </w:p>
              </w:tc>
              <w:tc>
                <w:tcPr>
                  <w:tcW w:w="465" w:type="pct"/>
                  <w:tcBorders>
                    <w:tl2br w:val="nil"/>
                    <w:tr2bl w:val="nil"/>
                  </w:tcBorders>
                  <w:noWrap w:val="0"/>
                  <w:vAlign w:val="center"/>
                </w:tcPr>
                <w:p w14:paraId="7FA48CEA">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Arial" w:hAnsi="Arial" w:cs="Arial"/>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3个月</w:t>
                  </w:r>
                </w:p>
              </w:tc>
            </w:tr>
            <w:tr w14:paraId="472C76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 w:type="pct"/>
                  <w:vMerge w:val="continue"/>
                  <w:tcBorders>
                    <w:tl2br w:val="nil"/>
                    <w:tr2bl w:val="nil"/>
                  </w:tcBorders>
                  <w:noWrap w:val="0"/>
                  <w:vAlign w:val="center"/>
                </w:tcPr>
                <w:p w14:paraId="066F1867">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kern w:val="2"/>
                      <w:sz w:val="21"/>
                      <w:szCs w:val="21"/>
                      <w:u w:val="none"/>
                      <w:lang w:val="en-US" w:eastAsia="zh-CN" w:bidi="ar-SA"/>
                    </w:rPr>
                  </w:pPr>
                </w:p>
              </w:tc>
              <w:tc>
                <w:tcPr>
                  <w:tcW w:w="801" w:type="pct"/>
                  <w:tcBorders>
                    <w:tl2br w:val="nil"/>
                    <w:tr2bl w:val="nil"/>
                  </w:tcBorders>
                  <w:shd w:val="clear" w:color="auto" w:fill="auto"/>
                  <w:noWrap w:val="0"/>
                  <w:vAlign w:val="center"/>
                </w:tcPr>
                <w:p w14:paraId="3B9412E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u w:val="none"/>
                      <w:lang w:val="en-US" w:eastAsia="zh-CN" w:bidi="ar-SA"/>
                    </w:rPr>
                  </w:pPr>
                  <w:r>
                    <w:rPr>
                      <w:rFonts w:hint="eastAsia" w:ascii="Times New Roman" w:hAnsi="Times New Roman" w:cs="Times New Roman"/>
                      <w:color w:val="000000"/>
                      <w:szCs w:val="21"/>
                      <w:u w:val="none"/>
                    </w:rPr>
                    <w:t>废沸石转轮</w:t>
                  </w:r>
                </w:p>
              </w:tc>
              <w:tc>
                <w:tcPr>
                  <w:tcW w:w="938" w:type="pct"/>
                  <w:tcBorders>
                    <w:tl2br w:val="nil"/>
                    <w:tr2bl w:val="nil"/>
                  </w:tcBorders>
                  <w:shd w:val="clear" w:color="auto" w:fill="auto"/>
                  <w:noWrap w:val="0"/>
                  <w:vAlign w:val="center"/>
                </w:tcPr>
                <w:p w14:paraId="3037F6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000000"/>
                      <w:kern w:val="2"/>
                      <w:sz w:val="21"/>
                      <w:szCs w:val="21"/>
                      <w:u w:val="none"/>
                      <w:lang w:val="en-US" w:eastAsia="zh-CN" w:bidi="ar-SA"/>
                    </w:rPr>
                  </w:pPr>
                  <w:r>
                    <w:rPr>
                      <w:rFonts w:hint="eastAsia" w:ascii="Times New Roman" w:hAnsi="Times New Roman" w:eastAsia="宋体" w:cs="Times New Roman"/>
                      <w:snapToGrid w:val="0"/>
                      <w:color w:val="000000"/>
                      <w:kern w:val="2"/>
                      <w:sz w:val="21"/>
                      <w:szCs w:val="21"/>
                      <w:u w:val="none"/>
                      <w:lang w:val="en-US" w:eastAsia="zh-CN" w:bidi="ar-SA"/>
                    </w:rPr>
                    <w:t>HW49 其他废物900-0</w:t>
                  </w:r>
                  <w:r>
                    <w:rPr>
                      <w:rFonts w:hint="eastAsia" w:cs="Times New Roman"/>
                      <w:snapToGrid w:val="0"/>
                      <w:color w:val="000000"/>
                      <w:kern w:val="2"/>
                      <w:sz w:val="21"/>
                      <w:szCs w:val="21"/>
                      <w:u w:val="none"/>
                      <w:lang w:val="en-US" w:eastAsia="zh-CN" w:bidi="ar-SA"/>
                    </w:rPr>
                    <w:t>41</w:t>
                  </w:r>
                  <w:r>
                    <w:rPr>
                      <w:rFonts w:hint="eastAsia" w:ascii="Times New Roman" w:hAnsi="Times New Roman" w:eastAsia="宋体" w:cs="Times New Roman"/>
                      <w:snapToGrid w:val="0"/>
                      <w:color w:val="000000"/>
                      <w:kern w:val="2"/>
                      <w:sz w:val="21"/>
                      <w:szCs w:val="21"/>
                      <w:u w:val="none"/>
                      <w:lang w:val="en-US" w:eastAsia="zh-CN" w:bidi="ar-SA"/>
                    </w:rPr>
                    <w:t>-49</w:t>
                  </w:r>
                </w:p>
              </w:tc>
              <w:tc>
                <w:tcPr>
                  <w:tcW w:w="502" w:type="pct"/>
                  <w:tcBorders>
                    <w:tl2br w:val="nil"/>
                    <w:tr2bl w:val="nil"/>
                  </w:tcBorders>
                  <w:noWrap w:val="0"/>
                  <w:vAlign w:val="center"/>
                </w:tcPr>
                <w:p w14:paraId="0DE954CB">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6.4</w:t>
                  </w:r>
                </w:p>
              </w:tc>
              <w:tc>
                <w:tcPr>
                  <w:tcW w:w="686" w:type="pct"/>
                  <w:tcBorders>
                    <w:tl2br w:val="nil"/>
                    <w:tr2bl w:val="nil"/>
                  </w:tcBorders>
                  <w:noWrap w:val="0"/>
                  <w:vAlign w:val="center"/>
                </w:tcPr>
                <w:p w14:paraId="42275219">
                  <w:pPr>
                    <w:keepNext w:val="0"/>
                    <w:keepLines w:val="0"/>
                    <w:pageBreakBefore w:val="0"/>
                    <w:widowControl w:val="0"/>
                    <w:suppressLineNumbers w:val="0"/>
                    <w:kinsoku/>
                    <w:wordWrap/>
                    <w:overflowPunct/>
                    <w:topLinePunct w:val="0"/>
                    <w:bidi w:val="0"/>
                    <w:snapToGrid/>
                    <w:spacing w:before="0" w:beforeAutospacing="0" w:after="0" w:afterAutospacing="0"/>
                    <w:ind w:left="0" w:leftChars="0" w:right="-53" w:rightChars="-25" w:firstLine="0" w:firstLineChars="0"/>
                    <w:jc w:val="center"/>
                    <w:textAlignment w:val="auto"/>
                    <w:rPr>
                      <w:rFonts w:hint="eastAsia" w:ascii="Times New Roman" w:hAnsi="Times New Roman" w:eastAsia="宋体" w:cs="Times New Roman"/>
                      <w:bCs/>
                      <w:color w:val="auto"/>
                      <w:sz w:val="21"/>
                      <w:szCs w:val="21"/>
                      <w:u w:val="none"/>
                      <w:lang w:val="en-US" w:eastAsia="zh-CN"/>
                    </w:rPr>
                  </w:pPr>
                  <w:r>
                    <w:rPr>
                      <w:rFonts w:hint="default" w:ascii="Times New Roman" w:hAnsi="Times New Roman" w:cs="Times New Roman"/>
                      <w:bCs/>
                      <w:color w:val="auto"/>
                      <w:sz w:val="21"/>
                      <w:szCs w:val="21"/>
                      <w:u w:val="none"/>
                    </w:rPr>
                    <w:t>桶装</w:t>
                  </w:r>
                </w:p>
              </w:tc>
              <w:tc>
                <w:tcPr>
                  <w:tcW w:w="538" w:type="pct"/>
                  <w:vMerge w:val="continue"/>
                  <w:tcBorders>
                    <w:tl2br w:val="nil"/>
                    <w:tr2bl w:val="nil"/>
                  </w:tcBorders>
                  <w:noWrap w:val="0"/>
                  <w:vAlign w:val="center"/>
                </w:tcPr>
                <w:p w14:paraId="13FF28F6">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eastAsia="宋体" w:cs="Times New Roman"/>
                      <w:color w:val="auto"/>
                      <w:sz w:val="21"/>
                      <w:szCs w:val="21"/>
                      <w:u w:val="none"/>
                      <w:lang w:val="en-US" w:eastAsia="zh-CN"/>
                    </w:rPr>
                  </w:pPr>
                </w:p>
              </w:tc>
              <w:tc>
                <w:tcPr>
                  <w:tcW w:w="566" w:type="pct"/>
                  <w:vMerge w:val="continue"/>
                  <w:tcBorders>
                    <w:tl2br w:val="nil"/>
                    <w:tr2bl w:val="nil"/>
                  </w:tcBorders>
                  <w:noWrap w:val="0"/>
                  <w:vAlign w:val="center"/>
                </w:tcPr>
                <w:p w14:paraId="49C91D05">
                  <w:pPr>
                    <w:keepNext w:val="0"/>
                    <w:keepLines w:val="0"/>
                    <w:pageBreakBefore w:val="0"/>
                    <w:widowControl w:val="0"/>
                    <w:suppressLineNumbers w:val="0"/>
                    <w:kinsoku/>
                    <w:wordWrap/>
                    <w:overflowPunct/>
                    <w:topLinePunct w:val="0"/>
                    <w:bidi w:val="0"/>
                    <w:snapToGrid/>
                    <w:spacing w:before="0" w:beforeAutospacing="0" w:after="0" w:afterAutospacing="0"/>
                    <w:ind w:left="-53" w:leftChars="-25" w:right="-53" w:rightChars="-25"/>
                    <w:jc w:val="center"/>
                    <w:textAlignment w:val="auto"/>
                    <w:rPr>
                      <w:rFonts w:hint="eastAsia" w:ascii="Times New Roman" w:hAnsi="Times New Roman" w:cs="Times New Roman"/>
                      <w:color w:val="auto"/>
                      <w:sz w:val="21"/>
                      <w:szCs w:val="21"/>
                      <w:u w:val="none"/>
                      <w:lang w:val="en-US" w:eastAsia="zh-CN"/>
                    </w:rPr>
                  </w:pPr>
                </w:p>
              </w:tc>
              <w:tc>
                <w:tcPr>
                  <w:tcW w:w="465" w:type="pct"/>
                  <w:tcBorders>
                    <w:tl2br w:val="nil"/>
                    <w:tr2bl w:val="nil"/>
                  </w:tcBorders>
                  <w:noWrap w:val="0"/>
                  <w:vAlign w:val="center"/>
                </w:tcPr>
                <w:p w14:paraId="1828F129">
                  <w:pPr>
                    <w:keepNext w:val="0"/>
                    <w:keepLines w:val="0"/>
                    <w:pageBreakBefore w:val="0"/>
                    <w:widowControl w:val="0"/>
                    <w:suppressLineNumbers w:val="0"/>
                    <w:kinsoku/>
                    <w:wordWrap/>
                    <w:overflowPunct/>
                    <w:topLinePunct w:val="0"/>
                    <w:bidi w:val="0"/>
                    <w:snapToGrid/>
                    <w:spacing w:before="0" w:beforeAutospacing="0" w:after="0" w:afterAutospacing="0"/>
                    <w:ind w:left="0" w:right="-53" w:rightChars="-25"/>
                    <w:jc w:val="center"/>
                    <w:textAlignment w:val="auto"/>
                    <w:rPr>
                      <w:rFonts w:hint="default" w:ascii="Arial" w:hAnsi="Arial" w:cs="Arial"/>
                      <w:color w:val="auto"/>
                      <w:sz w:val="21"/>
                      <w:szCs w:val="21"/>
                      <w:u w:val="none"/>
                      <w:lang w:val="en-US" w:eastAsia="zh-CN"/>
                    </w:rPr>
                  </w:pPr>
                  <w:r>
                    <w:rPr>
                      <w:rFonts w:hint="default" w:ascii="Arial" w:hAnsi="Arial" w:cs="Arial"/>
                      <w:color w:val="auto"/>
                      <w:sz w:val="21"/>
                      <w:szCs w:val="21"/>
                      <w:u w:val="none"/>
                      <w:lang w:val="en-US" w:eastAsia="zh-CN"/>
                    </w:rPr>
                    <w:t>≤</w:t>
                  </w:r>
                  <w:r>
                    <w:rPr>
                      <w:rFonts w:hint="eastAsia" w:cs="Times New Roman"/>
                      <w:color w:val="auto"/>
                      <w:sz w:val="21"/>
                      <w:szCs w:val="21"/>
                      <w:u w:val="none"/>
                      <w:lang w:val="en-US" w:eastAsia="zh-CN"/>
                    </w:rPr>
                    <w:t>1个月</w:t>
                  </w:r>
                </w:p>
              </w:tc>
            </w:tr>
          </w:tbl>
          <w:p w14:paraId="16277A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cs="Times New Roman"/>
                <w:color w:val="auto"/>
                <w:highlight w:val="none"/>
                <w:u w:val="single"/>
                <w:lang w:val="en-US" w:eastAsia="zh-CN"/>
              </w:rPr>
            </w:pPr>
          </w:p>
          <w:p w14:paraId="79C85314">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z w:val="24"/>
                <w:u w:val="none"/>
              </w:rPr>
            </w:pPr>
            <w:r>
              <w:rPr>
                <w:rFonts w:hint="eastAsia" w:ascii="Times New Roman" w:hAnsi="Times New Roman" w:cs="Times New Roman"/>
                <w:b/>
                <w:bCs/>
                <w:color w:val="auto"/>
                <w:sz w:val="24"/>
                <w:u w:val="none"/>
                <w:lang w:val="en-US" w:eastAsia="zh-CN"/>
              </w:rPr>
              <w:t>4.</w:t>
            </w:r>
            <w:r>
              <w:rPr>
                <w:rFonts w:hint="eastAsia" w:ascii="Times New Roman" w:hAnsi="Times New Roman" w:cs="Times New Roman"/>
                <w:b/>
                <w:bCs/>
                <w:color w:val="auto"/>
                <w:sz w:val="24"/>
                <w:u w:val="none"/>
              </w:rPr>
              <w:t>2、环境管理要求</w:t>
            </w:r>
          </w:p>
          <w:p w14:paraId="5EFDED7D">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rPr>
            </w:pPr>
            <w:r>
              <w:rPr>
                <w:rFonts w:hint="eastAsia" w:ascii="Times New Roman" w:hAnsi="Times New Roman" w:cs="Times New Roman"/>
                <w:color w:val="auto"/>
                <w:sz w:val="24"/>
                <w:u w:val="none"/>
              </w:rPr>
              <w:t>上述固体废物从产生、收集、贮存、转运、处置等各个环节都可能因管理不善而进入环境。因此必须从各个环节进行全方位管理，采取有效措施防止固废在产生、收集、贮存、运输过程中的散失，并采用有效处置的方案和技术。首先从有用物料回收再利用着眼，化废为宝，既回收一部分资源，又减轻处置负荷，对目前还不能回收利用的，应遵循无害化处置原则进行有效处置。</w:t>
            </w:r>
          </w:p>
          <w:p w14:paraId="22295BF1">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z w:val="24"/>
                <w:u w:val="none"/>
                <w:lang w:val="en-US" w:eastAsia="zh-CN"/>
              </w:rPr>
            </w:pPr>
            <w:r>
              <w:rPr>
                <w:rFonts w:hint="eastAsia" w:ascii="Times New Roman" w:hAnsi="Times New Roman" w:cs="Times New Roman"/>
                <w:b/>
                <w:bCs/>
                <w:color w:val="auto"/>
                <w:sz w:val="24"/>
                <w:u w:val="none"/>
                <w:lang w:val="en-US" w:eastAsia="zh-CN"/>
              </w:rPr>
              <w:t>（1）一般固体废物管理要求</w:t>
            </w:r>
          </w:p>
          <w:p w14:paraId="6D4C449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rPr>
            </w:pPr>
            <w:r>
              <w:rPr>
                <w:rFonts w:hint="eastAsia" w:ascii="Times New Roman" w:hAnsi="Times New Roman" w:cs="Times New Roman"/>
                <w:b w:val="0"/>
                <w:bCs w:val="0"/>
                <w:color w:val="auto"/>
                <w:sz w:val="24"/>
                <w:u w:val="none"/>
                <w:lang w:val="en-US" w:eastAsia="zh-CN"/>
              </w:rPr>
              <w:t>项目在厂区设置一个固废暂存间用于暂存一般固废，面积为</w:t>
            </w:r>
            <w:r>
              <w:rPr>
                <w:rFonts w:hint="eastAsia" w:cs="Times New Roman"/>
                <w:b w:val="0"/>
                <w:bCs w:val="0"/>
                <w:color w:val="auto"/>
                <w:sz w:val="24"/>
                <w:u w:val="none"/>
                <w:lang w:val="en-US" w:eastAsia="zh-CN"/>
              </w:rPr>
              <w:t>5</w:t>
            </w:r>
            <w:r>
              <w:rPr>
                <w:rFonts w:hint="eastAsia" w:ascii="Times New Roman" w:hAnsi="Times New Roman" w:cs="Times New Roman"/>
                <w:b w:val="0"/>
                <w:bCs w:val="0"/>
                <w:color w:val="auto"/>
                <w:sz w:val="24"/>
                <w:u w:val="none"/>
                <w:lang w:val="en-US" w:eastAsia="zh-CN"/>
              </w:rPr>
              <w:t>0m</w:t>
            </w:r>
            <w:r>
              <w:rPr>
                <w:rFonts w:hint="eastAsia" w:ascii="Times New Roman" w:hAnsi="Times New Roman" w:cs="Times New Roman"/>
                <w:b w:val="0"/>
                <w:bCs w:val="0"/>
                <w:color w:val="auto"/>
                <w:sz w:val="24"/>
                <w:u w:val="none"/>
                <w:vertAlign w:val="superscript"/>
                <w:lang w:val="en-US" w:eastAsia="zh-CN"/>
              </w:rPr>
              <w:t>2</w:t>
            </w:r>
            <w:r>
              <w:rPr>
                <w:rFonts w:hint="eastAsia" w:ascii="Times New Roman" w:hAnsi="Times New Roman" w:cs="Times New Roman"/>
                <w:b w:val="0"/>
                <w:bCs w:val="0"/>
                <w:color w:val="auto"/>
                <w:sz w:val="24"/>
                <w:u w:val="none"/>
                <w:lang w:val="en-US" w:eastAsia="zh-CN"/>
              </w:rPr>
              <w:t>。</w:t>
            </w:r>
            <w:r>
              <w:rPr>
                <w:rFonts w:hint="eastAsia" w:ascii="Times New Roman" w:hAnsi="Times New Roman" w:cs="Times New Roman"/>
                <w:color w:val="auto"/>
                <w:sz w:val="24"/>
                <w:u w:val="none"/>
              </w:rPr>
              <w:t>项目一般固体废物中各类</w:t>
            </w:r>
            <w:r>
              <w:rPr>
                <w:rFonts w:hint="eastAsia" w:ascii="Times New Roman" w:hAnsi="Times New Roman" w:cs="Times New Roman"/>
                <w:color w:val="auto"/>
                <w:sz w:val="24"/>
                <w:u w:val="none"/>
                <w:lang w:val="en-US" w:eastAsia="zh-CN"/>
              </w:rPr>
              <w:t>固废</w:t>
            </w:r>
            <w:r>
              <w:rPr>
                <w:rFonts w:hint="eastAsia" w:ascii="Times New Roman" w:hAnsi="Times New Roman" w:cs="Times New Roman"/>
                <w:color w:val="auto"/>
                <w:sz w:val="24"/>
                <w:u w:val="none"/>
              </w:rPr>
              <w:t>应分类收集，在暂存区内分类暂存，不得随处堆放，垃圾暂存区应防雨、防风、防渗漏，固废临时贮存场建设、运行管理应满足如下要求：</w:t>
            </w:r>
          </w:p>
          <w:p w14:paraId="53AB740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rPr>
            </w:pPr>
            <w:r>
              <w:rPr>
                <w:rFonts w:hint="eastAsia" w:ascii="Times New Roman" w:hAnsi="Times New Roman" w:cs="Times New Roman"/>
                <w:color w:val="auto"/>
                <w:sz w:val="24"/>
                <w:u w:val="none"/>
              </w:rPr>
              <w:t>①地面应采取硬化措施并满足承载力要求，必要时采取相应措施防止地基下沉。</w:t>
            </w:r>
          </w:p>
          <w:p w14:paraId="6EB6C94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rPr>
            </w:pPr>
            <w:r>
              <w:rPr>
                <w:rFonts w:hint="eastAsia" w:ascii="Times New Roman" w:hAnsi="Times New Roman" w:cs="Times New Roman"/>
                <w:color w:val="auto"/>
                <w:sz w:val="24"/>
                <w:u w:val="none"/>
              </w:rPr>
              <w:t>②要求设置必要的防风、防雨、防晒措施。</w:t>
            </w:r>
          </w:p>
          <w:p w14:paraId="620FA9BC">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u w:val="none"/>
                <w:lang w:val="en-US" w:eastAsia="zh-CN"/>
              </w:rPr>
            </w:pPr>
            <w:r>
              <w:rPr>
                <w:rFonts w:hint="eastAsia" w:ascii="Times New Roman" w:hAnsi="Times New Roman" w:cs="Times New Roman"/>
                <w:color w:val="auto"/>
                <w:sz w:val="24"/>
                <w:u w:val="none"/>
                <w:lang w:val="en-US" w:eastAsia="zh-CN"/>
              </w:rPr>
              <w:t>③防渗性能应至少相当于渗透系数1.0</w:t>
            </w:r>
            <w:r>
              <w:rPr>
                <w:rFonts w:hint="default" w:ascii="Times New Roman" w:hAnsi="Times New Roman" w:cs="Times New Roman"/>
                <w:color w:val="auto"/>
                <w:sz w:val="24"/>
                <w:u w:val="none"/>
                <w:lang w:val="en-US" w:eastAsia="zh-CN"/>
              </w:rPr>
              <w:t>×</w:t>
            </w:r>
            <w:r>
              <w:rPr>
                <w:rFonts w:hint="eastAsia" w:ascii="Times New Roman" w:hAnsi="Times New Roman" w:cs="Times New Roman"/>
                <w:color w:val="auto"/>
                <w:sz w:val="24"/>
                <w:u w:val="none"/>
                <w:lang w:val="en-US" w:eastAsia="zh-CN"/>
              </w:rPr>
              <w:t>10</w:t>
            </w:r>
            <w:r>
              <w:rPr>
                <w:rFonts w:hint="eastAsia" w:ascii="Times New Roman" w:hAnsi="Times New Roman" w:cs="Times New Roman"/>
                <w:color w:val="auto"/>
                <w:sz w:val="24"/>
                <w:u w:val="none"/>
                <w:vertAlign w:val="superscript"/>
                <w:lang w:val="en-US" w:eastAsia="zh-CN"/>
              </w:rPr>
              <w:t>-5</w:t>
            </w:r>
            <w:r>
              <w:rPr>
                <w:rFonts w:hint="eastAsia" w:ascii="Times New Roman" w:hAnsi="Times New Roman" w:cs="Times New Roman"/>
                <w:color w:val="auto"/>
                <w:sz w:val="24"/>
                <w:u w:val="none"/>
                <w:lang w:val="en-US" w:eastAsia="zh-CN"/>
              </w:rPr>
              <w:t>cm/s、厚度0.75m的天然基础层。</w:t>
            </w:r>
          </w:p>
          <w:p w14:paraId="0B6B306A">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eastAsia="zh-CN"/>
              </w:rPr>
              <w:t>④不相容的一般工业固体废物应设置不同的分区进行贮存作业；</w:t>
            </w:r>
          </w:p>
          <w:p w14:paraId="6D58EB8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eastAsia="zh-CN"/>
              </w:rPr>
              <w:t>⑤制定运行计划，运行管理人员应定期参加企业的岗位培训。；</w:t>
            </w:r>
          </w:p>
          <w:p w14:paraId="1C02EBE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val="en-US" w:eastAsia="zh-CN"/>
              </w:rPr>
              <w:t>⑥建立档案管理制度，并按照相关法律法规进行整理与归档，永久保存。；</w:t>
            </w:r>
          </w:p>
          <w:p w14:paraId="790FF7D0">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rPr>
            </w:pPr>
            <w:r>
              <w:rPr>
                <w:rFonts w:hint="eastAsia" w:ascii="Times New Roman" w:hAnsi="Times New Roman" w:cs="Times New Roman"/>
                <w:color w:val="auto"/>
                <w:sz w:val="24"/>
                <w:u w:val="none"/>
                <w:lang w:val="en-US" w:eastAsia="zh-CN"/>
              </w:rPr>
              <w:t>⑦</w:t>
            </w:r>
            <w:r>
              <w:rPr>
                <w:rFonts w:hint="eastAsia" w:ascii="Times New Roman" w:hAnsi="Times New Roman" w:cs="Times New Roman"/>
                <w:color w:val="auto"/>
                <w:sz w:val="24"/>
                <w:u w:val="none"/>
              </w:rPr>
              <w:t>按《环境保护图形标识—固体废物贮存（处置）场》（GB15562.2）要求设置环境保护图形标志。</w:t>
            </w:r>
          </w:p>
          <w:p w14:paraId="487FAF8C">
            <w:pPr>
              <w:pStyle w:val="31"/>
              <w:keepNext w:val="0"/>
              <w:keepLines w:val="0"/>
              <w:suppressLineNumbers w:val="0"/>
              <w:spacing w:before="0" w:beforeAutospacing="0" w:after="0" w:afterAutospacing="0" w:line="360" w:lineRule="auto"/>
              <w:ind w:left="0" w:leftChars="0" w:right="0" w:firstLine="480" w:firstLineChars="200"/>
              <w:rPr>
                <w:rFonts w:hint="eastAsia" w:ascii="Times New Roman" w:hAnsi="Times New Roman" w:eastAsia="宋体" w:cs="Times New Roman"/>
                <w:color w:val="auto"/>
                <w:kern w:val="2"/>
                <w:sz w:val="24"/>
                <w:szCs w:val="24"/>
                <w:u w:val="none"/>
                <w:lang w:val="en-US" w:eastAsia="zh-CN" w:bidi="ar-SA"/>
              </w:rPr>
            </w:pPr>
            <w:r>
              <w:rPr>
                <w:rFonts w:hint="eastAsia" w:ascii="Times New Roman" w:hAnsi="Times New Roman" w:eastAsia="宋体" w:cs="Times New Roman"/>
                <w:color w:val="auto"/>
                <w:kern w:val="2"/>
                <w:sz w:val="24"/>
                <w:szCs w:val="24"/>
                <w:u w:val="none"/>
                <w:lang w:val="en-US" w:eastAsia="zh-CN" w:bidi="ar-SA"/>
              </w:rPr>
              <w:t>营运期固废都能得到妥善处置，不会产生二次污染。</w:t>
            </w:r>
          </w:p>
          <w:p w14:paraId="7E3E40B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lang w:val="en-US" w:eastAsia="zh-CN"/>
              </w:rPr>
            </w:pPr>
            <w:r>
              <w:rPr>
                <w:rFonts w:hint="eastAsia" w:ascii="Times New Roman" w:hAnsi="Times New Roman" w:cs="Times New Roman"/>
                <w:color w:val="auto"/>
                <w:sz w:val="24"/>
                <w:u w:val="none"/>
                <w:lang w:eastAsia="zh-CN"/>
              </w:rPr>
              <w:t>（</w:t>
            </w:r>
            <w:r>
              <w:rPr>
                <w:rFonts w:hint="eastAsia" w:ascii="Times New Roman" w:hAnsi="Times New Roman" w:cs="Times New Roman"/>
                <w:color w:val="auto"/>
                <w:sz w:val="24"/>
                <w:u w:val="none"/>
                <w:lang w:val="en-US" w:eastAsia="zh-CN"/>
              </w:rPr>
              <w:t>2</w:t>
            </w:r>
            <w:r>
              <w:rPr>
                <w:rFonts w:hint="eastAsia" w:ascii="Times New Roman" w:hAnsi="Times New Roman" w:cs="Times New Roman"/>
                <w:color w:val="auto"/>
                <w:sz w:val="24"/>
                <w:u w:val="none"/>
                <w:lang w:eastAsia="zh-CN"/>
              </w:rPr>
              <w:t>）</w:t>
            </w:r>
            <w:r>
              <w:rPr>
                <w:rFonts w:hint="eastAsia" w:ascii="Times New Roman" w:hAnsi="Times New Roman" w:cs="Times New Roman"/>
                <w:color w:val="auto"/>
                <w:sz w:val="24"/>
                <w:u w:val="none"/>
                <w:lang w:val="en-US" w:eastAsia="zh-CN"/>
              </w:rPr>
              <w:t>危险废物</w:t>
            </w:r>
          </w:p>
          <w:p w14:paraId="2A8735F1">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lang w:eastAsia="zh-CN"/>
              </w:rPr>
            </w:pPr>
            <w:r>
              <w:rPr>
                <w:rFonts w:hint="eastAsia" w:ascii="Times New Roman" w:hAnsi="Times New Roman" w:cs="Times New Roman"/>
                <w:color w:val="auto"/>
                <w:sz w:val="24"/>
                <w:u w:val="none"/>
                <w:lang w:eastAsia="zh-CN"/>
              </w:rPr>
              <w:t>危险废物执行《危险废物贮存污染控制标准》（GB 18597-20</w:t>
            </w:r>
            <w:r>
              <w:rPr>
                <w:rFonts w:hint="eastAsia" w:ascii="Times New Roman" w:hAnsi="Times New Roman" w:cs="Times New Roman"/>
                <w:color w:val="auto"/>
                <w:sz w:val="24"/>
                <w:u w:val="none"/>
                <w:lang w:val="en-US" w:eastAsia="zh-CN"/>
              </w:rPr>
              <w:t>23</w:t>
            </w:r>
            <w:r>
              <w:rPr>
                <w:rFonts w:hint="eastAsia" w:ascii="Times New Roman" w:hAnsi="Times New Roman" w:cs="Times New Roman"/>
                <w:color w:val="auto"/>
                <w:sz w:val="24"/>
                <w:u w:val="none"/>
                <w:lang w:eastAsia="zh-CN"/>
              </w:rPr>
              <w:t>）。</w:t>
            </w:r>
          </w:p>
          <w:p w14:paraId="3DC7811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①贮存场所</w:t>
            </w:r>
          </w:p>
          <w:p w14:paraId="39C313A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危废暂存间建设按照《危险废物贮存污染控制标准》（GB18597-20</w:t>
            </w:r>
            <w:r>
              <w:rPr>
                <w:rFonts w:hint="default" w:ascii="Times New Roman" w:hAnsi="Times New Roman" w:cs="Times New Roman"/>
                <w:b w:val="0"/>
                <w:bCs w:val="0"/>
                <w:color w:val="000000"/>
                <w:sz w:val="24"/>
                <w:u w:val="none"/>
                <w:lang w:val="en-US" w:eastAsia="zh-CN"/>
              </w:rPr>
              <w:t>23</w:t>
            </w:r>
            <w:r>
              <w:rPr>
                <w:rFonts w:hint="eastAsia" w:ascii="Times New Roman" w:hAnsi="Times New Roman" w:eastAsia="宋体" w:cs="Times New Roman"/>
                <w:b w:val="0"/>
                <w:bCs w:val="0"/>
                <w:color w:val="000000"/>
                <w:sz w:val="24"/>
                <w:u w:val="none"/>
                <w:lang w:val="en-US" w:eastAsia="zh-CN"/>
              </w:rPr>
              <w:t>）标准要求进行建设。贮存场地进行防渗处理，采用2毫米厚高密度聚乙烯，渗透系数≤10</w:t>
            </w:r>
            <w:r>
              <w:rPr>
                <w:rFonts w:hint="eastAsia" w:ascii="Times New Roman" w:hAnsi="Times New Roman" w:eastAsia="宋体" w:cs="Times New Roman"/>
                <w:b w:val="0"/>
                <w:bCs w:val="0"/>
                <w:color w:val="000000"/>
                <w:sz w:val="24"/>
                <w:u w:val="none"/>
                <w:vertAlign w:val="superscript"/>
                <w:lang w:val="en-US" w:eastAsia="zh-CN"/>
              </w:rPr>
              <w:t>-10</w:t>
            </w:r>
            <w:r>
              <w:rPr>
                <w:rFonts w:hint="eastAsia" w:ascii="Times New Roman" w:hAnsi="Times New Roman" w:eastAsia="宋体" w:cs="Times New Roman"/>
                <w:b w:val="0"/>
                <w:bCs w:val="0"/>
                <w:color w:val="000000"/>
                <w:sz w:val="24"/>
                <w:u w:val="none"/>
                <w:lang w:val="en-US" w:eastAsia="zh-CN"/>
              </w:rPr>
              <w:t>cm/s，且做到防雨和防晒。</w:t>
            </w:r>
          </w:p>
          <w:p w14:paraId="6B577CA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项目危险废物贮存采取单独分类收集、独自通过桶装/袋装密闭储存。危废库内设置危废分区和桶架，并设置废液收集导流措施，用于各自桶装危废堆存。禁止混合收集、贮存、运输、处置性质不相容而未经安全性处置的危险废物。</w:t>
            </w:r>
          </w:p>
          <w:p w14:paraId="472E7C10">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对危险废物的容器和包装物以及收集、贮存处置危险废物的设施、场所，必须设置危险废物识别标志、标识，危险废物容器和包装袋上设立危险废物明显标志。处置单位应及时将固废运走，危险废物在厂内存储不超过一年。</w:t>
            </w:r>
          </w:p>
          <w:p w14:paraId="0163DD0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危险废物暂存场所（危废间）应满足“四防”（防风、防雨、防晒、防渗漏）要求，采取防渗措施和渗漏收集措施，并设置警示标示。在采取严格防治措施的前提下，危险废物贮存场所不会造成不利环境影响。</w:t>
            </w:r>
          </w:p>
          <w:p w14:paraId="07C5C108">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②运输过程</w:t>
            </w:r>
          </w:p>
          <w:p w14:paraId="36257EB2">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本项目危险废物产生及贮存场、运输通道均已采取硬化和防腐防渗措施，因此危险废物从产生工艺环节运输到暂存场所的过程中产生散落和泄漏均会将影响控制在厂区内，不会对周边环境敏感点及地下水环境产生不利影响。</w:t>
            </w:r>
          </w:p>
          <w:p w14:paraId="3F622E94">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③委托利用或者处置</w:t>
            </w:r>
          </w:p>
          <w:p w14:paraId="7C69292D">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企业需建立完善危险废物管理台账，如实记录危险废物贮存、利用、转运相关情况，制定危险废物管理计划并报环保局备案，如实申报危险废物种类、产生量、流向、贮存等有关情况。</w:t>
            </w:r>
          </w:p>
          <w:p w14:paraId="21146239">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Times New Roman" w:hAnsi="Times New Roman" w:eastAsia="宋体" w:cs="Times New Roman"/>
                <w:b w:val="0"/>
                <w:bCs w:val="0"/>
                <w:color w:val="000000"/>
                <w:sz w:val="24"/>
                <w:u w:val="none"/>
                <w:lang w:val="en-US" w:eastAsia="zh-CN"/>
              </w:rPr>
            </w:pPr>
            <w:r>
              <w:rPr>
                <w:rFonts w:hint="eastAsia" w:ascii="Times New Roman" w:hAnsi="Times New Roman" w:eastAsia="宋体" w:cs="Times New Roman"/>
                <w:b w:val="0"/>
                <w:bCs w:val="0"/>
                <w:color w:val="000000"/>
                <w:sz w:val="24"/>
                <w:u w:val="none"/>
                <w:lang w:val="en-US" w:eastAsia="zh-CN"/>
              </w:rPr>
              <w:t>危险废物委托必须委托具有相应危险废物经营资质的单位利用处置，签订委托处理协议，危险废物转移严格执行《危险废物转移联单制度》。</w:t>
            </w:r>
          </w:p>
          <w:p w14:paraId="5C8BF49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u w:val="none"/>
                <w:lang w:val="en-US" w:eastAsia="zh-CN"/>
              </w:rPr>
            </w:pPr>
            <w:r>
              <w:rPr>
                <w:rFonts w:hint="eastAsia" w:ascii="Times New Roman" w:hAnsi="Times New Roman" w:cs="Times New Roman"/>
                <w:color w:val="auto"/>
                <w:sz w:val="24"/>
                <w:u w:val="none"/>
                <w:lang w:eastAsia="zh-CN"/>
              </w:rPr>
              <w:t>（</w:t>
            </w:r>
            <w:r>
              <w:rPr>
                <w:rFonts w:hint="eastAsia" w:ascii="Times New Roman" w:hAnsi="Times New Roman" w:cs="Times New Roman"/>
                <w:color w:val="auto"/>
                <w:sz w:val="24"/>
                <w:u w:val="none"/>
                <w:lang w:val="en-US" w:eastAsia="zh-CN"/>
              </w:rPr>
              <w:t>3</w:t>
            </w:r>
            <w:r>
              <w:rPr>
                <w:rFonts w:hint="eastAsia" w:ascii="Times New Roman" w:hAnsi="Times New Roman" w:cs="Times New Roman"/>
                <w:color w:val="auto"/>
                <w:sz w:val="24"/>
                <w:u w:val="none"/>
                <w:lang w:eastAsia="zh-CN"/>
              </w:rPr>
              <w:t>）</w:t>
            </w:r>
            <w:r>
              <w:rPr>
                <w:rFonts w:hint="eastAsia" w:ascii="Times New Roman" w:hAnsi="Times New Roman" w:cs="Times New Roman"/>
                <w:color w:val="auto"/>
                <w:sz w:val="24"/>
                <w:u w:val="none"/>
                <w:lang w:val="en-US" w:eastAsia="zh-CN"/>
              </w:rPr>
              <w:t>生活垃圾管理要求</w:t>
            </w:r>
          </w:p>
          <w:p w14:paraId="2437277B">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u w:val="none"/>
              </w:rPr>
            </w:pPr>
            <w:r>
              <w:rPr>
                <w:rFonts w:hint="eastAsia" w:ascii="Times New Roman" w:hAnsi="Times New Roman" w:cs="Times New Roman"/>
                <w:color w:val="auto"/>
                <w:sz w:val="24"/>
                <w:u w:val="none"/>
              </w:rPr>
              <w:t>定期委托环卫部门处置，避免在厂内长时间存放。</w:t>
            </w:r>
          </w:p>
          <w:p w14:paraId="0A49C5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cs="Times New Roman"/>
                <w:color w:val="auto"/>
                <w:highlight w:val="none"/>
                <w:u w:val="none"/>
                <w:lang w:val="en-US" w:eastAsia="zh-CN"/>
              </w:rPr>
            </w:pPr>
            <w:r>
              <w:rPr>
                <w:rFonts w:hint="eastAsia" w:ascii="Times New Roman" w:hAnsi="Times New Roman" w:eastAsia="宋体" w:cs="Times New Roman"/>
                <w:b w:val="0"/>
                <w:bCs w:val="0"/>
                <w:color w:val="000000"/>
                <w:sz w:val="24"/>
                <w:u w:val="none"/>
                <w:lang w:val="en-US" w:eastAsia="zh-CN"/>
              </w:rPr>
              <w:t>本项目危险废物均委托有资质的单位进行处置，不会产生显著的环境影响。综上分析，拟建项目运营期内严格落实本此评价提出的各项固废处理处置措施后，一般固体废物可满足《一般工业固体废物贮存和填埋污染控制标准》(GB18599-2020)中的相应规定；危险废物可满足《危险废物贮存污染控制标准》（GB18597-20</w:t>
            </w:r>
            <w:r>
              <w:rPr>
                <w:rFonts w:hint="eastAsia" w:ascii="Times New Roman" w:hAnsi="Times New Roman" w:cs="Times New Roman"/>
                <w:b w:val="0"/>
                <w:bCs w:val="0"/>
                <w:color w:val="000000"/>
                <w:sz w:val="24"/>
                <w:u w:val="none"/>
                <w:lang w:val="en-US" w:eastAsia="zh-CN"/>
              </w:rPr>
              <w:t>23</w:t>
            </w:r>
            <w:r>
              <w:rPr>
                <w:rFonts w:hint="eastAsia" w:ascii="Times New Roman" w:hAnsi="Times New Roman" w:eastAsia="宋体" w:cs="Times New Roman"/>
                <w:b w:val="0"/>
                <w:bCs w:val="0"/>
                <w:color w:val="000000"/>
                <w:sz w:val="24"/>
                <w:u w:val="none"/>
                <w:lang w:val="en-US" w:eastAsia="zh-CN"/>
              </w:rPr>
              <w:t>）中的相应规定，对周围环境影响不大。</w:t>
            </w:r>
          </w:p>
          <w:p w14:paraId="095A9A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5、地下水、土壤</w:t>
            </w:r>
          </w:p>
          <w:p w14:paraId="6DBB6FD5">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u w:val="none" w:color="auto"/>
              </w:rPr>
            </w:pPr>
            <w:r>
              <w:rPr>
                <w:rFonts w:hint="eastAsia" w:ascii="Times New Roman" w:hAnsi="Times New Roman" w:cs="Times New Roman"/>
                <w:color w:val="auto"/>
                <w:sz w:val="24"/>
                <w:highlight w:val="none"/>
                <w:u w:val="none" w:color="auto"/>
              </w:rPr>
              <w:t>项目建成做好分区防渗后对土壤及地下水环境影响较小，为减少可能</w:t>
            </w:r>
            <w:r>
              <w:rPr>
                <w:rFonts w:hint="eastAsia" w:ascii="Times New Roman" w:hAnsi="Times New Roman" w:eastAsia="宋体" w:cs="Times New Roman"/>
                <w:color w:val="auto"/>
                <w:sz w:val="24"/>
                <w:highlight w:val="none"/>
                <w:u w:val="none" w:color="auto"/>
              </w:rPr>
              <w:t>发生污染事件，建设单位应做好厂区、一般固废仓库和危废暂存间的防腐、防渗等要求。</w:t>
            </w:r>
          </w:p>
          <w:p w14:paraId="6E2E2A16">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u w:val="none" w:color="auto"/>
              </w:rPr>
            </w:pPr>
            <w:r>
              <w:rPr>
                <w:rFonts w:hint="eastAsia" w:ascii="Times New Roman" w:hAnsi="Times New Roman" w:eastAsia="宋体" w:cs="Times New Roman"/>
                <w:color w:val="auto"/>
                <w:sz w:val="24"/>
                <w:highlight w:val="none"/>
                <w:u w:val="none" w:color="auto"/>
              </w:rPr>
              <w:t>项目厂区已根据《环境影响评价技术导则 地下水环境》（HJ610-2016）进行地下水污染防渗分区，具体如下表：</w:t>
            </w:r>
          </w:p>
          <w:p w14:paraId="4F3F05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000000"/>
                <w:szCs w:val="21"/>
              </w:rPr>
            </w:pPr>
            <w:r>
              <w:rPr>
                <w:rFonts w:hint="default" w:ascii="Times New Roman" w:hAnsi="宋体" w:cs="Times New Roman"/>
                <w:b/>
                <w:bCs/>
                <w:color w:val="000000"/>
                <w:szCs w:val="21"/>
              </w:rPr>
              <w:t>表</w:t>
            </w:r>
            <w:r>
              <w:rPr>
                <w:rFonts w:hint="eastAsia" w:ascii="Times New Roman" w:hAnsi="Times New Roman" w:cs="Times New Roman"/>
                <w:b/>
                <w:bCs/>
                <w:color w:val="000000"/>
                <w:szCs w:val="21"/>
                <w:lang w:val="en-US" w:eastAsia="zh-CN"/>
              </w:rPr>
              <w:t>4</w:t>
            </w:r>
            <w:r>
              <w:rPr>
                <w:rFonts w:hint="default" w:ascii="Times New Roman" w:hAnsi="Times New Roman" w:cs="Times New Roman"/>
                <w:b/>
                <w:bCs/>
                <w:color w:val="000000"/>
                <w:szCs w:val="21"/>
              </w:rPr>
              <w:t>-</w:t>
            </w:r>
            <w:r>
              <w:rPr>
                <w:rFonts w:hint="eastAsia" w:cs="Times New Roman"/>
                <w:b/>
                <w:bCs/>
                <w:color w:val="000000"/>
                <w:szCs w:val="21"/>
                <w:lang w:val="en-US" w:eastAsia="zh-CN"/>
              </w:rPr>
              <w:t>18</w:t>
            </w:r>
            <w:r>
              <w:rPr>
                <w:rFonts w:hint="default" w:ascii="Times New Roman" w:hAnsi="Times New Roman" w:cs="Times New Roman"/>
                <w:b/>
                <w:bCs/>
                <w:color w:val="000000"/>
                <w:szCs w:val="21"/>
              </w:rPr>
              <w:t xml:space="preserve">  </w:t>
            </w:r>
            <w:r>
              <w:rPr>
                <w:rFonts w:hint="default" w:ascii="Times New Roman" w:hAnsi="Times New Roman" w:cs="Times New Roman"/>
                <w:color w:val="000000"/>
                <w:sz w:val="24"/>
              </w:rPr>
              <w:t xml:space="preserve"> </w:t>
            </w:r>
            <w:r>
              <w:rPr>
                <w:rFonts w:hint="eastAsia" w:ascii="Times New Roman" w:hAnsi="Times New Roman" w:cs="Times New Roman"/>
                <w:b/>
                <w:bCs/>
                <w:color w:val="000000"/>
                <w:sz w:val="24"/>
              </w:rPr>
              <w:t>厂区防渗措施一览表</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2568"/>
              <w:gridCol w:w="4459"/>
            </w:tblGrid>
            <w:tr w14:paraId="5DD87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6" w:type="pct"/>
                  <w:tcBorders>
                    <w:tl2br w:val="nil"/>
                    <w:tr2bl w:val="nil"/>
                  </w:tcBorders>
                  <w:noWrap w:val="0"/>
                  <w:vAlign w:val="center"/>
                </w:tcPr>
                <w:p w14:paraId="4755F3C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000000"/>
                      <w:sz w:val="21"/>
                      <w:szCs w:val="21"/>
                    </w:rPr>
                  </w:pPr>
                  <w:r>
                    <w:rPr>
                      <w:rFonts w:hint="eastAsia" w:ascii="Times New Roman" w:hAnsi="Times New Roman" w:cs="Times New Roman"/>
                      <w:b/>
                      <w:color w:val="000000"/>
                      <w:sz w:val="21"/>
                      <w:szCs w:val="21"/>
                    </w:rPr>
                    <w:t>区域</w:t>
                  </w:r>
                </w:p>
              </w:tc>
              <w:tc>
                <w:tcPr>
                  <w:tcW w:w="1514" w:type="pct"/>
                  <w:tcBorders>
                    <w:tl2br w:val="nil"/>
                    <w:tr2bl w:val="nil"/>
                  </w:tcBorders>
                  <w:noWrap w:val="0"/>
                  <w:vAlign w:val="center"/>
                </w:tcPr>
                <w:p w14:paraId="3DF865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000000"/>
                      <w:sz w:val="21"/>
                      <w:szCs w:val="21"/>
                    </w:rPr>
                  </w:pPr>
                  <w:r>
                    <w:rPr>
                      <w:rFonts w:hint="eastAsia" w:ascii="Times New Roman" w:hAnsi="Times New Roman" w:cs="Times New Roman"/>
                      <w:b/>
                      <w:color w:val="000000"/>
                      <w:sz w:val="21"/>
                      <w:szCs w:val="21"/>
                    </w:rPr>
                    <w:t>污染防治区类别</w:t>
                  </w:r>
                </w:p>
              </w:tc>
              <w:tc>
                <w:tcPr>
                  <w:tcW w:w="2629" w:type="pct"/>
                  <w:tcBorders>
                    <w:tl2br w:val="nil"/>
                    <w:tr2bl w:val="nil"/>
                  </w:tcBorders>
                  <w:noWrap w:val="0"/>
                  <w:vAlign w:val="center"/>
                </w:tcPr>
                <w:p w14:paraId="14BD982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000000"/>
                      <w:sz w:val="21"/>
                      <w:szCs w:val="21"/>
                    </w:rPr>
                  </w:pPr>
                  <w:r>
                    <w:rPr>
                      <w:rFonts w:hint="eastAsia" w:ascii="Times New Roman" w:hAnsi="Times New Roman" w:cs="Times New Roman"/>
                      <w:b/>
                      <w:color w:val="000000"/>
                      <w:sz w:val="21"/>
                      <w:szCs w:val="21"/>
                    </w:rPr>
                    <w:t>防渗措施</w:t>
                  </w:r>
                </w:p>
              </w:tc>
            </w:tr>
            <w:tr w14:paraId="0AAD15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56" w:type="pct"/>
                  <w:tcBorders>
                    <w:tl2br w:val="nil"/>
                    <w:tr2bl w:val="nil"/>
                  </w:tcBorders>
                  <w:noWrap w:val="0"/>
                  <w:vAlign w:val="center"/>
                </w:tcPr>
                <w:p w14:paraId="5D358958">
                  <w:pPr>
                    <w:keepNext w:val="0"/>
                    <w:keepLines w:val="0"/>
                    <w:suppressLineNumbers w:val="0"/>
                    <w:adjustRightInd w:val="0"/>
                    <w:snapToGrid w:val="0"/>
                    <w:spacing w:before="0" w:beforeAutospacing="0" w:after="0" w:afterAutospacing="0"/>
                    <w:ind w:left="-13" w:leftChars="-42" w:right="-101" w:rightChars="-48" w:hanging="75" w:hangingChars="36"/>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rPr>
                    <w:t>危废暂存间</w:t>
                  </w:r>
                  <w:r>
                    <w:rPr>
                      <w:rFonts w:hint="eastAsia" w:ascii="Times New Roman" w:hAnsi="Times New Roman" w:cs="Times New Roman"/>
                      <w:color w:val="000000"/>
                      <w:sz w:val="21"/>
                      <w:szCs w:val="21"/>
                      <w:lang w:eastAsia="zh-CN"/>
                    </w:rPr>
                    <w:t>、</w:t>
                  </w:r>
                  <w:r>
                    <w:rPr>
                      <w:rFonts w:hint="eastAsia" w:cs="Times New Roman"/>
                      <w:color w:val="000000"/>
                      <w:sz w:val="21"/>
                      <w:szCs w:val="21"/>
                      <w:lang w:val="en-US" w:eastAsia="zh-CN"/>
                    </w:rPr>
                    <w:t>化学品仓库</w:t>
                  </w:r>
                </w:p>
              </w:tc>
              <w:tc>
                <w:tcPr>
                  <w:tcW w:w="1514" w:type="pct"/>
                  <w:tcBorders>
                    <w:tl2br w:val="nil"/>
                    <w:tr2bl w:val="nil"/>
                  </w:tcBorders>
                  <w:noWrap w:val="0"/>
                  <w:vAlign w:val="center"/>
                </w:tcPr>
                <w:p w14:paraId="1C71786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重点防渗区域</w:t>
                  </w:r>
                </w:p>
              </w:tc>
              <w:tc>
                <w:tcPr>
                  <w:tcW w:w="2629" w:type="pct"/>
                  <w:tcBorders>
                    <w:tl2br w:val="nil"/>
                    <w:tr2bl w:val="nil"/>
                  </w:tcBorders>
                  <w:noWrap w:val="0"/>
                  <w:vAlign w:val="center"/>
                </w:tcPr>
                <w:p w14:paraId="71CED7C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等效黏土防渗层 Mb≥</w:t>
                  </w:r>
                  <w:r>
                    <w:rPr>
                      <w:rFonts w:hint="eastAsia" w:ascii="Times New Roman" w:hAnsi="Times New Roman" w:cs="Times New Roman"/>
                      <w:color w:val="000000"/>
                      <w:sz w:val="21"/>
                      <w:szCs w:val="21"/>
                      <w:lang w:val="en-US" w:eastAsia="zh-CN"/>
                    </w:rPr>
                    <w:t>6.0</w:t>
                  </w:r>
                  <w:r>
                    <w:rPr>
                      <w:rFonts w:hint="eastAsia" w:ascii="Times New Roman" w:hAnsi="Times New Roman" w:cs="Times New Roman"/>
                      <w:color w:val="000000"/>
                      <w:sz w:val="21"/>
                      <w:szCs w:val="21"/>
                    </w:rPr>
                    <w:t>m，防渗系数≤10</w:t>
                  </w:r>
                  <w:r>
                    <w:rPr>
                      <w:rFonts w:hint="eastAsia" w:ascii="Times New Roman" w:hAnsi="Times New Roman" w:cs="Times New Roman"/>
                      <w:color w:val="000000"/>
                      <w:sz w:val="21"/>
                      <w:szCs w:val="21"/>
                      <w:vertAlign w:val="superscript"/>
                    </w:rPr>
                    <w:t>-</w:t>
                  </w:r>
                  <w:r>
                    <w:rPr>
                      <w:rFonts w:hint="eastAsia" w:cs="Times New Roman"/>
                      <w:color w:val="000000"/>
                      <w:sz w:val="21"/>
                      <w:szCs w:val="21"/>
                      <w:vertAlign w:val="superscript"/>
                      <w:lang w:val="en-US" w:eastAsia="zh-CN"/>
                    </w:rPr>
                    <w:t>10</w:t>
                  </w:r>
                  <w:r>
                    <w:rPr>
                      <w:rFonts w:hint="eastAsia" w:ascii="Times New Roman" w:hAnsi="Times New Roman" w:cs="Times New Roman"/>
                      <w:color w:val="000000"/>
                      <w:sz w:val="21"/>
                      <w:szCs w:val="21"/>
                    </w:rPr>
                    <w:t>cm/s</w:t>
                  </w:r>
                  <w:r>
                    <w:rPr>
                      <w:rFonts w:hint="eastAsia" w:ascii="Times New Roman" w:hAnsi="Times New Roman" w:cs="Times New Roman"/>
                      <w:color w:val="000000"/>
                      <w:sz w:val="21"/>
                      <w:szCs w:val="21"/>
                      <w:lang w:eastAsia="zh-CN"/>
                    </w:rPr>
                    <w:t>；</w:t>
                  </w:r>
                  <w:r>
                    <w:rPr>
                      <w:rFonts w:hint="eastAsia" w:ascii="Times New Roman" w:hAnsi="Times New Roman" w:cs="Times New Roman"/>
                      <w:color w:val="000000"/>
                      <w:sz w:val="21"/>
                      <w:szCs w:val="21"/>
                    </w:rPr>
                    <w:t>或参照 GB18598 执行</w:t>
                  </w:r>
                </w:p>
              </w:tc>
            </w:tr>
            <w:tr w14:paraId="11136E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856" w:type="pct"/>
                  <w:tcBorders>
                    <w:tl2br w:val="nil"/>
                    <w:tr2bl w:val="nil"/>
                  </w:tcBorders>
                  <w:noWrap w:val="0"/>
                  <w:vAlign w:val="center"/>
                </w:tcPr>
                <w:p w14:paraId="2FC111DD">
                  <w:pPr>
                    <w:keepNext w:val="0"/>
                    <w:keepLines w:val="0"/>
                    <w:suppressLineNumbers w:val="0"/>
                    <w:adjustRightInd w:val="0"/>
                    <w:snapToGrid w:val="0"/>
                    <w:spacing w:before="0" w:beforeAutospacing="0" w:after="0" w:afterAutospacing="0"/>
                    <w:ind w:left="-13" w:leftChars="-42" w:right="-101" w:rightChars="-48" w:hanging="75" w:hangingChars="36"/>
                    <w:jc w:val="center"/>
                    <w:rPr>
                      <w:rFonts w:hint="eastAsia" w:ascii="Times New Roman" w:hAnsi="Times New Roman" w:cs="Times New Roman"/>
                      <w:color w:val="000000"/>
                      <w:sz w:val="21"/>
                      <w:szCs w:val="21"/>
                    </w:rPr>
                  </w:pPr>
                  <w:r>
                    <w:rPr>
                      <w:rFonts w:hint="eastAsia" w:ascii="Times New Roman" w:hAnsi="Times New Roman" w:cs="Times New Roman"/>
                      <w:color w:val="000000"/>
                      <w:sz w:val="21"/>
                      <w:szCs w:val="21"/>
                      <w:lang w:val="en-US" w:eastAsia="zh-CN"/>
                    </w:rPr>
                    <w:t>生产</w:t>
                  </w:r>
                  <w:r>
                    <w:rPr>
                      <w:rFonts w:hint="eastAsia" w:ascii="Times New Roman" w:hAnsi="Times New Roman" w:cs="Times New Roman"/>
                      <w:color w:val="000000"/>
                      <w:sz w:val="21"/>
                      <w:szCs w:val="21"/>
                    </w:rPr>
                    <w:t>厂房</w:t>
                  </w:r>
                </w:p>
              </w:tc>
              <w:tc>
                <w:tcPr>
                  <w:tcW w:w="1514" w:type="pct"/>
                  <w:tcBorders>
                    <w:tl2br w:val="nil"/>
                    <w:tr2bl w:val="nil"/>
                  </w:tcBorders>
                  <w:noWrap w:val="0"/>
                  <w:vAlign w:val="center"/>
                </w:tcPr>
                <w:p w14:paraId="2AC01C2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21"/>
                      <w:szCs w:val="21"/>
                    </w:rPr>
                  </w:pPr>
                  <w:r>
                    <w:rPr>
                      <w:rFonts w:hint="eastAsia" w:ascii="Times New Roman" w:hAnsi="Times New Roman" w:cs="Times New Roman"/>
                      <w:color w:val="000000"/>
                      <w:kern w:val="0"/>
                      <w:sz w:val="21"/>
                      <w:szCs w:val="21"/>
                      <w:lang w:val="en-US" w:eastAsia="zh-CN"/>
                    </w:rPr>
                    <w:t>一般</w:t>
                  </w:r>
                  <w:r>
                    <w:rPr>
                      <w:rFonts w:hint="eastAsia" w:ascii="Times New Roman" w:hAnsi="Times New Roman" w:cs="Times New Roman"/>
                      <w:color w:val="000000"/>
                      <w:kern w:val="0"/>
                      <w:sz w:val="21"/>
                      <w:szCs w:val="21"/>
                    </w:rPr>
                    <w:t>防渗区</w:t>
                  </w:r>
                </w:p>
              </w:tc>
              <w:tc>
                <w:tcPr>
                  <w:tcW w:w="2629" w:type="pct"/>
                  <w:tcBorders>
                    <w:tl2br w:val="nil"/>
                    <w:tr2bl w:val="nil"/>
                  </w:tcBorders>
                  <w:noWrap w:val="0"/>
                  <w:vAlign w:val="center"/>
                </w:tcPr>
                <w:p w14:paraId="62A74913">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rPr>
                    <w:t>等效黏土防渗层 Mb≥1.5m，K≤1.0×10</w:t>
                  </w:r>
                  <w:r>
                    <w:rPr>
                      <w:rFonts w:hint="eastAsia" w:ascii="Times New Roman" w:hAnsi="Times New Roman" w:cs="Times New Roman"/>
                      <w:color w:val="000000"/>
                      <w:sz w:val="21"/>
                      <w:szCs w:val="21"/>
                      <w:vertAlign w:val="superscript"/>
                    </w:rPr>
                    <w:t>-7</w:t>
                  </w:r>
                  <w:r>
                    <w:rPr>
                      <w:rFonts w:hint="eastAsia" w:ascii="Times New Roman" w:hAnsi="Times New Roman" w:cs="Times New Roman"/>
                      <w:color w:val="000000"/>
                      <w:sz w:val="21"/>
                      <w:szCs w:val="21"/>
                    </w:rPr>
                    <w:t>cm/s；或参照 GB 16889 执行</w:t>
                  </w:r>
                </w:p>
              </w:tc>
            </w:tr>
            <w:tr w14:paraId="11A794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856" w:type="pct"/>
                  <w:tcBorders>
                    <w:tl2br w:val="nil"/>
                    <w:tr2bl w:val="nil"/>
                  </w:tcBorders>
                  <w:noWrap w:val="0"/>
                  <w:vAlign w:val="center"/>
                </w:tcPr>
                <w:p w14:paraId="5C666FE7">
                  <w:pPr>
                    <w:keepNext w:val="0"/>
                    <w:keepLines w:val="0"/>
                    <w:suppressLineNumbers w:val="0"/>
                    <w:adjustRightInd w:val="0"/>
                    <w:snapToGrid w:val="0"/>
                    <w:spacing w:before="0" w:beforeAutospacing="0" w:after="0" w:afterAutospacing="0"/>
                    <w:ind w:left="-13" w:leftChars="-42" w:right="-101" w:rightChars="-48" w:hanging="75" w:hangingChars="36"/>
                    <w:jc w:val="center"/>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生活区</w:t>
                  </w:r>
                </w:p>
              </w:tc>
              <w:tc>
                <w:tcPr>
                  <w:tcW w:w="1514" w:type="pct"/>
                  <w:tcBorders>
                    <w:tl2br w:val="nil"/>
                    <w:tr2bl w:val="nil"/>
                  </w:tcBorders>
                  <w:noWrap w:val="0"/>
                  <w:vAlign w:val="center"/>
                </w:tcPr>
                <w:p w14:paraId="3A8AD31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简单防渗区</w:t>
                  </w:r>
                </w:p>
              </w:tc>
              <w:tc>
                <w:tcPr>
                  <w:tcW w:w="2629" w:type="pct"/>
                  <w:tcBorders>
                    <w:tl2br w:val="nil"/>
                    <w:tr2bl w:val="nil"/>
                  </w:tcBorders>
                  <w:noWrap w:val="0"/>
                  <w:vAlign w:val="center"/>
                </w:tcPr>
                <w:p w14:paraId="3BE66831">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rPr>
                  </w:pPr>
                  <w:r>
                    <w:rPr>
                      <w:rFonts w:hint="eastAsia" w:ascii="Times New Roman" w:hAnsi="Times New Roman" w:cs="Times New Roman"/>
                      <w:color w:val="000000"/>
                      <w:sz w:val="21"/>
                      <w:szCs w:val="21"/>
                    </w:rPr>
                    <w:t>一般地面硬化</w:t>
                  </w:r>
                </w:p>
              </w:tc>
            </w:tr>
          </w:tbl>
          <w:p w14:paraId="4034578B">
            <w:pPr>
              <w:keepNext w:val="0"/>
              <w:keepLines w:val="0"/>
              <w:suppressLineNumbers w:val="0"/>
              <w:spacing w:before="159" w:beforeLines="50" w:beforeAutospacing="0" w:after="0" w:afterAutospacing="0" w:line="360" w:lineRule="auto"/>
              <w:ind w:left="0" w:right="0" w:firstLine="480" w:firstLineChars="200"/>
              <w:rPr>
                <w:rFonts w:hint="default" w:ascii="Times New Roman" w:hAnsi="Times New Roman" w:cs="Times New Roman"/>
                <w:color w:val="auto"/>
                <w:sz w:val="24"/>
                <w:highlight w:val="none"/>
              </w:rPr>
            </w:pPr>
            <w:r>
              <w:rPr>
                <w:rFonts w:hint="eastAsia" w:ascii="Times New Roman" w:hAnsi="Times New Roman" w:cs="Times New Roman"/>
                <w:color w:val="auto"/>
                <w:sz w:val="24"/>
                <w:highlight w:val="none"/>
                <w:u w:val="none" w:color="auto"/>
              </w:rPr>
              <w:t>本项目不向地下水排放污染物，排放的大气污染物不涉及《土壤环境质量建设用地土壤污染风险管控标准（试行）》（GB36600-2018）中的基本和其他污染项目，基本不存在土壤、地下水环境污染途径。采取以上污染防治措施后，建设项目不会对周围土壤环境造成影响，无需进行跟踪监测</w:t>
            </w:r>
            <w:r>
              <w:rPr>
                <w:rFonts w:hint="default" w:ascii="Times New Roman" w:hAnsi="Times New Roman" w:cs="Times New Roman"/>
                <w:color w:val="auto"/>
                <w:sz w:val="24"/>
                <w:highlight w:val="none"/>
              </w:rPr>
              <w:t>。</w:t>
            </w:r>
          </w:p>
          <w:p w14:paraId="0EB01390">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auto"/>
                <w:spacing w:val="-10"/>
                <w:sz w:val="24"/>
                <w:u w:val="none"/>
              </w:rPr>
            </w:pPr>
            <w:r>
              <w:rPr>
                <w:rFonts w:hint="default" w:ascii="Times New Roman" w:hAnsi="Times New Roman" w:cs="Times New Roman"/>
                <w:b/>
                <w:bCs/>
                <w:color w:val="auto"/>
                <w:spacing w:val="-10"/>
                <w:sz w:val="24"/>
                <w:u w:val="none"/>
              </w:rPr>
              <w:t>6、环境风险分析和防范措施</w:t>
            </w:r>
          </w:p>
          <w:p w14:paraId="4142A41B">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b/>
                <w:bCs/>
                <w:color w:val="auto"/>
                <w:sz w:val="24"/>
                <w:u w:val="none"/>
              </w:rPr>
            </w:pPr>
            <w:r>
              <w:rPr>
                <w:rFonts w:hint="eastAsia" w:ascii="Times New Roman" w:hAnsi="Times New Roman" w:cs="Times New Roman"/>
                <w:b/>
                <w:bCs/>
                <w:color w:val="auto"/>
                <w:sz w:val="24"/>
                <w:u w:val="none"/>
              </w:rPr>
              <w:t>6</w:t>
            </w:r>
            <w:r>
              <w:rPr>
                <w:rFonts w:hint="default" w:ascii="Times New Roman" w:hAnsi="Times New Roman" w:cs="Times New Roman"/>
                <w:b/>
                <w:bCs/>
                <w:color w:val="auto"/>
                <w:sz w:val="24"/>
                <w:u w:val="none"/>
              </w:rPr>
              <w:t>.1、危险物质识别</w:t>
            </w:r>
          </w:p>
          <w:p w14:paraId="7DF657CE">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根据全厂原辅材料使用情况及主要原辅材料理化性质，结合《建设项目环境风险评价技术导则》（HJ169-2018）分析，公司风险物质识别如下表所示：</w:t>
            </w:r>
          </w:p>
          <w:p w14:paraId="7F524B98">
            <w:pPr>
              <w:pStyle w:val="108"/>
              <w:keepNext w:val="0"/>
              <w:keepLines w:val="0"/>
              <w:suppressLineNumbers w:val="0"/>
              <w:spacing w:before="0" w:beforeAutospacing="0" w:after="0" w:afterAutospacing="0"/>
              <w:ind w:left="0" w:right="0" w:firstLine="0"/>
              <w:jc w:val="center"/>
              <w:rPr>
                <w:rFonts w:hint="default"/>
                <w:b/>
                <w:bCs/>
                <w:color w:val="auto"/>
                <w:sz w:val="21"/>
                <w:szCs w:val="21"/>
                <w:u w:val="none"/>
              </w:rPr>
            </w:pPr>
            <w:r>
              <w:rPr>
                <w:rFonts w:hint="default"/>
                <w:b/>
                <w:bCs/>
                <w:color w:val="auto"/>
                <w:sz w:val="21"/>
                <w:szCs w:val="21"/>
                <w:u w:val="none"/>
              </w:rPr>
              <w:t>表4-</w:t>
            </w:r>
            <w:r>
              <w:rPr>
                <w:rFonts w:hint="eastAsia"/>
                <w:b/>
                <w:bCs/>
                <w:color w:val="auto"/>
                <w:sz w:val="21"/>
                <w:szCs w:val="21"/>
                <w:u w:val="none"/>
                <w:lang w:val="en-US" w:eastAsia="zh-CN"/>
              </w:rPr>
              <w:t>19</w:t>
            </w:r>
            <w:r>
              <w:rPr>
                <w:rFonts w:hint="default"/>
                <w:b/>
                <w:bCs/>
                <w:color w:val="auto"/>
                <w:sz w:val="21"/>
                <w:szCs w:val="21"/>
                <w:u w:val="none"/>
              </w:rPr>
              <w:t xml:space="preserve">  危险物质识别表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67"/>
              <w:gridCol w:w="1299"/>
              <w:gridCol w:w="1301"/>
              <w:gridCol w:w="1769"/>
              <w:gridCol w:w="1558"/>
              <w:gridCol w:w="1185"/>
            </w:tblGrid>
            <w:tr w14:paraId="532D69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tcBorders>
                    <w:tl2br w:val="nil"/>
                    <w:tr2bl w:val="nil"/>
                  </w:tcBorders>
                  <w:shd w:val="clear" w:color="auto" w:fill="auto"/>
                  <w:vAlign w:val="center"/>
                </w:tcPr>
                <w:p w14:paraId="6920A7B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6"/>
                      <w:rFonts w:hint="default" w:ascii="Times New Roman" w:hAnsi="Times New Roman" w:eastAsia="宋体" w:cs="Times New Roman"/>
                      <w:b w:val="0"/>
                      <w:bCs w:val="0"/>
                      <w:sz w:val="21"/>
                      <w:szCs w:val="21"/>
                      <w:lang w:val="en-US" w:eastAsia="zh-CN" w:bidi="ar"/>
                    </w:rPr>
                    <w:t>危险单元</w:t>
                  </w:r>
                </w:p>
              </w:tc>
              <w:tc>
                <w:tcPr>
                  <w:tcW w:w="1533" w:type="pct"/>
                  <w:gridSpan w:val="2"/>
                  <w:tcBorders>
                    <w:tl2br w:val="nil"/>
                    <w:tr2bl w:val="nil"/>
                  </w:tcBorders>
                  <w:shd w:val="clear" w:color="auto" w:fill="auto"/>
                  <w:vAlign w:val="center"/>
                </w:tcPr>
                <w:p w14:paraId="2D2D4E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6"/>
                      <w:rFonts w:hint="default" w:ascii="Times New Roman" w:hAnsi="Times New Roman" w:eastAsia="宋体" w:cs="Times New Roman"/>
                      <w:b w:val="0"/>
                      <w:bCs w:val="0"/>
                      <w:sz w:val="21"/>
                      <w:szCs w:val="21"/>
                      <w:lang w:val="en-US" w:eastAsia="zh-CN" w:bidi="ar"/>
                    </w:rPr>
                    <w:t>危险物质</w:t>
                  </w:r>
                </w:p>
              </w:tc>
              <w:tc>
                <w:tcPr>
                  <w:tcW w:w="1043" w:type="pct"/>
                  <w:tcBorders>
                    <w:tl2br w:val="nil"/>
                    <w:tr2bl w:val="nil"/>
                  </w:tcBorders>
                  <w:shd w:val="clear" w:color="auto" w:fill="auto"/>
                  <w:vAlign w:val="center"/>
                </w:tcPr>
                <w:p w14:paraId="689ECF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6"/>
                      <w:rFonts w:hint="default" w:ascii="Times New Roman" w:hAnsi="Times New Roman" w:eastAsia="宋体" w:cs="Times New Roman"/>
                      <w:b w:val="0"/>
                      <w:bCs w:val="0"/>
                      <w:sz w:val="21"/>
                      <w:szCs w:val="21"/>
                      <w:lang w:val="en-US" w:eastAsia="zh-CN" w:bidi="ar"/>
                    </w:rPr>
                    <w:t>项目存量q(t)</w:t>
                  </w:r>
                </w:p>
              </w:tc>
              <w:tc>
                <w:tcPr>
                  <w:tcW w:w="918" w:type="pct"/>
                  <w:tcBorders>
                    <w:tl2br w:val="nil"/>
                    <w:tr2bl w:val="nil"/>
                  </w:tcBorders>
                  <w:shd w:val="clear" w:color="auto" w:fill="auto"/>
                  <w:vAlign w:val="center"/>
                </w:tcPr>
                <w:p w14:paraId="4273E9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6"/>
                      <w:rFonts w:hint="default" w:ascii="Times New Roman" w:hAnsi="Times New Roman" w:eastAsia="宋体" w:cs="Times New Roman"/>
                      <w:b w:val="0"/>
                      <w:bCs w:val="0"/>
                      <w:sz w:val="21"/>
                      <w:szCs w:val="21"/>
                      <w:lang w:val="en-US" w:eastAsia="zh-CN" w:bidi="ar"/>
                    </w:rPr>
                    <w:t>临界量Q(t)</w:t>
                  </w:r>
                </w:p>
              </w:tc>
              <w:tc>
                <w:tcPr>
                  <w:tcW w:w="698" w:type="pct"/>
                  <w:tcBorders>
                    <w:tl2br w:val="nil"/>
                    <w:tr2bl w:val="nil"/>
                  </w:tcBorders>
                  <w:shd w:val="clear" w:color="auto" w:fill="auto"/>
                  <w:vAlign w:val="center"/>
                </w:tcPr>
                <w:p w14:paraId="34D41DB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Style w:val="156"/>
                      <w:rFonts w:hint="default" w:ascii="Times New Roman" w:hAnsi="Times New Roman" w:eastAsia="宋体" w:cs="Times New Roman"/>
                      <w:b w:val="0"/>
                      <w:bCs w:val="0"/>
                      <w:sz w:val="21"/>
                      <w:szCs w:val="21"/>
                      <w:lang w:val="en-US" w:eastAsia="zh-CN" w:bidi="ar"/>
                    </w:rPr>
                    <w:t>q/Q</w:t>
                  </w:r>
                </w:p>
              </w:tc>
            </w:tr>
            <w:tr w14:paraId="4D286C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restart"/>
                  <w:tcBorders>
                    <w:tl2br w:val="nil"/>
                    <w:tr2bl w:val="nil"/>
                  </w:tcBorders>
                  <w:shd w:val="clear" w:color="auto" w:fill="auto"/>
                  <w:vAlign w:val="center"/>
                </w:tcPr>
                <w:p w14:paraId="45E79A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危险化学品</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仓库</w:t>
                  </w:r>
                </w:p>
              </w:tc>
              <w:tc>
                <w:tcPr>
                  <w:tcW w:w="1533" w:type="pct"/>
                  <w:gridSpan w:val="2"/>
                  <w:tcBorders>
                    <w:tl2br w:val="nil"/>
                    <w:tr2bl w:val="nil"/>
                  </w:tcBorders>
                  <w:shd w:val="clear" w:color="auto" w:fill="auto"/>
                  <w:vAlign w:val="center"/>
                </w:tcPr>
                <w:p w14:paraId="1A0528F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乙酸乙酯</w:t>
                  </w:r>
                </w:p>
              </w:tc>
              <w:tc>
                <w:tcPr>
                  <w:tcW w:w="1043" w:type="pct"/>
                  <w:tcBorders>
                    <w:tl2br w:val="nil"/>
                    <w:tr2bl w:val="nil"/>
                  </w:tcBorders>
                  <w:shd w:val="clear" w:color="auto" w:fill="auto"/>
                  <w:vAlign w:val="center"/>
                </w:tcPr>
                <w:p w14:paraId="742D5D78">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w:t>
                  </w:r>
                  <w:r>
                    <w:rPr>
                      <w:rFonts w:hint="eastAsia" w:cs="Times New Roman"/>
                      <w:b w:val="0"/>
                      <w:bCs w:val="0"/>
                      <w:i w:val="0"/>
                      <w:iCs w:val="0"/>
                      <w:color w:val="000000"/>
                      <w:kern w:val="0"/>
                      <w:sz w:val="21"/>
                      <w:szCs w:val="21"/>
                      <w:u w:val="none"/>
                      <w:lang w:val="en-US" w:eastAsia="zh-CN" w:bidi="ar"/>
                    </w:rPr>
                    <w:t>5</w:t>
                  </w:r>
                </w:p>
              </w:tc>
              <w:tc>
                <w:tcPr>
                  <w:tcW w:w="918" w:type="pct"/>
                  <w:tcBorders>
                    <w:tl2br w:val="nil"/>
                    <w:tr2bl w:val="nil"/>
                  </w:tcBorders>
                  <w:shd w:val="clear" w:color="auto" w:fill="auto"/>
                  <w:vAlign w:val="center"/>
                </w:tcPr>
                <w:p w14:paraId="223F2F6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0BD900D3">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0.2</w:t>
                  </w:r>
                  <w:r>
                    <w:rPr>
                      <w:rFonts w:hint="eastAsia" w:cs="Times New Roman"/>
                      <w:b w:val="0"/>
                      <w:bCs w:val="0"/>
                      <w:i w:val="0"/>
                      <w:iCs w:val="0"/>
                      <w:color w:val="000000"/>
                      <w:kern w:val="0"/>
                      <w:sz w:val="21"/>
                      <w:szCs w:val="21"/>
                      <w:u w:val="none"/>
                      <w:lang w:val="en-US" w:eastAsia="zh-CN" w:bidi="ar"/>
                    </w:rPr>
                    <w:t>5</w:t>
                  </w:r>
                </w:p>
              </w:tc>
            </w:tr>
            <w:tr w14:paraId="5F1414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3C3FCCF9">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51ED18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凹版油墨</w:t>
                  </w:r>
                </w:p>
              </w:tc>
              <w:tc>
                <w:tcPr>
                  <w:tcW w:w="1043" w:type="pct"/>
                  <w:tcBorders>
                    <w:tl2br w:val="nil"/>
                    <w:tr2bl w:val="nil"/>
                  </w:tcBorders>
                  <w:shd w:val="clear" w:color="auto" w:fill="auto"/>
                  <w:vAlign w:val="center"/>
                </w:tcPr>
                <w:p w14:paraId="3EAFBCB3">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rPr>
                  </w:pPr>
                  <w:r>
                    <w:rPr>
                      <w:rFonts w:hint="eastAsia" w:cs="Times New Roman"/>
                      <w:b w:val="0"/>
                      <w:bCs w:val="0"/>
                      <w:i w:val="0"/>
                      <w:iCs w:val="0"/>
                      <w:color w:val="000000"/>
                      <w:kern w:val="0"/>
                      <w:sz w:val="21"/>
                      <w:szCs w:val="21"/>
                      <w:u w:val="none"/>
                      <w:lang w:val="en-US" w:eastAsia="zh-CN" w:bidi="ar"/>
                    </w:rPr>
                    <w:t>0.5</w:t>
                  </w:r>
                </w:p>
              </w:tc>
              <w:tc>
                <w:tcPr>
                  <w:tcW w:w="918" w:type="pct"/>
                  <w:tcBorders>
                    <w:tl2br w:val="nil"/>
                    <w:tr2bl w:val="nil"/>
                  </w:tcBorders>
                  <w:shd w:val="clear" w:color="auto" w:fill="auto"/>
                  <w:vAlign w:val="center"/>
                </w:tcPr>
                <w:p w14:paraId="5EBDA735">
                  <w:pPr>
                    <w:keepNext w:val="0"/>
                    <w:keepLines w:val="0"/>
                    <w:widowControl/>
                    <w:suppressLineNumbers w:val="0"/>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w:t>
                  </w:r>
                </w:p>
              </w:tc>
              <w:tc>
                <w:tcPr>
                  <w:tcW w:w="698" w:type="pct"/>
                  <w:tcBorders>
                    <w:tl2br w:val="nil"/>
                    <w:tr2bl w:val="nil"/>
                  </w:tcBorders>
                  <w:shd w:val="clear" w:color="auto" w:fill="auto"/>
                  <w:vAlign w:val="center"/>
                </w:tcPr>
                <w:p w14:paraId="4C849C2F">
                  <w:pPr>
                    <w:keepNext w:val="0"/>
                    <w:keepLines w:val="0"/>
                    <w:widowControl/>
                    <w:suppressLineNumbers w:val="0"/>
                    <w:spacing w:before="0" w:beforeAutospacing="0" w:after="0" w:afterAutospacing="0"/>
                    <w:ind w:left="0" w:right="0"/>
                    <w:jc w:val="center"/>
                    <w:textAlignment w:val="top"/>
                    <w:rPr>
                      <w:rFonts w:hint="eastAsia"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w:t>
                  </w:r>
                </w:p>
              </w:tc>
            </w:tr>
            <w:tr w14:paraId="5DB115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5799CF16">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tcBorders>
                    <w:tl2br w:val="nil"/>
                    <w:tr2bl w:val="nil"/>
                  </w:tcBorders>
                  <w:shd w:val="clear" w:color="auto" w:fill="auto"/>
                  <w:vAlign w:val="center"/>
                </w:tcPr>
                <w:p w14:paraId="72BAF7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767" w:type="pct"/>
                  <w:tcBorders>
                    <w:tl2br w:val="nil"/>
                    <w:tr2bl w:val="nil"/>
                  </w:tcBorders>
                  <w:shd w:val="clear" w:color="auto" w:fill="auto"/>
                  <w:vAlign w:val="center"/>
                </w:tcPr>
                <w:p w14:paraId="4DC8D5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乙酸乙酯30%</w:t>
                  </w:r>
                </w:p>
              </w:tc>
              <w:tc>
                <w:tcPr>
                  <w:tcW w:w="1043" w:type="pct"/>
                  <w:tcBorders>
                    <w:tl2br w:val="nil"/>
                    <w:tr2bl w:val="nil"/>
                  </w:tcBorders>
                  <w:shd w:val="clear" w:color="auto" w:fill="auto"/>
                  <w:vAlign w:val="center"/>
                </w:tcPr>
                <w:p w14:paraId="3CE9B4A4">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0.15</w:t>
                  </w:r>
                </w:p>
              </w:tc>
              <w:tc>
                <w:tcPr>
                  <w:tcW w:w="918" w:type="pct"/>
                  <w:tcBorders>
                    <w:tl2br w:val="nil"/>
                    <w:tr2bl w:val="nil"/>
                  </w:tcBorders>
                  <w:shd w:val="clear" w:color="auto" w:fill="auto"/>
                  <w:vAlign w:val="center"/>
                </w:tcPr>
                <w:p w14:paraId="1C52E377">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7840F4FC">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0.015</w:t>
                  </w:r>
                </w:p>
              </w:tc>
            </w:tr>
            <w:tr w14:paraId="5E6D54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58BC0AC8">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0E15E78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聚氨酯胶粘剂</w:t>
                  </w:r>
                </w:p>
              </w:tc>
              <w:tc>
                <w:tcPr>
                  <w:tcW w:w="1043" w:type="pct"/>
                  <w:tcBorders>
                    <w:tl2br w:val="nil"/>
                    <w:tr2bl w:val="nil"/>
                  </w:tcBorders>
                  <w:shd w:val="clear" w:color="auto" w:fill="auto"/>
                  <w:vAlign w:val="center"/>
                </w:tcPr>
                <w:p w14:paraId="6C73E970">
                  <w:pPr>
                    <w:keepNext w:val="0"/>
                    <w:keepLines w:val="0"/>
                    <w:widowControl/>
                    <w:suppressLineNumbers w:val="0"/>
                    <w:spacing w:before="0" w:beforeAutospacing="0" w:after="0" w:afterAutospacing="0"/>
                    <w:ind w:left="0" w:leftChars="0" w:right="0" w:rightChars="0"/>
                    <w:jc w:val="center"/>
                    <w:textAlignment w:val="top"/>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0"/>
                      <w:sz w:val="21"/>
                      <w:szCs w:val="21"/>
                      <w:u w:val="none"/>
                      <w:lang w:val="en-US" w:eastAsia="zh-CN" w:bidi="ar"/>
                    </w:rPr>
                    <w:t>2</w:t>
                  </w:r>
                </w:p>
              </w:tc>
              <w:tc>
                <w:tcPr>
                  <w:tcW w:w="918" w:type="pct"/>
                  <w:tcBorders>
                    <w:tl2br w:val="nil"/>
                    <w:tr2bl w:val="nil"/>
                  </w:tcBorders>
                  <w:shd w:val="clear" w:color="auto" w:fill="auto"/>
                  <w:vAlign w:val="center"/>
                </w:tcPr>
                <w:p w14:paraId="6054847D">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304030"/>
                      <w:kern w:val="2"/>
                      <w:sz w:val="21"/>
                      <w:szCs w:val="21"/>
                      <w:u w:val="none"/>
                      <w:lang w:val="en-US" w:eastAsia="zh-CN" w:bidi="ar-SA"/>
                    </w:rPr>
                  </w:pPr>
                  <w:r>
                    <w:rPr>
                      <w:rFonts w:hint="eastAsia" w:cs="Times New Roman"/>
                      <w:b w:val="0"/>
                      <w:bCs w:val="0"/>
                      <w:i w:val="0"/>
                      <w:iCs w:val="0"/>
                      <w:color w:val="304030"/>
                      <w:kern w:val="2"/>
                      <w:sz w:val="21"/>
                      <w:szCs w:val="21"/>
                      <w:u w:val="none"/>
                      <w:lang w:val="en-US" w:eastAsia="zh-CN" w:bidi="ar-SA"/>
                    </w:rPr>
                    <w:t>/</w:t>
                  </w:r>
                </w:p>
              </w:tc>
              <w:tc>
                <w:tcPr>
                  <w:tcW w:w="698" w:type="pct"/>
                  <w:tcBorders>
                    <w:tl2br w:val="nil"/>
                    <w:tr2bl w:val="nil"/>
                  </w:tcBorders>
                  <w:shd w:val="clear" w:color="auto" w:fill="auto"/>
                  <w:vAlign w:val="center"/>
                </w:tcPr>
                <w:p w14:paraId="07F59175">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r>
            <w:tr w14:paraId="77B330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7F748DBC">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vMerge w:val="restart"/>
                  <w:tcBorders>
                    <w:tl2br w:val="nil"/>
                    <w:tr2bl w:val="nil"/>
                  </w:tcBorders>
                  <w:shd w:val="clear" w:color="auto" w:fill="auto"/>
                  <w:vAlign w:val="center"/>
                </w:tcPr>
                <w:p w14:paraId="2BF14AA0">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767" w:type="pct"/>
                  <w:tcBorders>
                    <w:tl2br w:val="nil"/>
                    <w:tr2bl w:val="nil"/>
                  </w:tcBorders>
                  <w:shd w:val="clear" w:color="auto" w:fill="auto"/>
                  <w:vAlign w:val="center"/>
                </w:tcPr>
                <w:p w14:paraId="2471F999">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乙酸乙酯40%</w:t>
                  </w:r>
                </w:p>
              </w:tc>
              <w:tc>
                <w:tcPr>
                  <w:tcW w:w="1043" w:type="pct"/>
                  <w:tcBorders>
                    <w:tl2br w:val="nil"/>
                    <w:tr2bl w:val="nil"/>
                  </w:tcBorders>
                  <w:shd w:val="clear" w:color="auto" w:fill="auto"/>
                  <w:vAlign w:val="center"/>
                </w:tcPr>
                <w:p w14:paraId="295638BA">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0.8</w:t>
                  </w:r>
                </w:p>
              </w:tc>
              <w:tc>
                <w:tcPr>
                  <w:tcW w:w="918" w:type="pct"/>
                  <w:tcBorders>
                    <w:tl2br w:val="nil"/>
                    <w:tr2bl w:val="nil"/>
                  </w:tcBorders>
                  <w:shd w:val="clear" w:color="auto" w:fill="auto"/>
                  <w:vAlign w:val="center"/>
                </w:tcPr>
                <w:p w14:paraId="3584B644">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24A3F06C">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0.08</w:t>
                  </w:r>
                </w:p>
              </w:tc>
            </w:tr>
            <w:tr w14:paraId="0A5C5A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172981AF">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vMerge w:val="continue"/>
                  <w:tcBorders>
                    <w:tl2br w:val="nil"/>
                    <w:tr2bl w:val="nil"/>
                  </w:tcBorders>
                  <w:shd w:val="clear" w:color="auto" w:fill="auto"/>
                  <w:vAlign w:val="center"/>
                </w:tcPr>
                <w:p w14:paraId="6BBF1389">
                  <w:pPr>
                    <w:keepNext w:val="0"/>
                    <w:keepLines w:val="0"/>
                    <w:widowControl/>
                    <w:suppressLineNumbers w:val="0"/>
                    <w:spacing w:before="0" w:beforeAutospacing="0" w:after="0" w:afterAutospacing="0"/>
                    <w:ind w:left="0" w:right="0"/>
                    <w:jc w:val="center"/>
                    <w:textAlignment w:val="center"/>
                    <w:rPr>
                      <w:rFonts w:hint="eastAsia" w:cs="Times New Roman"/>
                      <w:b w:val="0"/>
                      <w:bCs w:val="0"/>
                      <w:i w:val="0"/>
                      <w:iCs w:val="0"/>
                      <w:color w:val="000000"/>
                      <w:kern w:val="0"/>
                      <w:sz w:val="21"/>
                      <w:szCs w:val="21"/>
                      <w:u w:val="none"/>
                      <w:lang w:val="en-US" w:eastAsia="zh-CN" w:bidi="ar"/>
                    </w:rPr>
                  </w:pPr>
                </w:p>
              </w:tc>
              <w:tc>
                <w:tcPr>
                  <w:tcW w:w="767" w:type="pct"/>
                  <w:tcBorders>
                    <w:tl2br w:val="nil"/>
                    <w:tr2bl w:val="nil"/>
                  </w:tcBorders>
                  <w:shd w:val="clear" w:color="auto" w:fill="auto"/>
                  <w:vAlign w:val="center"/>
                </w:tcPr>
                <w:p w14:paraId="647D3EF1">
                  <w:pPr>
                    <w:keepNext w:val="0"/>
                    <w:keepLines w:val="0"/>
                    <w:widowControl/>
                    <w:suppressLineNumbers w:val="0"/>
                    <w:spacing w:before="0" w:beforeAutospacing="0" w:after="0" w:afterAutospacing="0"/>
                    <w:ind w:left="0" w:right="0"/>
                    <w:jc w:val="center"/>
                    <w:textAlignment w:val="center"/>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乙酸甲酯20%</w:t>
                  </w:r>
                </w:p>
              </w:tc>
              <w:tc>
                <w:tcPr>
                  <w:tcW w:w="1043" w:type="pct"/>
                  <w:tcBorders>
                    <w:tl2br w:val="nil"/>
                    <w:tr2bl w:val="nil"/>
                  </w:tcBorders>
                  <w:shd w:val="clear" w:color="auto" w:fill="auto"/>
                  <w:vAlign w:val="center"/>
                </w:tcPr>
                <w:p w14:paraId="55A84FD2">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0.4</w:t>
                  </w:r>
                </w:p>
              </w:tc>
              <w:tc>
                <w:tcPr>
                  <w:tcW w:w="918" w:type="pct"/>
                  <w:tcBorders>
                    <w:tl2br w:val="nil"/>
                    <w:tr2bl w:val="nil"/>
                  </w:tcBorders>
                  <w:shd w:val="clear" w:color="auto" w:fill="auto"/>
                  <w:vAlign w:val="center"/>
                </w:tcPr>
                <w:p w14:paraId="28FA3C0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2C72518C">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0.04</w:t>
                  </w:r>
                </w:p>
              </w:tc>
            </w:tr>
            <w:tr w14:paraId="5272B9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17A38883">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p w14:paraId="3C0881D4">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589F75A8">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铝箔油墨</w:t>
                  </w:r>
                </w:p>
              </w:tc>
              <w:tc>
                <w:tcPr>
                  <w:tcW w:w="1043" w:type="pct"/>
                  <w:tcBorders>
                    <w:tl2br w:val="nil"/>
                    <w:tr2bl w:val="nil"/>
                  </w:tcBorders>
                  <w:shd w:val="clear" w:color="auto" w:fill="auto"/>
                  <w:vAlign w:val="center"/>
                </w:tcPr>
                <w:p w14:paraId="3D8016E0">
                  <w:pPr>
                    <w:keepNext w:val="0"/>
                    <w:keepLines w:val="0"/>
                    <w:widowControl/>
                    <w:suppressLineNumbers w:val="0"/>
                    <w:spacing w:before="0" w:beforeAutospacing="0" w:after="0" w:afterAutospacing="0"/>
                    <w:ind w:left="0" w:leftChars="0" w:right="0" w:rightChars="0"/>
                    <w:jc w:val="center"/>
                    <w:textAlignment w:val="top"/>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0"/>
                      <w:sz w:val="21"/>
                      <w:szCs w:val="21"/>
                      <w:u w:val="none"/>
                      <w:lang w:val="en-US" w:eastAsia="zh-CN" w:bidi="ar"/>
                    </w:rPr>
                    <w:t>0.2</w:t>
                  </w:r>
                </w:p>
              </w:tc>
              <w:tc>
                <w:tcPr>
                  <w:tcW w:w="918" w:type="pct"/>
                  <w:tcBorders>
                    <w:tl2br w:val="nil"/>
                    <w:tr2bl w:val="nil"/>
                  </w:tcBorders>
                  <w:shd w:val="clear" w:color="auto" w:fill="auto"/>
                  <w:vAlign w:val="center"/>
                </w:tcPr>
                <w:p w14:paraId="202659BC">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c>
                <w:tcPr>
                  <w:tcW w:w="698" w:type="pct"/>
                  <w:tcBorders>
                    <w:tl2br w:val="nil"/>
                    <w:tr2bl w:val="nil"/>
                  </w:tcBorders>
                  <w:shd w:val="clear" w:color="auto" w:fill="auto"/>
                  <w:vAlign w:val="center"/>
                </w:tcPr>
                <w:p w14:paraId="72E48989">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r>
            <w:tr w14:paraId="171E59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499BE4EC">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tcBorders>
                    <w:tl2br w:val="nil"/>
                    <w:tr2bl w:val="nil"/>
                  </w:tcBorders>
                  <w:shd w:val="clear" w:color="auto" w:fill="auto"/>
                  <w:vAlign w:val="center"/>
                </w:tcPr>
                <w:p w14:paraId="1A35866F">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767" w:type="pct"/>
                  <w:tcBorders>
                    <w:tl2br w:val="nil"/>
                    <w:tr2bl w:val="nil"/>
                  </w:tcBorders>
                  <w:shd w:val="clear" w:color="auto" w:fill="auto"/>
                  <w:vAlign w:val="center"/>
                </w:tcPr>
                <w:p w14:paraId="51913F18">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乙酸乙酯10%</w:t>
                  </w:r>
                </w:p>
              </w:tc>
              <w:tc>
                <w:tcPr>
                  <w:tcW w:w="1043" w:type="pct"/>
                  <w:tcBorders>
                    <w:tl2br w:val="nil"/>
                    <w:tr2bl w:val="nil"/>
                  </w:tcBorders>
                  <w:shd w:val="clear" w:color="auto" w:fill="auto"/>
                  <w:vAlign w:val="center"/>
                </w:tcPr>
                <w:p w14:paraId="08FF29DD">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0.02</w:t>
                  </w:r>
                </w:p>
              </w:tc>
              <w:tc>
                <w:tcPr>
                  <w:tcW w:w="918" w:type="pct"/>
                  <w:tcBorders>
                    <w:tl2br w:val="nil"/>
                    <w:tr2bl w:val="nil"/>
                  </w:tcBorders>
                  <w:shd w:val="clear" w:color="auto" w:fill="auto"/>
                  <w:vAlign w:val="center"/>
                </w:tcPr>
                <w:p w14:paraId="3AB02353">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15175C5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0.002</w:t>
                  </w:r>
                </w:p>
              </w:tc>
            </w:tr>
            <w:tr w14:paraId="7E659B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16D8D37D">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56908CA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OP保护剂</w:t>
                  </w:r>
                </w:p>
              </w:tc>
              <w:tc>
                <w:tcPr>
                  <w:tcW w:w="1043" w:type="pct"/>
                  <w:tcBorders>
                    <w:tl2br w:val="nil"/>
                    <w:tr2bl w:val="nil"/>
                  </w:tcBorders>
                  <w:shd w:val="clear" w:color="auto" w:fill="auto"/>
                  <w:vAlign w:val="center"/>
                </w:tcPr>
                <w:p w14:paraId="695D2ABB">
                  <w:pPr>
                    <w:keepNext w:val="0"/>
                    <w:keepLines w:val="0"/>
                    <w:widowControl/>
                    <w:suppressLineNumbers w:val="0"/>
                    <w:spacing w:before="0" w:beforeAutospacing="0" w:after="0" w:afterAutospacing="0"/>
                    <w:ind w:left="0" w:leftChars="0" w:right="0" w:rightChars="0"/>
                    <w:jc w:val="center"/>
                    <w:textAlignment w:val="top"/>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0.5</w:t>
                  </w:r>
                </w:p>
              </w:tc>
              <w:tc>
                <w:tcPr>
                  <w:tcW w:w="918" w:type="pct"/>
                  <w:tcBorders>
                    <w:tl2br w:val="nil"/>
                    <w:tr2bl w:val="nil"/>
                  </w:tcBorders>
                  <w:shd w:val="clear" w:color="auto" w:fill="auto"/>
                  <w:vAlign w:val="center"/>
                </w:tcPr>
                <w:p w14:paraId="64D6D315">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c>
                <w:tcPr>
                  <w:tcW w:w="698" w:type="pct"/>
                  <w:tcBorders>
                    <w:tl2br w:val="nil"/>
                    <w:tr2bl w:val="nil"/>
                  </w:tcBorders>
                  <w:shd w:val="clear" w:color="auto" w:fill="auto"/>
                  <w:vAlign w:val="center"/>
                </w:tcPr>
                <w:p w14:paraId="7CE49213">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r>
            <w:tr w14:paraId="3A8B1C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71497873">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tcBorders>
                    <w:tl2br w:val="nil"/>
                    <w:tr2bl w:val="nil"/>
                  </w:tcBorders>
                  <w:shd w:val="clear" w:color="auto" w:fill="auto"/>
                  <w:vAlign w:val="center"/>
                </w:tcPr>
                <w:p w14:paraId="3DB8EBBE">
                  <w:pPr>
                    <w:keepNext w:val="0"/>
                    <w:keepLines w:val="0"/>
                    <w:widowControl/>
                    <w:suppressLineNumbers w:val="0"/>
                    <w:spacing w:before="0" w:beforeAutospacing="0" w:after="0" w:afterAutospacing="0"/>
                    <w:ind w:left="0" w:right="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767" w:type="pct"/>
                  <w:tcBorders>
                    <w:tl2br w:val="nil"/>
                    <w:tr2bl w:val="nil"/>
                  </w:tcBorders>
                  <w:shd w:val="clear" w:color="auto" w:fill="auto"/>
                  <w:vAlign w:val="center"/>
                </w:tcPr>
                <w:p w14:paraId="645DE6C8">
                  <w:pPr>
                    <w:keepNext w:val="0"/>
                    <w:keepLines w:val="0"/>
                    <w:widowControl/>
                    <w:suppressLineNumbers w:val="0"/>
                    <w:spacing w:before="0" w:beforeAutospacing="0" w:after="0" w:afterAutospacing="0"/>
                    <w:ind w:left="0" w:right="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乙酸乙酯30%</w:t>
                  </w:r>
                </w:p>
              </w:tc>
              <w:tc>
                <w:tcPr>
                  <w:tcW w:w="1043" w:type="pct"/>
                  <w:tcBorders>
                    <w:tl2br w:val="nil"/>
                    <w:tr2bl w:val="nil"/>
                  </w:tcBorders>
                  <w:shd w:val="clear" w:color="auto" w:fill="auto"/>
                  <w:vAlign w:val="center"/>
                </w:tcPr>
                <w:p w14:paraId="239AE9CE">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0.15</w:t>
                  </w:r>
                </w:p>
              </w:tc>
              <w:tc>
                <w:tcPr>
                  <w:tcW w:w="918" w:type="pct"/>
                  <w:tcBorders>
                    <w:tl2br w:val="nil"/>
                    <w:tr2bl w:val="nil"/>
                  </w:tcBorders>
                  <w:shd w:val="clear" w:color="auto" w:fill="auto"/>
                  <w:vAlign w:val="center"/>
                </w:tcPr>
                <w:p w14:paraId="4126387B">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4BCE8228">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0.015</w:t>
                  </w:r>
                </w:p>
              </w:tc>
            </w:tr>
            <w:tr w14:paraId="506DCC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52DB823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6F7DD7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VC胶粘剂</w:t>
                  </w:r>
                </w:p>
              </w:tc>
              <w:tc>
                <w:tcPr>
                  <w:tcW w:w="1043" w:type="pct"/>
                  <w:tcBorders>
                    <w:tl2br w:val="nil"/>
                    <w:tr2bl w:val="nil"/>
                  </w:tcBorders>
                  <w:shd w:val="clear" w:color="auto" w:fill="auto"/>
                  <w:vAlign w:val="center"/>
                </w:tcPr>
                <w:p w14:paraId="6D4B567C">
                  <w:pPr>
                    <w:keepNext w:val="0"/>
                    <w:keepLines w:val="0"/>
                    <w:widowControl/>
                    <w:suppressLineNumbers w:val="0"/>
                    <w:spacing w:before="0" w:beforeAutospacing="0" w:after="0" w:afterAutospacing="0"/>
                    <w:ind w:left="0" w:leftChars="0" w:right="0" w:rightChars="0"/>
                    <w:jc w:val="center"/>
                    <w:textAlignment w:val="top"/>
                    <w:rPr>
                      <w:rFonts w:hint="eastAsia" w:ascii="Times New Roman" w:hAnsi="Times New Roman" w:eastAsia="宋体" w:cs="Times New Roman"/>
                      <w:b w:val="0"/>
                      <w:bCs w:val="0"/>
                      <w:i w:val="0"/>
                      <w:iCs w:val="0"/>
                      <w:color w:val="102030"/>
                      <w:kern w:val="2"/>
                      <w:sz w:val="21"/>
                      <w:szCs w:val="21"/>
                      <w:u w:val="none"/>
                      <w:lang w:val="en-US" w:eastAsia="zh-CN" w:bidi="ar-SA"/>
                    </w:rPr>
                  </w:pPr>
                  <w:r>
                    <w:rPr>
                      <w:rFonts w:hint="eastAsia" w:cs="Times New Roman"/>
                      <w:b w:val="0"/>
                      <w:bCs w:val="0"/>
                      <w:i w:val="0"/>
                      <w:iCs w:val="0"/>
                      <w:color w:val="102030"/>
                      <w:kern w:val="0"/>
                      <w:sz w:val="21"/>
                      <w:szCs w:val="21"/>
                      <w:u w:val="none"/>
                      <w:lang w:val="en-US" w:eastAsia="zh-CN" w:bidi="ar"/>
                    </w:rPr>
                    <w:t>2.0</w:t>
                  </w:r>
                </w:p>
              </w:tc>
              <w:tc>
                <w:tcPr>
                  <w:tcW w:w="918" w:type="pct"/>
                  <w:tcBorders>
                    <w:tl2br w:val="nil"/>
                    <w:tr2bl w:val="nil"/>
                  </w:tcBorders>
                  <w:shd w:val="clear" w:color="auto" w:fill="auto"/>
                  <w:vAlign w:val="center"/>
                </w:tcPr>
                <w:p w14:paraId="4A34122B">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c>
                <w:tcPr>
                  <w:tcW w:w="698" w:type="pct"/>
                  <w:tcBorders>
                    <w:tl2br w:val="nil"/>
                    <w:tr2bl w:val="nil"/>
                  </w:tcBorders>
                  <w:shd w:val="clear" w:color="auto" w:fill="auto"/>
                  <w:vAlign w:val="center"/>
                </w:tcPr>
                <w:p w14:paraId="2A0AA0C2">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r>
            <w:tr w14:paraId="7D0ACA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020FB232">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vMerge w:val="restart"/>
                  <w:tcBorders>
                    <w:tl2br w:val="nil"/>
                    <w:tr2bl w:val="nil"/>
                  </w:tcBorders>
                  <w:shd w:val="clear" w:color="auto" w:fill="auto"/>
                  <w:vAlign w:val="center"/>
                </w:tcPr>
                <w:p w14:paraId="217766EE">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767" w:type="pct"/>
                  <w:tcBorders>
                    <w:tl2br w:val="nil"/>
                    <w:tr2bl w:val="nil"/>
                  </w:tcBorders>
                  <w:shd w:val="clear" w:color="auto" w:fill="auto"/>
                  <w:vAlign w:val="center"/>
                </w:tcPr>
                <w:p w14:paraId="2A6DC440">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乙酸乙酯35%</w:t>
                  </w:r>
                </w:p>
              </w:tc>
              <w:tc>
                <w:tcPr>
                  <w:tcW w:w="1043" w:type="pct"/>
                  <w:tcBorders>
                    <w:tl2br w:val="nil"/>
                    <w:tr2bl w:val="nil"/>
                  </w:tcBorders>
                  <w:shd w:val="clear" w:color="auto" w:fill="auto"/>
                  <w:vAlign w:val="center"/>
                </w:tcPr>
                <w:p w14:paraId="03C27275">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0.7</w:t>
                  </w:r>
                </w:p>
              </w:tc>
              <w:tc>
                <w:tcPr>
                  <w:tcW w:w="918" w:type="pct"/>
                  <w:tcBorders>
                    <w:tl2br w:val="nil"/>
                    <w:tr2bl w:val="nil"/>
                  </w:tcBorders>
                  <w:shd w:val="clear" w:color="auto" w:fill="auto"/>
                  <w:vAlign w:val="center"/>
                </w:tcPr>
                <w:p w14:paraId="02999A34">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5582575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0.07</w:t>
                  </w:r>
                </w:p>
              </w:tc>
            </w:tr>
            <w:tr w14:paraId="1E1147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58B7EA02">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766" w:type="pct"/>
                  <w:vMerge w:val="continue"/>
                  <w:tcBorders>
                    <w:tl2br w:val="nil"/>
                    <w:tr2bl w:val="nil"/>
                  </w:tcBorders>
                  <w:shd w:val="clear" w:color="auto" w:fill="auto"/>
                  <w:vAlign w:val="center"/>
                </w:tcPr>
                <w:p w14:paraId="60856D7E">
                  <w:pPr>
                    <w:keepNext w:val="0"/>
                    <w:keepLines w:val="0"/>
                    <w:widowControl/>
                    <w:suppressLineNumbers w:val="0"/>
                    <w:spacing w:before="0" w:beforeAutospacing="0" w:after="0" w:afterAutospacing="0"/>
                    <w:ind w:left="0" w:right="0"/>
                    <w:jc w:val="center"/>
                    <w:textAlignment w:val="center"/>
                    <w:rPr>
                      <w:rFonts w:hint="eastAsia" w:cs="Times New Roman"/>
                      <w:b w:val="0"/>
                      <w:bCs w:val="0"/>
                      <w:i w:val="0"/>
                      <w:iCs w:val="0"/>
                      <w:color w:val="000000"/>
                      <w:kern w:val="0"/>
                      <w:sz w:val="21"/>
                      <w:szCs w:val="21"/>
                      <w:u w:val="none"/>
                      <w:lang w:val="en-US" w:eastAsia="zh-CN" w:bidi="ar"/>
                    </w:rPr>
                  </w:pPr>
                </w:p>
              </w:tc>
              <w:tc>
                <w:tcPr>
                  <w:tcW w:w="767" w:type="pct"/>
                  <w:tcBorders>
                    <w:tl2br w:val="nil"/>
                    <w:tr2bl w:val="nil"/>
                  </w:tcBorders>
                  <w:shd w:val="clear" w:color="auto" w:fill="auto"/>
                  <w:vAlign w:val="center"/>
                </w:tcPr>
                <w:p w14:paraId="418A601B">
                  <w:pPr>
                    <w:keepNext w:val="0"/>
                    <w:keepLines w:val="0"/>
                    <w:widowControl/>
                    <w:suppressLineNumbers w:val="0"/>
                    <w:spacing w:before="0" w:beforeAutospacing="0" w:after="0" w:afterAutospacing="0"/>
                    <w:ind w:left="0" w:right="0"/>
                    <w:jc w:val="center"/>
                    <w:textAlignment w:val="center"/>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丁酮35%</w:t>
                  </w:r>
                </w:p>
              </w:tc>
              <w:tc>
                <w:tcPr>
                  <w:tcW w:w="1043" w:type="pct"/>
                  <w:tcBorders>
                    <w:tl2br w:val="nil"/>
                    <w:tr2bl w:val="nil"/>
                  </w:tcBorders>
                  <w:shd w:val="clear" w:color="auto" w:fill="auto"/>
                  <w:vAlign w:val="center"/>
                </w:tcPr>
                <w:p w14:paraId="3EC272D7">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0.7</w:t>
                  </w:r>
                </w:p>
              </w:tc>
              <w:tc>
                <w:tcPr>
                  <w:tcW w:w="918" w:type="pct"/>
                  <w:tcBorders>
                    <w:tl2br w:val="nil"/>
                    <w:tr2bl w:val="nil"/>
                  </w:tcBorders>
                  <w:shd w:val="clear" w:color="auto" w:fill="auto"/>
                  <w:vAlign w:val="center"/>
                </w:tcPr>
                <w:p w14:paraId="7C7B07C0">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637360EA">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0.07</w:t>
                  </w:r>
                </w:p>
              </w:tc>
            </w:tr>
            <w:tr w14:paraId="57D4F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3762C83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533" w:type="pct"/>
                  <w:gridSpan w:val="2"/>
                  <w:tcBorders>
                    <w:tl2br w:val="nil"/>
                    <w:tr2bl w:val="nil"/>
                  </w:tcBorders>
                  <w:shd w:val="clear" w:color="auto" w:fill="auto"/>
                  <w:vAlign w:val="center"/>
                </w:tcPr>
                <w:p w14:paraId="7FB037A1">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聚氨酯固化剂</w:t>
                  </w:r>
                </w:p>
              </w:tc>
              <w:tc>
                <w:tcPr>
                  <w:tcW w:w="1043" w:type="pct"/>
                  <w:tcBorders>
                    <w:tl2br w:val="nil"/>
                    <w:tr2bl w:val="nil"/>
                  </w:tcBorders>
                  <w:shd w:val="clear" w:color="auto" w:fill="auto"/>
                  <w:vAlign w:val="center"/>
                </w:tcPr>
                <w:p w14:paraId="20C3BA4A">
                  <w:pPr>
                    <w:keepNext w:val="0"/>
                    <w:keepLines w:val="0"/>
                    <w:widowControl/>
                    <w:suppressLineNumbers w:val="0"/>
                    <w:spacing w:before="0" w:beforeAutospacing="0" w:after="0" w:afterAutospacing="0"/>
                    <w:ind w:left="0" w:leftChars="0" w:right="0" w:rightChars="0"/>
                    <w:jc w:val="center"/>
                    <w:textAlignment w:val="top"/>
                    <w:rPr>
                      <w:rFonts w:hint="eastAsia"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0.</w:t>
                  </w:r>
                  <w:r>
                    <w:rPr>
                      <w:rFonts w:hint="eastAsia" w:cs="Times New Roman"/>
                      <w:b w:val="0"/>
                      <w:bCs w:val="0"/>
                      <w:i w:val="0"/>
                      <w:iCs w:val="0"/>
                      <w:color w:val="000000"/>
                      <w:kern w:val="0"/>
                      <w:sz w:val="21"/>
                      <w:szCs w:val="21"/>
                      <w:u w:val="none"/>
                      <w:lang w:val="en-US" w:eastAsia="zh-CN" w:bidi="ar"/>
                    </w:rPr>
                    <w:t>4</w:t>
                  </w:r>
                </w:p>
              </w:tc>
              <w:tc>
                <w:tcPr>
                  <w:tcW w:w="918" w:type="pct"/>
                  <w:tcBorders>
                    <w:tl2br w:val="nil"/>
                    <w:tr2bl w:val="nil"/>
                  </w:tcBorders>
                  <w:shd w:val="clear" w:color="auto" w:fill="auto"/>
                  <w:vAlign w:val="center"/>
                </w:tcPr>
                <w:p w14:paraId="50739630">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c>
                <w:tcPr>
                  <w:tcW w:w="698" w:type="pct"/>
                  <w:tcBorders>
                    <w:tl2br w:val="nil"/>
                    <w:tr2bl w:val="nil"/>
                  </w:tcBorders>
                  <w:shd w:val="clear" w:color="auto" w:fill="auto"/>
                  <w:vAlign w:val="center"/>
                </w:tcPr>
                <w:p w14:paraId="1BD2BFCC">
                  <w:pPr>
                    <w:keepNext w:val="0"/>
                    <w:keepLines w:val="0"/>
                    <w:widowControl/>
                    <w:suppressLineNumbers w:val="0"/>
                    <w:spacing w:before="0" w:beforeAutospacing="0" w:after="0" w:afterAutospacing="0"/>
                    <w:ind w:left="0" w:leftChars="0" w:right="0" w:rightChars="0"/>
                    <w:jc w:val="center"/>
                    <w:textAlignment w:val="top"/>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eastAsia" w:cs="Times New Roman"/>
                      <w:b w:val="0"/>
                      <w:bCs w:val="0"/>
                      <w:i w:val="0"/>
                      <w:iCs w:val="0"/>
                      <w:color w:val="000000"/>
                      <w:kern w:val="2"/>
                      <w:sz w:val="21"/>
                      <w:szCs w:val="21"/>
                      <w:u w:val="none"/>
                      <w:lang w:val="en-US" w:eastAsia="zh-CN" w:bidi="ar-SA"/>
                    </w:rPr>
                    <w:t>/</w:t>
                  </w:r>
                </w:p>
              </w:tc>
            </w:tr>
            <w:tr w14:paraId="2BA4D8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vMerge w:val="continue"/>
                  <w:tcBorders>
                    <w:tl2br w:val="nil"/>
                    <w:tr2bl w:val="nil"/>
                  </w:tcBorders>
                  <w:shd w:val="clear" w:color="auto" w:fill="auto"/>
                  <w:vAlign w:val="center"/>
                </w:tcPr>
                <w:p w14:paraId="4B9EB083">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bCs w:val="0"/>
                      <w:i w:val="0"/>
                      <w:iCs w:val="0"/>
                      <w:color w:val="000000"/>
                      <w:sz w:val="21"/>
                      <w:szCs w:val="21"/>
                      <w:u w:val="none"/>
                    </w:rPr>
                  </w:pPr>
                </w:p>
              </w:tc>
              <w:tc>
                <w:tcPr>
                  <w:tcW w:w="1299" w:type="dxa"/>
                  <w:tcBorders>
                    <w:tl2br w:val="nil"/>
                    <w:tr2bl w:val="nil"/>
                  </w:tcBorders>
                  <w:shd w:val="clear" w:color="auto" w:fill="auto"/>
                  <w:vAlign w:val="center"/>
                </w:tcPr>
                <w:p w14:paraId="371F6065">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其中</w:t>
                  </w:r>
                </w:p>
              </w:tc>
              <w:tc>
                <w:tcPr>
                  <w:tcW w:w="1301" w:type="dxa"/>
                  <w:tcBorders>
                    <w:tl2br w:val="nil"/>
                    <w:tr2bl w:val="nil"/>
                  </w:tcBorders>
                  <w:shd w:val="clear" w:color="auto" w:fill="auto"/>
                  <w:vAlign w:val="center"/>
                </w:tcPr>
                <w:p w14:paraId="2302DADA">
                  <w:pPr>
                    <w:keepNext w:val="0"/>
                    <w:keepLines w:val="0"/>
                    <w:widowControl/>
                    <w:suppressLineNumbers w:val="0"/>
                    <w:spacing w:before="0" w:beforeAutospacing="0" w:after="0" w:afterAutospacing="0"/>
                    <w:ind w:left="0" w:leftChars="0" w:right="0" w:right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乙酸乙酯30%</w:t>
                  </w:r>
                </w:p>
              </w:tc>
              <w:tc>
                <w:tcPr>
                  <w:tcW w:w="1043" w:type="pct"/>
                  <w:tcBorders>
                    <w:tl2br w:val="nil"/>
                    <w:tr2bl w:val="nil"/>
                  </w:tcBorders>
                  <w:shd w:val="clear" w:color="auto" w:fill="auto"/>
                  <w:vAlign w:val="center"/>
                </w:tcPr>
                <w:p w14:paraId="0134AE1E">
                  <w:pPr>
                    <w:keepNext w:val="0"/>
                    <w:keepLines w:val="0"/>
                    <w:widowControl/>
                    <w:suppressLineNumbers w:val="0"/>
                    <w:spacing w:before="0" w:beforeAutospacing="0" w:after="0" w:afterAutospacing="0"/>
                    <w:ind w:left="0" w:right="0"/>
                    <w:jc w:val="center"/>
                    <w:textAlignment w:val="top"/>
                    <w:rPr>
                      <w:rFonts w:hint="default"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0.12</w:t>
                  </w:r>
                </w:p>
              </w:tc>
              <w:tc>
                <w:tcPr>
                  <w:tcW w:w="918" w:type="pct"/>
                  <w:tcBorders>
                    <w:tl2br w:val="nil"/>
                    <w:tr2bl w:val="nil"/>
                  </w:tcBorders>
                  <w:shd w:val="clear" w:color="auto" w:fill="auto"/>
                  <w:vAlign w:val="center"/>
                </w:tcPr>
                <w:p w14:paraId="638948C6">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10</w:t>
                  </w:r>
                </w:p>
              </w:tc>
              <w:tc>
                <w:tcPr>
                  <w:tcW w:w="698" w:type="pct"/>
                  <w:tcBorders>
                    <w:tl2br w:val="nil"/>
                    <w:tr2bl w:val="nil"/>
                  </w:tcBorders>
                  <w:shd w:val="clear" w:color="auto" w:fill="auto"/>
                  <w:vAlign w:val="center"/>
                </w:tcPr>
                <w:p w14:paraId="4902215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kern w:val="0"/>
                      <w:sz w:val="21"/>
                      <w:szCs w:val="21"/>
                      <w:u w:val="none"/>
                      <w:lang w:val="en-US" w:eastAsia="zh-CN" w:bidi="ar"/>
                    </w:rPr>
                  </w:pPr>
                  <w:r>
                    <w:rPr>
                      <w:rFonts w:hint="eastAsia" w:cs="Times New Roman"/>
                      <w:b w:val="0"/>
                      <w:bCs w:val="0"/>
                      <w:i w:val="0"/>
                      <w:iCs w:val="0"/>
                      <w:color w:val="000000"/>
                      <w:kern w:val="0"/>
                      <w:sz w:val="21"/>
                      <w:szCs w:val="21"/>
                      <w:u w:val="none"/>
                      <w:lang w:val="en-US" w:eastAsia="zh-CN" w:bidi="ar"/>
                    </w:rPr>
                    <w:t>0.012</w:t>
                  </w:r>
                </w:p>
              </w:tc>
            </w:tr>
            <w:tr w14:paraId="7CC4FA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tcBorders>
                    <w:tl2br w:val="nil"/>
                    <w:tr2bl w:val="nil"/>
                  </w:tcBorders>
                  <w:shd w:val="clear" w:color="auto" w:fill="auto"/>
                  <w:vAlign w:val="center"/>
                </w:tcPr>
                <w:p w14:paraId="13E45A0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原料仓库</w:t>
                  </w:r>
                </w:p>
              </w:tc>
              <w:tc>
                <w:tcPr>
                  <w:tcW w:w="1533" w:type="pct"/>
                  <w:gridSpan w:val="2"/>
                  <w:tcBorders>
                    <w:tl2br w:val="nil"/>
                    <w:tr2bl w:val="nil"/>
                  </w:tcBorders>
                  <w:shd w:val="clear" w:color="auto" w:fill="auto"/>
                  <w:vAlign w:val="center"/>
                </w:tcPr>
                <w:p w14:paraId="55F37F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润滑油</w:t>
                  </w:r>
                </w:p>
              </w:tc>
              <w:tc>
                <w:tcPr>
                  <w:tcW w:w="1043" w:type="pct"/>
                  <w:tcBorders>
                    <w:tl2br w:val="nil"/>
                    <w:tr2bl w:val="nil"/>
                  </w:tcBorders>
                  <w:shd w:val="clear" w:color="auto" w:fill="auto"/>
                  <w:vAlign w:val="center"/>
                </w:tcPr>
                <w:p w14:paraId="157D1457">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rPr>
                  </w:pPr>
                  <w:r>
                    <w:rPr>
                      <w:rFonts w:hint="eastAsia" w:cs="Times New Roman"/>
                      <w:b w:val="0"/>
                      <w:bCs w:val="0"/>
                      <w:i w:val="0"/>
                      <w:iCs w:val="0"/>
                      <w:color w:val="000000"/>
                      <w:kern w:val="0"/>
                      <w:sz w:val="21"/>
                      <w:szCs w:val="21"/>
                      <w:u w:val="none"/>
                      <w:lang w:val="en-US" w:eastAsia="zh-CN" w:bidi="ar"/>
                    </w:rPr>
                    <w:t>0.5</w:t>
                  </w:r>
                </w:p>
              </w:tc>
              <w:tc>
                <w:tcPr>
                  <w:tcW w:w="918" w:type="pct"/>
                  <w:tcBorders>
                    <w:tl2br w:val="nil"/>
                    <w:tr2bl w:val="nil"/>
                  </w:tcBorders>
                  <w:shd w:val="clear" w:color="auto" w:fill="auto"/>
                  <w:vAlign w:val="center"/>
                </w:tcPr>
                <w:p w14:paraId="0CA3DE84">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2500</w:t>
                  </w:r>
                </w:p>
              </w:tc>
              <w:tc>
                <w:tcPr>
                  <w:tcW w:w="698" w:type="pct"/>
                  <w:tcBorders>
                    <w:tl2br w:val="nil"/>
                    <w:tr2bl w:val="nil"/>
                  </w:tcBorders>
                  <w:shd w:val="clear" w:color="auto" w:fill="auto"/>
                  <w:vAlign w:val="center"/>
                </w:tcPr>
                <w:p w14:paraId="37103C27">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0.000</w:t>
                  </w:r>
                  <w:r>
                    <w:rPr>
                      <w:rFonts w:hint="eastAsia" w:cs="Times New Roman"/>
                      <w:b w:val="0"/>
                      <w:bCs w:val="0"/>
                      <w:i w:val="0"/>
                      <w:iCs w:val="0"/>
                      <w:color w:val="000000"/>
                      <w:kern w:val="0"/>
                      <w:sz w:val="21"/>
                      <w:szCs w:val="21"/>
                      <w:u w:val="none"/>
                      <w:lang w:val="en-US" w:eastAsia="zh-CN" w:bidi="ar"/>
                    </w:rPr>
                    <w:t>2</w:t>
                  </w:r>
                </w:p>
              </w:tc>
            </w:tr>
            <w:tr w14:paraId="0E7156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806" w:type="pct"/>
                  <w:tcBorders>
                    <w:tl2br w:val="nil"/>
                    <w:tr2bl w:val="nil"/>
                  </w:tcBorders>
                  <w:shd w:val="clear" w:color="auto" w:fill="auto"/>
                  <w:vAlign w:val="center"/>
                </w:tcPr>
                <w:p w14:paraId="1D80DC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危废间</w:t>
                  </w:r>
                </w:p>
              </w:tc>
              <w:tc>
                <w:tcPr>
                  <w:tcW w:w="1533" w:type="pct"/>
                  <w:gridSpan w:val="2"/>
                  <w:tcBorders>
                    <w:tl2br w:val="nil"/>
                    <w:tr2bl w:val="nil"/>
                  </w:tcBorders>
                  <w:shd w:val="clear" w:color="auto" w:fill="auto"/>
                  <w:vAlign w:val="center"/>
                </w:tcPr>
                <w:p w14:paraId="0D8418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危险废物</w:t>
                  </w:r>
                </w:p>
              </w:tc>
              <w:tc>
                <w:tcPr>
                  <w:tcW w:w="1043" w:type="pct"/>
                  <w:tcBorders>
                    <w:tl2br w:val="nil"/>
                    <w:tr2bl w:val="nil"/>
                  </w:tcBorders>
                  <w:shd w:val="clear" w:color="auto" w:fill="auto"/>
                  <w:vAlign w:val="center"/>
                </w:tcPr>
                <w:p w14:paraId="1B90B5E1">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7.0</w:t>
                  </w:r>
                </w:p>
              </w:tc>
              <w:tc>
                <w:tcPr>
                  <w:tcW w:w="918" w:type="pct"/>
                  <w:tcBorders>
                    <w:tl2br w:val="nil"/>
                    <w:tr2bl w:val="nil"/>
                  </w:tcBorders>
                  <w:shd w:val="clear" w:color="auto" w:fill="auto"/>
                  <w:vAlign w:val="center"/>
                </w:tcPr>
                <w:p w14:paraId="4B60C61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50</w:t>
                  </w:r>
                </w:p>
              </w:tc>
              <w:tc>
                <w:tcPr>
                  <w:tcW w:w="698" w:type="pct"/>
                  <w:tcBorders>
                    <w:tl2br w:val="nil"/>
                    <w:tr2bl w:val="nil"/>
                  </w:tcBorders>
                  <w:shd w:val="clear" w:color="auto" w:fill="auto"/>
                  <w:vAlign w:val="center"/>
                </w:tcPr>
                <w:p w14:paraId="38632529">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0.14</w:t>
                  </w:r>
                </w:p>
              </w:tc>
            </w:tr>
            <w:tr w14:paraId="4306B3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454" w:hRule="atLeast"/>
                <w:jc w:val="center"/>
              </w:trPr>
              <w:tc>
                <w:tcPr>
                  <w:tcW w:w="4301" w:type="pct"/>
                  <w:gridSpan w:val="5"/>
                  <w:tcBorders>
                    <w:tl2br w:val="nil"/>
                    <w:tr2bl w:val="nil"/>
                  </w:tcBorders>
                  <w:shd w:val="clear" w:color="auto" w:fill="auto"/>
                  <w:vAlign w:val="center"/>
                </w:tcPr>
                <w:p w14:paraId="120CC9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合计</w:t>
                  </w:r>
                </w:p>
              </w:tc>
              <w:tc>
                <w:tcPr>
                  <w:tcW w:w="698" w:type="pct"/>
                  <w:tcBorders>
                    <w:tl2br w:val="nil"/>
                    <w:tr2bl w:val="nil"/>
                  </w:tcBorders>
                  <w:shd w:val="clear" w:color="auto" w:fill="auto"/>
                  <w:vAlign w:val="center"/>
                </w:tcPr>
                <w:p w14:paraId="46CA661D">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宋体" w:cs="Times New Roman"/>
                      <w:b w:val="0"/>
                      <w:bCs w:val="0"/>
                      <w:i w:val="0"/>
                      <w:iCs w:val="0"/>
                      <w:color w:val="000000"/>
                      <w:sz w:val="21"/>
                      <w:szCs w:val="21"/>
                      <w:u w:val="none"/>
                      <w:lang w:val="en-US" w:eastAsia="zh-CN"/>
                    </w:rPr>
                  </w:pPr>
                  <w:r>
                    <w:rPr>
                      <w:rFonts w:hint="eastAsia" w:cs="Times New Roman"/>
                      <w:b w:val="0"/>
                      <w:bCs w:val="0"/>
                      <w:i w:val="0"/>
                      <w:iCs w:val="0"/>
                      <w:color w:val="000000"/>
                      <w:sz w:val="21"/>
                      <w:szCs w:val="21"/>
                      <w:u w:val="none"/>
                      <w:lang w:val="en-US" w:eastAsia="zh-CN"/>
                    </w:rPr>
                    <w:t>0.6942</w:t>
                  </w:r>
                </w:p>
              </w:tc>
            </w:tr>
            <w:tr w14:paraId="3C70C5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6"/>
                  <w:tcBorders>
                    <w:tl2br w:val="nil"/>
                    <w:tr2bl w:val="nil"/>
                  </w:tcBorders>
                  <w:shd w:val="clear" w:color="auto" w:fill="auto"/>
                  <w:vAlign w:val="center"/>
                </w:tcPr>
                <w:p w14:paraId="2951E29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备注：①凹版油墨、聚氨酯胶粘剂、聚氨酯固化剂、无溶剂聚氨酯胶粘剂、铝箔油墨、OP</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保护剂、VC胶粘剂、75%医用酒精为混合物，在《建设项目环境风险评价技术导则》(HJ169-2018)附录B中均无临界量，也不属于GB30000.18类别1-类别3和GB30000.28</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急性毒性类别1,无临界量。</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 xml:space="preserve">     ②乙酸正丙酯、乙酸丁酯、乙酸</w:t>
                  </w:r>
                  <w:r>
                    <w:rPr>
                      <w:rFonts w:hint="eastAsia" w:cs="Times New Roman"/>
                      <w:b w:val="0"/>
                      <w:bCs w:val="0"/>
                      <w:i w:val="0"/>
                      <w:iCs w:val="0"/>
                      <w:color w:val="000000"/>
                      <w:kern w:val="0"/>
                      <w:sz w:val="21"/>
                      <w:szCs w:val="21"/>
                      <w:u w:val="none"/>
                      <w:lang w:val="en-US" w:eastAsia="zh-CN" w:bidi="ar"/>
                    </w:rPr>
                    <w:t>丙</w:t>
                  </w:r>
                  <w:r>
                    <w:rPr>
                      <w:rFonts w:hint="default" w:ascii="Times New Roman" w:hAnsi="Times New Roman" w:eastAsia="宋体" w:cs="Times New Roman"/>
                      <w:b w:val="0"/>
                      <w:bCs w:val="0"/>
                      <w:i w:val="0"/>
                      <w:iCs w:val="0"/>
                      <w:color w:val="000000"/>
                      <w:kern w:val="0"/>
                      <w:sz w:val="21"/>
                      <w:szCs w:val="21"/>
                      <w:u w:val="none"/>
                      <w:lang w:val="en-US" w:eastAsia="zh-CN" w:bidi="ar"/>
                    </w:rPr>
                    <w:t>酯</w:t>
                  </w:r>
                  <w:r>
                    <w:rPr>
                      <w:rFonts w:hint="eastAsia" w:cs="Times New Roman"/>
                      <w:b w:val="0"/>
                      <w:bCs w:val="0"/>
                      <w:i w:val="0"/>
                      <w:iCs w:val="0"/>
                      <w:color w:val="000000"/>
                      <w:kern w:val="0"/>
                      <w:sz w:val="21"/>
                      <w:szCs w:val="21"/>
                      <w:u w:val="none"/>
                      <w:lang w:val="en-US" w:eastAsia="zh-CN" w:bidi="ar"/>
                    </w:rPr>
                    <w:t>、乙醇等</w:t>
                  </w:r>
                  <w:r>
                    <w:rPr>
                      <w:rFonts w:hint="default" w:ascii="Times New Roman" w:hAnsi="Times New Roman" w:eastAsia="宋体" w:cs="Times New Roman"/>
                      <w:b w:val="0"/>
                      <w:bCs w:val="0"/>
                      <w:i w:val="0"/>
                      <w:iCs w:val="0"/>
                      <w:color w:val="000000"/>
                      <w:kern w:val="0"/>
                      <w:sz w:val="21"/>
                      <w:szCs w:val="21"/>
                      <w:u w:val="none"/>
                      <w:lang w:val="en-US" w:eastAsia="zh-CN" w:bidi="ar"/>
                    </w:rPr>
                    <w:t>在《建设项目环境风险评价技术导则》(HJ169-2018)附录B中均无临界量，也不属于GB30000.18类别1-类别3和GB30000.28急性毒性类别1,无临界量。</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 xml:space="preserve">     ③根据前述分析，废</w:t>
                  </w:r>
                  <w:r>
                    <w:rPr>
                      <w:rFonts w:hint="eastAsia" w:cs="Times New Roman"/>
                      <w:b w:val="0"/>
                      <w:bCs w:val="0"/>
                      <w:i w:val="0"/>
                      <w:iCs w:val="0"/>
                      <w:color w:val="000000"/>
                      <w:kern w:val="0"/>
                      <w:sz w:val="21"/>
                      <w:szCs w:val="21"/>
                      <w:u w:val="none"/>
                      <w:lang w:val="en-US" w:eastAsia="zh-CN" w:bidi="ar"/>
                    </w:rPr>
                    <w:t>沸石转轮</w:t>
                  </w:r>
                  <w:r>
                    <w:rPr>
                      <w:rFonts w:hint="default" w:ascii="Times New Roman" w:hAnsi="Times New Roman" w:eastAsia="宋体" w:cs="Times New Roman"/>
                      <w:b w:val="0"/>
                      <w:bCs w:val="0"/>
                      <w:i w:val="0"/>
                      <w:iCs w:val="0"/>
                      <w:color w:val="000000"/>
                      <w:kern w:val="0"/>
                      <w:sz w:val="21"/>
                      <w:szCs w:val="21"/>
                      <w:u w:val="none"/>
                      <w:lang w:val="en-US" w:eastAsia="zh-CN" w:bidi="ar"/>
                    </w:rPr>
                    <w:t>单次最大更换量</w:t>
                  </w:r>
                  <w:r>
                    <w:rPr>
                      <w:rFonts w:hint="default" w:ascii="Times New Roman" w:hAnsi="Times New Roman" w:eastAsia="宋体" w:cs="Times New Roman"/>
                      <w:b w:val="0"/>
                      <w:bCs w:val="0"/>
                      <w:i w:val="0"/>
                      <w:iCs w:val="0"/>
                      <w:color w:val="auto"/>
                      <w:kern w:val="0"/>
                      <w:sz w:val="21"/>
                      <w:szCs w:val="21"/>
                      <w:u w:val="none"/>
                      <w:lang w:val="en-US" w:eastAsia="zh-CN" w:bidi="ar"/>
                    </w:rPr>
                    <w:t>为</w:t>
                  </w:r>
                  <w:r>
                    <w:rPr>
                      <w:rFonts w:hint="eastAsia" w:cs="Times New Roman"/>
                      <w:b w:val="0"/>
                      <w:bCs w:val="0"/>
                      <w:i w:val="0"/>
                      <w:iCs w:val="0"/>
                      <w:color w:val="auto"/>
                      <w:kern w:val="0"/>
                      <w:sz w:val="21"/>
                      <w:szCs w:val="21"/>
                      <w:u w:val="none"/>
                      <w:lang w:val="en-US" w:eastAsia="zh-CN" w:bidi="ar"/>
                    </w:rPr>
                    <w:t>6.4</w:t>
                  </w:r>
                  <w:r>
                    <w:rPr>
                      <w:rFonts w:hint="default" w:ascii="Times New Roman" w:hAnsi="Times New Roman" w:eastAsia="宋体" w:cs="Times New Roman"/>
                      <w:b w:val="0"/>
                      <w:bCs w:val="0"/>
                      <w:i w:val="0"/>
                      <w:iCs w:val="0"/>
                      <w:color w:val="auto"/>
                      <w:kern w:val="0"/>
                      <w:sz w:val="21"/>
                      <w:szCs w:val="21"/>
                      <w:u w:val="none"/>
                      <w:lang w:val="en-US" w:eastAsia="zh-CN" w:bidi="ar"/>
                    </w:rPr>
                    <w:t>t,其余危险废物根据企业危废转移规律，</w:t>
                  </w:r>
                  <w:r>
                    <w:rPr>
                      <w:rFonts w:hint="eastAsia" w:cs="Times New Roman"/>
                      <w:b w:val="0"/>
                      <w:bCs w:val="0"/>
                      <w:i w:val="0"/>
                      <w:iCs w:val="0"/>
                      <w:color w:val="auto"/>
                      <w:kern w:val="0"/>
                      <w:sz w:val="21"/>
                      <w:szCs w:val="21"/>
                      <w:u w:val="none"/>
                      <w:lang w:val="en-US" w:eastAsia="zh-CN" w:bidi="ar"/>
                    </w:rPr>
                    <w:t>0.6</w:t>
                  </w:r>
                  <w:r>
                    <w:rPr>
                      <w:rFonts w:hint="default" w:ascii="Times New Roman" w:hAnsi="Times New Roman" w:eastAsia="宋体" w:cs="Times New Roman"/>
                      <w:b w:val="0"/>
                      <w:bCs w:val="0"/>
                      <w:i w:val="0"/>
                      <w:iCs w:val="0"/>
                      <w:color w:val="auto"/>
                      <w:kern w:val="0"/>
                      <w:sz w:val="21"/>
                      <w:szCs w:val="21"/>
                      <w:u w:val="none"/>
                      <w:lang w:val="en-US" w:eastAsia="zh-CN" w:bidi="ar"/>
                    </w:rPr>
                    <w:t>t以内会转移一次，共计最大储存量按</w:t>
                  </w:r>
                  <w:r>
                    <w:rPr>
                      <w:rFonts w:hint="eastAsia" w:cs="Times New Roman"/>
                      <w:b w:val="0"/>
                      <w:bCs w:val="0"/>
                      <w:i w:val="0"/>
                      <w:iCs w:val="0"/>
                      <w:color w:val="auto"/>
                      <w:kern w:val="0"/>
                      <w:sz w:val="21"/>
                      <w:szCs w:val="21"/>
                      <w:u w:val="none"/>
                      <w:lang w:val="en-US" w:eastAsia="zh-CN" w:bidi="ar"/>
                    </w:rPr>
                    <w:t>7.0</w:t>
                  </w:r>
                  <w:r>
                    <w:rPr>
                      <w:rFonts w:hint="default" w:ascii="Times New Roman" w:hAnsi="Times New Roman" w:eastAsia="宋体" w:cs="Times New Roman"/>
                      <w:b w:val="0"/>
                      <w:bCs w:val="0"/>
                      <w:i w:val="0"/>
                      <w:iCs w:val="0"/>
                      <w:color w:val="auto"/>
                      <w:kern w:val="0"/>
                      <w:sz w:val="21"/>
                      <w:szCs w:val="21"/>
                      <w:u w:val="none"/>
                      <w:lang w:val="en-US" w:eastAsia="zh-CN" w:bidi="ar"/>
                    </w:rPr>
                    <w:t>t计；危</w:t>
                  </w:r>
                  <w:r>
                    <w:rPr>
                      <w:rFonts w:hint="default" w:ascii="Times New Roman" w:hAnsi="Times New Roman" w:eastAsia="宋体" w:cs="Times New Roman"/>
                      <w:b w:val="0"/>
                      <w:bCs w:val="0"/>
                      <w:i w:val="0"/>
                      <w:iCs w:val="0"/>
                      <w:color w:val="000000"/>
                      <w:kern w:val="0"/>
                      <w:sz w:val="21"/>
                      <w:szCs w:val="21"/>
                      <w:u w:val="none"/>
                      <w:lang w:val="en-US" w:eastAsia="zh-CN" w:bidi="ar"/>
                    </w:rPr>
                    <w:t>险废物种类较多，主要为废</w:t>
                  </w:r>
                  <w:r>
                    <w:rPr>
                      <w:rFonts w:hint="eastAsia" w:cs="Times New Roman"/>
                      <w:b w:val="0"/>
                      <w:bCs w:val="0"/>
                      <w:i w:val="0"/>
                      <w:iCs w:val="0"/>
                      <w:color w:val="000000"/>
                      <w:kern w:val="0"/>
                      <w:sz w:val="21"/>
                      <w:szCs w:val="21"/>
                      <w:u w:val="none"/>
                      <w:lang w:val="en-US" w:eastAsia="zh-CN" w:bidi="ar"/>
                    </w:rPr>
                    <w:t>沸石转轮</w:t>
                  </w:r>
                  <w:r>
                    <w:rPr>
                      <w:rFonts w:hint="default" w:ascii="Times New Roman" w:hAnsi="Times New Roman" w:eastAsia="宋体" w:cs="Times New Roman"/>
                      <w:b w:val="0"/>
                      <w:bCs w:val="0"/>
                      <w:i w:val="0"/>
                      <w:iCs w:val="0"/>
                      <w:color w:val="000000"/>
                      <w:kern w:val="0"/>
                      <w:sz w:val="21"/>
                      <w:szCs w:val="21"/>
                      <w:u w:val="none"/>
                      <w:lang w:val="en-US" w:eastAsia="zh-CN" w:bidi="ar"/>
                    </w:rPr>
                    <w:t>，参考GB30000.18急性毒性类别2、类别3确定其推荐临界值，为50t。</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 xml:space="preserve">     ④凹版油墨、聚氨酯胶粘剂、聚氨酯固化剂、铝箔油墨、OP保护剂中含</w:t>
                  </w:r>
                  <w:r>
                    <w:rPr>
                      <w:rFonts w:hint="eastAsia" w:cs="Times New Roman"/>
                      <w:b w:val="0"/>
                      <w:bCs w:val="0"/>
                      <w:i w:val="0"/>
                      <w:iCs w:val="0"/>
                      <w:color w:val="000000"/>
                      <w:kern w:val="0"/>
                      <w:sz w:val="21"/>
                      <w:szCs w:val="21"/>
                      <w:u w:val="none"/>
                      <w:lang w:val="en-US" w:eastAsia="zh-CN" w:bidi="ar"/>
                    </w:rPr>
                    <w:t>丁酮</w:t>
                  </w:r>
                  <w:r>
                    <w:rPr>
                      <w:rFonts w:hint="default" w:ascii="Times New Roman" w:hAnsi="Times New Roman" w:eastAsia="宋体" w:cs="Times New Roman"/>
                      <w:b w:val="0"/>
                      <w:bCs w:val="0"/>
                      <w:i w:val="0"/>
                      <w:iCs w:val="0"/>
                      <w:color w:val="000000"/>
                      <w:kern w:val="0"/>
                      <w:sz w:val="21"/>
                      <w:szCs w:val="21"/>
                      <w:u w:val="none"/>
                      <w:lang w:val="en-US" w:eastAsia="zh-CN" w:bidi="ar"/>
                    </w:rPr>
                    <w:t>、乙</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酸乙酯等风险物质，同时按照其在物料中最大含量计算。</w:t>
                  </w:r>
                </w:p>
              </w:tc>
            </w:tr>
          </w:tbl>
          <w:p w14:paraId="41417DEA">
            <w:pPr>
              <w:pStyle w:val="108"/>
              <w:keepNext w:val="0"/>
              <w:keepLines w:val="0"/>
              <w:suppressLineNumbers w:val="0"/>
              <w:spacing w:before="0" w:beforeAutospacing="0" w:after="0" w:afterAutospacing="0" w:line="360" w:lineRule="auto"/>
              <w:ind w:left="0" w:right="0" w:firstLine="480" w:firstLineChars="200"/>
              <w:rPr>
                <w:rFonts w:hint="default"/>
                <w:color w:val="auto"/>
                <w:sz w:val="24"/>
                <w:szCs w:val="24"/>
                <w:u w:val="none"/>
              </w:rPr>
            </w:pPr>
            <w:r>
              <w:rPr>
                <w:rFonts w:hint="default"/>
                <w:color w:val="auto"/>
                <w:sz w:val="24"/>
                <w:szCs w:val="24"/>
                <w:u w:val="none"/>
              </w:rPr>
              <w:t>由上表分析可知：项目完成后全厂危险物质数量与临界量比值Q=</w:t>
            </w:r>
            <w:r>
              <w:rPr>
                <w:rFonts w:hint="eastAsia"/>
                <w:color w:val="auto"/>
                <w:sz w:val="24"/>
                <w:szCs w:val="24"/>
                <w:u w:val="none"/>
              </w:rPr>
              <w:t>0.</w:t>
            </w:r>
            <w:r>
              <w:rPr>
                <w:rFonts w:hint="eastAsia"/>
                <w:color w:val="auto"/>
                <w:sz w:val="24"/>
                <w:szCs w:val="24"/>
                <w:u w:val="none"/>
                <w:lang w:val="en-US" w:eastAsia="zh-CN"/>
              </w:rPr>
              <w:t>6942</w:t>
            </w:r>
            <w:r>
              <w:rPr>
                <w:rFonts w:hint="default"/>
                <w:color w:val="auto"/>
                <w:sz w:val="24"/>
                <w:szCs w:val="24"/>
                <w:u w:val="none"/>
              </w:rPr>
              <w:t>&lt;1。根据《建设项目环境风险评价技术导则》（HJ169-2018）可知：当Q＜1时，该项目环境风险潜势为I，开展简单分析即可。</w:t>
            </w:r>
          </w:p>
          <w:p w14:paraId="2D1A1431">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kern w:val="2"/>
                <w:sz w:val="24"/>
                <w:szCs w:val="24"/>
                <w:u w:val="none"/>
                <w:lang w:val="en-US" w:eastAsia="zh-CN" w:bidi="ar-SA"/>
              </w:rPr>
            </w:pPr>
            <w:r>
              <w:rPr>
                <w:rFonts w:hint="eastAsia" w:ascii="Times New Roman" w:hAnsi="Times New Roman" w:eastAsia="宋体" w:cs="Times New Roman"/>
                <w:b/>
                <w:bCs/>
                <w:color w:val="000000"/>
                <w:kern w:val="2"/>
                <w:sz w:val="24"/>
                <w:szCs w:val="24"/>
                <w:u w:val="none"/>
                <w:lang w:val="en-US" w:eastAsia="zh-CN" w:bidi="ar-SA"/>
              </w:rPr>
              <w:t>6.2、评价等级</w:t>
            </w:r>
          </w:p>
          <w:p w14:paraId="35E5F45F">
            <w:pPr>
              <w:pStyle w:val="42"/>
              <w:keepNext w:val="0"/>
              <w:keepLines w:val="0"/>
              <w:suppressLineNumbers w:val="0"/>
              <w:spacing w:beforeAutospacing="0" w:after="0" w:afterAutospacing="0" w:line="360" w:lineRule="auto"/>
              <w:ind w:left="0" w:firstLine="480" w:firstLineChars="200"/>
              <w:rPr>
                <w:rFonts w:hint="default" w:hAnsi="Times New Roman" w:cs="Times New Roman"/>
                <w:sz w:val="24"/>
                <w:szCs w:val="24"/>
                <w:u w:val="none"/>
              </w:rPr>
            </w:pPr>
            <w:r>
              <w:rPr>
                <w:rFonts w:hint="eastAsia" w:hAnsi="Times New Roman" w:cs="Times New Roman"/>
                <w:sz w:val="24"/>
                <w:szCs w:val="24"/>
                <w:u w:val="none"/>
              </w:rPr>
              <w:t>根据《建设项目环境风险评价技术导则》（H</w:t>
            </w:r>
            <w:r>
              <w:rPr>
                <w:rFonts w:hint="default" w:hAnsi="Times New Roman" w:cs="Times New Roman"/>
                <w:sz w:val="24"/>
                <w:szCs w:val="24"/>
                <w:u w:val="none"/>
              </w:rPr>
              <w:t>J169-2018</w:t>
            </w:r>
            <w:r>
              <w:rPr>
                <w:rFonts w:hint="eastAsia" w:hAnsi="Times New Roman" w:cs="Times New Roman"/>
                <w:sz w:val="24"/>
                <w:szCs w:val="24"/>
                <w:u w:val="none"/>
              </w:rPr>
              <w:t>）评价工作等级划分表可知，本项目潜势为</w:t>
            </w:r>
            <w:r>
              <w:rPr>
                <w:rFonts w:hint="default" w:hAnsi="Times New Roman" w:cs="Times New Roman"/>
                <w:sz w:val="24"/>
                <w:szCs w:val="24"/>
                <w:u w:val="none"/>
              </w:rPr>
              <w:t>Ⅰ</w:t>
            </w:r>
            <w:r>
              <w:rPr>
                <w:rFonts w:hint="eastAsia" w:hAnsi="Times New Roman" w:cs="Times New Roman"/>
                <w:sz w:val="24"/>
                <w:szCs w:val="24"/>
                <w:u w:val="none"/>
              </w:rPr>
              <w:t>时环境风险仅进行简单分析即可。</w:t>
            </w:r>
          </w:p>
          <w:p w14:paraId="3AE6F4FE">
            <w:pPr>
              <w:pStyle w:val="42"/>
              <w:keepNext w:val="0"/>
              <w:keepLines w:val="0"/>
              <w:suppressLineNumbers w:val="0"/>
              <w:spacing w:beforeAutospacing="0" w:after="0" w:afterAutospacing="0" w:line="360" w:lineRule="auto"/>
              <w:ind w:left="0" w:firstLine="422" w:firstLineChars="200"/>
              <w:jc w:val="center"/>
              <w:rPr>
                <w:rFonts w:hint="default" w:hAnsi="Times New Roman" w:cs="Times New Roman"/>
                <w:b/>
                <w:sz w:val="21"/>
                <w:u w:val="none"/>
              </w:rPr>
            </w:pPr>
            <w:r>
              <w:rPr>
                <w:rFonts w:hint="eastAsia" w:hAnsi="Times New Roman" w:cs="Times New Roman"/>
                <w:b/>
                <w:sz w:val="21"/>
                <w:u w:val="none"/>
              </w:rPr>
              <w:t>表</w:t>
            </w:r>
            <w:r>
              <w:rPr>
                <w:rFonts w:hint="default" w:hAnsi="Times New Roman" w:cs="Times New Roman"/>
                <w:b/>
                <w:sz w:val="21"/>
                <w:u w:val="none"/>
              </w:rPr>
              <w:t>4</w:t>
            </w:r>
            <w:r>
              <w:rPr>
                <w:rFonts w:hint="eastAsia" w:hAnsi="Times New Roman" w:cs="Times New Roman"/>
                <w:b/>
                <w:sz w:val="21"/>
                <w:u w:val="none"/>
              </w:rPr>
              <w:t>-</w:t>
            </w:r>
            <w:r>
              <w:rPr>
                <w:rFonts w:hint="eastAsia" w:hAnsi="Times New Roman" w:cs="Times New Roman"/>
                <w:b/>
                <w:sz w:val="21"/>
                <w:u w:val="none"/>
                <w:lang w:val="en-US" w:eastAsia="zh-CN"/>
              </w:rPr>
              <w:t>2</w:t>
            </w:r>
            <w:r>
              <w:rPr>
                <w:rFonts w:hint="eastAsia" w:cs="Times New Roman"/>
                <w:b/>
                <w:sz w:val="21"/>
                <w:u w:val="none"/>
                <w:lang w:val="en-US" w:eastAsia="zh-CN"/>
              </w:rPr>
              <w:t>0</w:t>
            </w:r>
            <w:r>
              <w:rPr>
                <w:rFonts w:hint="default" w:hAnsi="Times New Roman" w:cs="Times New Roman"/>
                <w:b/>
                <w:sz w:val="21"/>
                <w:u w:val="none"/>
              </w:rPr>
              <w:t xml:space="preserve">  </w:t>
            </w:r>
            <w:r>
              <w:rPr>
                <w:rFonts w:hint="eastAsia" w:hAnsi="Times New Roman" w:cs="Times New Roman"/>
                <w:b/>
                <w:sz w:val="21"/>
                <w:u w:val="none"/>
              </w:rPr>
              <w:t>风险评价等级划分</w:t>
            </w:r>
          </w:p>
          <w:tbl>
            <w:tblPr>
              <w:tblStyle w:val="4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695"/>
              <w:gridCol w:w="1695"/>
              <w:gridCol w:w="1695"/>
              <w:gridCol w:w="1697"/>
            </w:tblGrid>
            <w:tr w14:paraId="4F4F7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9" w:type="pct"/>
                  <w:tcBorders>
                    <w:tl2br w:val="nil"/>
                    <w:tr2bl w:val="nil"/>
                  </w:tcBorders>
                  <w:noWrap w:val="0"/>
                  <w:vAlign w:val="center"/>
                </w:tcPr>
                <w:p w14:paraId="31479C9E">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环境风险潜势</w:t>
                  </w:r>
                </w:p>
              </w:tc>
              <w:tc>
                <w:tcPr>
                  <w:tcW w:w="999" w:type="pct"/>
                  <w:tcBorders>
                    <w:tl2br w:val="nil"/>
                    <w:tr2bl w:val="nil"/>
                  </w:tcBorders>
                  <w:noWrap w:val="0"/>
                  <w:vAlign w:val="center"/>
                </w:tcPr>
                <w:p w14:paraId="7AAD55A3">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default" w:hAnsi="Times New Roman" w:cs="Times New Roman"/>
                      <w:sz w:val="21"/>
                      <w:u w:val="none"/>
                    </w:rPr>
                    <w:t>Ⅳ</w:t>
                  </w:r>
                  <w:r>
                    <w:rPr>
                      <w:rFonts w:hint="eastAsia" w:hAnsi="Times New Roman" w:cs="Times New Roman"/>
                      <w:sz w:val="21"/>
                      <w:u w:val="none"/>
                    </w:rPr>
                    <w:t>、</w:t>
                  </w:r>
                  <w:r>
                    <w:rPr>
                      <w:rFonts w:hint="default" w:hAnsi="Times New Roman" w:cs="Times New Roman"/>
                      <w:sz w:val="21"/>
                      <w:u w:val="none"/>
                    </w:rPr>
                    <w:t>Ⅳ</w:t>
                  </w:r>
                  <w:r>
                    <w:rPr>
                      <w:rFonts w:hint="default" w:hAnsi="Times New Roman" w:cs="Times New Roman"/>
                      <w:sz w:val="21"/>
                      <w:u w:val="none"/>
                      <w:vertAlign w:val="superscript"/>
                    </w:rPr>
                    <w:t>+</w:t>
                  </w:r>
                </w:p>
              </w:tc>
              <w:tc>
                <w:tcPr>
                  <w:tcW w:w="999" w:type="pct"/>
                  <w:tcBorders>
                    <w:tl2br w:val="nil"/>
                    <w:tr2bl w:val="nil"/>
                  </w:tcBorders>
                  <w:noWrap w:val="0"/>
                  <w:vAlign w:val="center"/>
                </w:tcPr>
                <w:p w14:paraId="541BCB26">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default" w:hAnsi="Times New Roman" w:cs="Times New Roman"/>
                      <w:sz w:val="21"/>
                      <w:u w:val="none"/>
                    </w:rPr>
                    <w:t>Ⅲ</w:t>
                  </w:r>
                </w:p>
              </w:tc>
              <w:tc>
                <w:tcPr>
                  <w:tcW w:w="999" w:type="pct"/>
                  <w:tcBorders>
                    <w:tl2br w:val="nil"/>
                    <w:tr2bl w:val="nil"/>
                  </w:tcBorders>
                  <w:noWrap w:val="0"/>
                  <w:vAlign w:val="center"/>
                </w:tcPr>
                <w:p w14:paraId="6D9125F3">
                  <w:pPr>
                    <w:pStyle w:val="42"/>
                    <w:keepNext w:val="0"/>
                    <w:keepLines w:val="0"/>
                    <w:suppressLineNumbers w:val="0"/>
                    <w:spacing w:beforeAutospacing="0" w:after="0" w:afterAutospacing="0"/>
                    <w:ind w:left="0" w:firstLine="0" w:firstLineChars="0"/>
                    <w:jc w:val="center"/>
                    <w:rPr>
                      <w:rFonts w:hint="eastAsia" w:hAnsi="Times New Roman" w:eastAsia="宋体" w:cs="Times New Roman"/>
                      <w:sz w:val="21"/>
                      <w:u w:val="none"/>
                      <w:lang w:eastAsia="zh-CN"/>
                    </w:rPr>
                  </w:pPr>
                  <w:r>
                    <w:rPr>
                      <w:rFonts w:hint="eastAsia" w:hAnsi="Times New Roman" w:cs="Times New Roman"/>
                      <w:sz w:val="21"/>
                      <w:u w:val="none"/>
                      <w:lang w:eastAsia="zh-CN"/>
                    </w:rPr>
                    <w:t>III</w:t>
                  </w:r>
                </w:p>
              </w:tc>
              <w:tc>
                <w:tcPr>
                  <w:tcW w:w="1000" w:type="pct"/>
                  <w:tcBorders>
                    <w:tl2br w:val="nil"/>
                    <w:tr2bl w:val="nil"/>
                  </w:tcBorders>
                  <w:noWrap w:val="0"/>
                  <w:vAlign w:val="center"/>
                </w:tcPr>
                <w:p w14:paraId="58DA0E39">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default" w:hAnsi="Times New Roman" w:cs="Times New Roman"/>
                      <w:sz w:val="21"/>
                      <w:u w:val="none"/>
                    </w:rPr>
                    <w:t>Ⅰ</w:t>
                  </w:r>
                </w:p>
              </w:tc>
            </w:tr>
            <w:tr w14:paraId="19991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99" w:type="pct"/>
                  <w:tcBorders>
                    <w:tl2br w:val="nil"/>
                    <w:tr2bl w:val="nil"/>
                  </w:tcBorders>
                  <w:noWrap w:val="0"/>
                  <w:vAlign w:val="center"/>
                </w:tcPr>
                <w:p w14:paraId="0D6CC4F0">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评价工作等级</w:t>
                  </w:r>
                </w:p>
              </w:tc>
              <w:tc>
                <w:tcPr>
                  <w:tcW w:w="999" w:type="pct"/>
                  <w:tcBorders>
                    <w:tl2br w:val="nil"/>
                    <w:tr2bl w:val="nil"/>
                  </w:tcBorders>
                  <w:noWrap w:val="0"/>
                  <w:vAlign w:val="center"/>
                </w:tcPr>
                <w:p w14:paraId="09DC89E4">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一</w:t>
                  </w:r>
                </w:p>
              </w:tc>
              <w:tc>
                <w:tcPr>
                  <w:tcW w:w="999" w:type="pct"/>
                  <w:tcBorders>
                    <w:tl2br w:val="nil"/>
                    <w:tr2bl w:val="nil"/>
                  </w:tcBorders>
                  <w:noWrap w:val="0"/>
                  <w:vAlign w:val="center"/>
                </w:tcPr>
                <w:p w14:paraId="22F66C3F">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二</w:t>
                  </w:r>
                </w:p>
              </w:tc>
              <w:tc>
                <w:tcPr>
                  <w:tcW w:w="999" w:type="pct"/>
                  <w:tcBorders>
                    <w:tl2br w:val="nil"/>
                    <w:tr2bl w:val="nil"/>
                  </w:tcBorders>
                  <w:noWrap w:val="0"/>
                  <w:vAlign w:val="center"/>
                </w:tcPr>
                <w:p w14:paraId="6B31C24B">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三</w:t>
                  </w:r>
                </w:p>
              </w:tc>
              <w:tc>
                <w:tcPr>
                  <w:tcW w:w="1000" w:type="pct"/>
                  <w:tcBorders>
                    <w:tl2br w:val="nil"/>
                    <w:tr2bl w:val="nil"/>
                  </w:tcBorders>
                  <w:noWrap w:val="0"/>
                  <w:vAlign w:val="center"/>
                </w:tcPr>
                <w:p w14:paraId="50513589">
                  <w:pPr>
                    <w:pStyle w:val="42"/>
                    <w:keepNext w:val="0"/>
                    <w:keepLines w:val="0"/>
                    <w:suppressLineNumbers w:val="0"/>
                    <w:spacing w:beforeAutospacing="0" w:after="0" w:afterAutospacing="0"/>
                    <w:ind w:left="0" w:firstLine="0" w:firstLineChars="0"/>
                    <w:jc w:val="center"/>
                    <w:rPr>
                      <w:rFonts w:hint="default" w:hAnsi="Times New Roman" w:cs="Times New Roman"/>
                      <w:sz w:val="21"/>
                      <w:u w:val="none"/>
                    </w:rPr>
                  </w:pPr>
                  <w:r>
                    <w:rPr>
                      <w:rFonts w:hint="eastAsia" w:hAnsi="Times New Roman" w:cs="Times New Roman"/>
                      <w:sz w:val="21"/>
                      <w:u w:val="none"/>
                    </w:rPr>
                    <w:t>简单分析</w:t>
                  </w:r>
                </w:p>
              </w:tc>
            </w:tr>
          </w:tbl>
          <w:p w14:paraId="43C2BEFF">
            <w:pPr>
              <w:keepNext w:val="0"/>
              <w:keepLines w:val="0"/>
              <w:suppressLineNumbers w:val="0"/>
              <w:spacing w:before="120" w:beforeLines="50" w:beforeAutospacing="0" w:after="0" w:afterAutospacing="0" w:line="360" w:lineRule="auto"/>
              <w:ind w:left="0" w:right="0" w:firstLine="482" w:firstLineChars="200"/>
              <w:rPr>
                <w:rFonts w:hint="default" w:ascii="Times New Roman" w:hAnsi="Times New Roman" w:cs="Times New Roman"/>
                <w:sz w:val="24"/>
                <w:szCs w:val="32"/>
                <w:u w:val="none"/>
              </w:rPr>
            </w:pPr>
            <w:r>
              <w:rPr>
                <w:rFonts w:hint="eastAsia" w:ascii="Times New Roman" w:hAnsi="Times New Roman" w:eastAsia="宋体" w:cs="Times New Roman"/>
                <w:b/>
                <w:bCs/>
                <w:color w:val="000000"/>
                <w:kern w:val="2"/>
                <w:sz w:val="24"/>
                <w:szCs w:val="24"/>
                <w:u w:val="none"/>
                <w:lang w:val="en-US" w:eastAsia="zh-CN" w:bidi="ar-SA"/>
              </w:rPr>
              <w:t>6.3、建设项目环境风险简单分析</w:t>
            </w:r>
          </w:p>
          <w:p w14:paraId="561BBB53">
            <w:pPr>
              <w:pStyle w:val="42"/>
              <w:keepNext w:val="0"/>
              <w:keepLines w:val="0"/>
              <w:suppressLineNumbers w:val="0"/>
              <w:spacing w:beforeAutospacing="0" w:after="0" w:afterAutospacing="0" w:line="360" w:lineRule="auto"/>
              <w:ind w:left="0" w:firstLine="480" w:firstLineChars="200"/>
              <w:jc w:val="left"/>
              <w:rPr>
                <w:rFonts w:hint="default" w:hAnsi="Times New Roman" w:cs="Times New Roman"/>
                <w:kern w:val="2"/>
                <w:sz w:val="24"/>
                <w:szCs w:val="32"/>
                <w:u w:val="none"/>
              </w:rPr>
            </w:pPr>
            <w:r>
              <w:rPr>
                <w:rFonts w:hint="eastAsia" w:hAnsi="Times New Roman" w:cs="Times New Roman"/>
                <w:kern w:val="2"/>
                <w:sz w:val="24"/>
                <w:szCs w:val="32"/>
                <w:u w:val="none"/>
              </w:rPr>
              <w:t>本项目环境风险简单分析内容见下表。</w:t>
            </w:r>
          </w:p>
          <w:p w14:paraId="395326CF">
            <w:pPr>
              <w:pStyle w:val="42"/>
              <w:keepNext w:val="0"/>
              <w:keepLines w:val="0"/>
              <w:suppressLineNumbers w:val="0"/>
              <w:spacing w:beforeAutospacing="0" w:after="0" w:afterAutospacing="0" w:line="360" w:lineRule="auto"/>
              <w:ind w:left="0" w:firstLine="422" w:firstLineChars="200"/>
              <w:jc w:val="center"/>
              <w:rPr>
                <w:rFonts w:hint="default" w:hAnsi="Times New Roman" w:cs="Times New Roman"/>
                <w:b/>
                <w:sz w:val="21"/>
                <w:u w:val="none"/>
              </w:rPr>
            </w:pPr>
            <w:r>
              <w:rPr>
                <w:rFonts w:hint="eastAsia" w:hAnsi="Times New Roman" w:cs="Times New Roman"/>
                <w:b/>
                <w:sz w:val="21"/>
                <w:u w:val="none"/>
              </w:rPr>
              <w:t>表</w:t>
            </w:r>
            <w:r>
              <w:rPr>
                <w:rFonts w:hint="default" w:hAnsi="Times New Roman" w:cs="Times New Roman"/>
                <w:b/>
                <w:sz w:val="21"/>
                <w:u w:val="none"/>
              </w:rPr>
              <w:t>4</w:t>
            </w:r>
            <w:r>
              <w:rPr>
                <w:rFonts w:hint="eastAsia" w:hAnsi="Times New Roman" w:cs="Times New Roman"/>
                <w:b/>
                <w:sz w:val="21"/>
                <w:u w:val="none"/>
              </w:rPr>
              <w:t>-</w:t>
            </w:r>
            <w:r>
              <w:rPr>
                <w:rFonts w:hint="eastAsia" w:hAnsi="Times New Roman" w:cs="Times New Roman"/>
                <w:b/>
                <w:sz w:val="21"/>
                <w:u w:val="none"/>
                <w:lang w:val="en-US" w:eastAsia="zh-CN"/>
              </w:rPr>
              <w:t>2</w:t>
            </w:r>
            <w:r>
              <w:rPr>
                <w:rFonts w:hint="eastAsia" w:cs="Times New Roman"/>
                <w:b/>
                <w:sz w:val="21"/>
                <w:u w:val="none"/>
                <w:lang w:val="en-US" w:eastAsia="zh-CN"/>
              </w:rPr>
              <w:t>1</w:t>
            </w:r>
            <w:r>
              <w:rPr>
                <w:rFonts w:hint="default" w:hAnsi="Times New Roman" w:cs="Times New Roman"/>
                <w:b/>
                <w:sz w:val="21"/>
                <w:u w:val="none"/>
              </w:rPr>
              <w:t xml:space="preserve">  </w:t>
            </w:r>
            <w:r>
              <w:rPr>
                <w:rFonts w:hint="eastAsia" w:hAnsi="Times New Roman" w:cs="Times New Roman"/>
                <w:b/>
                <w:sz w:val="21"/>
                <w:u w:val="none"/>
              </w:rPr>
              <w:t>建设项目环境风险简单分析内容表</w:t>
            </w:r>
          </w:p>
          <w:tbl>
            <w:tblPr>
              <w:tblStyle w:val="4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6891"/>
            </w:tblGrid>
            <w:tr w14:paraId="280F75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7" w:type="pct"/>
                  <w:tcBorders>
                    <w:tl2br w:val="nil"/>
                    <w:tr2bl w:val="nil"/>
                  </w:tcBorders>
                  <w:noWrap w:val="0"/>
                  <w:vAlign w:val="center"/>
                </w:tcPr>
                <w:p w14:paraId="47DDF9ED">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建设项目名称</w:t>
                  </w:r>
                </w:p>
              </w:tc>
              <w:tc>
                <w:tcPr>
                  <w:tcW w:w="4062" w:type="pct"/>
                  <w:tcBorders>
                    <w:tl2br w:val="nil"/>
                    <w:tr2bl w:val="nil"/>
                  </w:tcBorders>
                  <w:noWrap w:val="0"/>
                  <w:vAlign w:val="center"/>
                </w:tcPr>
                <w:p w14:paraId="78C6B762">
                  <w:pPr>
                    <w:pStyle w:val="42"/>
                    <w:keepNext w:val="0"/>
                    <w:keepLines w:val="0"/>
                    <w:suppressLineNumbers w:val="0"/>
                    <w:spacing w:beforeAutospacing="0" w:after="0" w:afterAutospacing="0"/>
                    <w:ind w:left="0" w:firstLine="0" w:firstLineChars="0"/>
                    <w:jc w:val="center"/>
                    <w:rPr>
                      <w:rFonts w:hint="eastAsia" w:ascii="Times New Roman" w:hAnsi="Times New Roman" w:eastAsia="宋体" w:cs="Times New Roman"/>
                      <w:sz w:val="21"/>
                      <w:szCs w:val="21"/>
                      <w:u w:val="none"/>
                      <w:lang w:eastAsia="zh-CN"/>
                    </w:rPr>
                  </w:pPr>
                  <w:r>
                    <w:rPr>
                      <w:rFonts w:hint="eastAsia" w:cs="Times New Roman"/>
                      <w:sz w:val="21"/>
                      <w:szCs w:val="21"/>
                      <w:u w:val="none"/>
                      <w:lang w:eastAsia="zh-CN"/>
                    </w:rPr>
                    <w:t>年产5000吨药用包装材料生产线项目</w:t>
                  </w:r>
                </w:p>
              </w:tc>
            </w:tr>
            <w:tr w14:paraId="072163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7" w:type="pct"/>
                  <w:tcBorders>
                    <w:tl2br w:val="nil"/>
                    <w:tr2bl w:val="nil"/>
                  </w:tcBorders>
                  <w:noWrap w:val="0"/>
                  <w:vAlign w:val="center"/>
                </w:tcPr>
                <w:p w14:paraId="7FBDD2B8">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建设地点</w:t>
                  </w:r>
                </w:p>
              </w:tc>
              <w:tc>
                <w:tcPr>
                  <w:tcW w:w="4062" w:type="pct"/>
                  <w:tcBorders>
                    <w:tl2br w:val="nil"/>
                    <w:tr2bl w:val="nil"/>
                  </w:tcBorders>
                  <w:noWrap w:val="0"/>
                  <w:vAlign w:val="center"/>
                </w:tcPr>
                <w:p w14:paraId="6F31438E">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eastAsia="zh-CN"/>
                    </w:rPr>
                    <w:t>湖南省祁阳高新技术产业开发区灯塔路152号祁阳五洲医药包装有限公司建设的二期联合厂房</w:t>
                  </w:r>
                </w:p>
              </w:tc>
            </w:tr>
            <w:tr w14:paraId="156F0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7" w:type="pct"/>
                  <w:tcBorders>
                    <w:tl2br w:val="nil"/>
                    <w:tr2bl w:val="nil"/>
                  </w:tcBorders>
                  <w:noWrap w:val="0"/>
                  <w:vAlign w:val="center"/>
                </w:tcPr>
                <w:p w14:paraId="5E2E76E6">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地理坐标</w:t>
                  </w:r>
                </w:p>
              </w:tc>
              <w:tc>
                <w:tcPr>
                  <w:tcW w:w="4062" w:type="pct"/>
                  <w:tcBorders>
                    <w:tl2br w:val="nil"/>
                    <w:tr2bl w:val="nil"/>
                  </w:tcBorders>
                  <w:noWrap w:val="0"/>
                  <w:vAlign w:val="center"/>
                </w:tcPr>
                <w:p w14:paraId="6E72FF5B">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rPr>
                  </w:pPr>
                  <w:r>
                    <w:rPr>
                      <w:rFonts w:hint="default" w:ascii="Times New Roman" w:hAnsi="Times New Roman" w:eastAsia="宋体" w:cs="Times New Roman"/>
                      <w:sz w:val="21"/>
                      <w:szCs w:val="21"/>
                      <w:u w:val="none"/>
                    </w:rPr>
                    <w:t>111度51分16.358秒，26度32分56.895秒</w:t>
                  </w:r>
                </w:p>
              </w:tc>
            </w:tr>
            <w:tr w14:paraId="51ECD8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37" w:type="pct"/>
                  <w:tcBorders>
                    <w:tl2br w:val="nil"/>
                    <w:tr2bl w:val="nil"/>
                  </w:tcBorders>
                  <w:noWrap w:val="0"/>
                  <w:vAlign w:val="center"/>
                </w:tcPr>
                <w:p w14:paraId="132017D4">
                  <w:pPr>
                    <w:pStyle w:val="42"/>
                    <w:keepNext w:val="0"/>
                    <w:keepLines w:val="0"/>
                    <w:suppressLineNumbers w:val="0"/>
                    <w:spacing w:beforeAutospacing="0" w:after="0" w:afterAutospacing="0"/>
                    <w:ind w:left="0" w:firstLine="0" w:firstLineChars="0"/>
                    <w:jc w:val="center"/>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主要危险物质及分布</w:t>
                  </w:r>
                </w:p>
              </w:tc>
              <w:tc>
                <w:tcPr>
                  <w:tcW w:w="4062" w:type="pct"/>
                  <w:tcBorders>
                    <w:tl2br w:val="nil"/>
                    <w:tr2bl w:val="nil"/>
                  </w:tcBorders>
                  <w:noWrap w:val="0"/>
                  <w:vAlign w:val="center"/>
                </w:tcPr>
                <w:p w14:paraId="1E518E20">
                  <w:pPr>
                    <w:pStyle w:val="42"/>
                    <w:keepNext w:val="0"/>
                    <w:keepLines w:val="0"/>
                    <w:suppressLineNumbers w:val="0"/>
                    <w:spacing w:beforeAutospacing="0" w:after="0" w:afterAutospacing="0" w:line="240" w:lineRule="auto"/>
                    <w:ind w:left="0" w:firstLine="0" w:firstLineChars="0"/>
                    <w:jc w:val="center"/>
                    <w:rPr>
                      <w:rFonts w:hint="eastAsia" w:ascii="Times New Roman" w:hAnsi="Times New Roman" w:eastAsia="宋体" w:cs="Times New Roman"/>
                      <w:sz w:val="21"/>
                      <w:szCs w:val="21"/>
                      <w:u w:val="none"/>
                      <w:lang w:eastAsia="zh-CN"/>
                    </w:rPr>
                  </w:pPr>
                  <w:r>
                    <w:rPr>
                      <w:rFonts w:hint="eastAsia" w:ascii="Times New Roman" w:hAnsi="Times New Roman" w:eastAsia="宋体" w:cs="Times New Roman"/>
                      <w:sz w:val="21"/>
                      <w:szCs w:val="21"/>
                      <w:u w:val="none"/>
                    </w:rPr>
                    <w:t>本项目主要危险物质为</w:t>
                  </w:r>
                  <w:r>
                    <w:rPr>
                      <w:rFonts w:hint="default" w:ascii="Times New Roman" w:hAnsi="Times New Roman" w:eastAsia="宋体" w:cs="Times New Roman"/>
                      <w:sz w:val="21"/>
                      <w:szCs w:val="21"/>
                      <w:u w:val="none"/>
                    </w:rPr>
                    <w:t>①机油</w:t>
                  </w:r>
                  <w:r>
                    <w:rPr>
                      <w:rFonts w:hint="eastAsia" w:cs="Times New Roman"/>
                      <w:sz w:val="21"/>
                      <w:szCs w:val="21"/>
                      <w:u w:val="none"/>
                      <w:lang w:val="en-US" w:eastAsia="zh-CN"/>
                    </w:rPr>
                    <w:t>和酒精</w:t>
                  </w:r>
                  <w:r>
                    <w:rPr>
                      <w:rFonts w:hint="eastAsia" w:ascii="Times New Roman" w:hAnsi="Times New Roman" w:eastAsia="宋体" w:cs="Times New Roman"/>
                      <w:sz w:val="21"/>
                      <w:szCs w:val="21"/>
                      <w:u w:val="none"/>
                    </w:rPr>
                    <w:t>，主要分布于</w:t>
                  </w:r>
                  <w:r>
                    <w:rPr>
                      <w:rFonts w:hint="eastAsia" w:cs="Times New Roman"/>
                      <w:sz w:val="21"/>
                      <w:szCs w:val="21"/>
                      <w:u w:val="none"/>
                      <w:lang w:val="en-US" w:eastAsia="zh-CN"/>
                    </w:rPr>
                    <w:t>原料</w:t>
                  </w:r>
                  <w:r>
                    <w:rPr>
                      <w:rFonts w:hint="eastAsia" w:hAnsi="Times New Roman" w:cs="Times New Roman"/>
                      <w:sz w:val="21"/>
                      <w:szCs w:val="21"/>
                      <w:u w:val="none"/>
                      <w:lang w:val="en-US" w:eastAsia="zh-CN"/>
                    </w:rPr>
                    <w:t>仓库</w:t>
                  </w:r>
                  <w:r>
                    <w:rPr>
                      <w:rFonts w:hint="eastAsia" w:ascii="Times New Roman" w:hAnsi="Times New Roman" w:eastAsia="宋体" w:cs="Times New Roman"/>
                      <w:sz w:val="21"/>
                      <w:szCs w:val="21"/>
                      <w:u w:val="none"/>
                      <w:lang w:eastAsia="zh-CN"/>
                    </w:rPr>
                    <w:t>；</w:t>
                  </w:r>
                  <w:r>
                    <w:rPr>
                      <w:rFonts w:hint="default" w:ascii="Times New Roman" w:hAnsi="Times New Roman" w:eastAsia="宋体" w:cs="Times New Roman"/>
                      <w:sz w:val="21"/>
                      <w:szCs w:val="21"/>
                      <w:u w:val="none"/>
                      <w:lang w:eastAsia="zh-CN"/>
                    </w:rPr>
                    <w:t>②</w:t>
                  </w:r>
                  <w:r>
                    <w:rPr>
                      <w:rFonts w:hint="eastAsia" w:hAnsi="Times New Roman" w:cs="Times New Roman"/>
                      <w:sz w:val="21"/>
                      <w:szCs w:val="21"/>
                      <w:u w:val="none"/>
                      <w:lang w:val="en-US" w:eastAsia="zh-CN"/>
                    </w:rPr>
                    <w:t>废机油</w:t>
                  </w:r>
                  <w:r>
                    <w:rPr>
                      <w:rFonts w:hint="eastAsia" w:ascii="Times New Roman" w:hAnsi="Times New Roman" w:eastAsia="宋体" w:cs="Times New Roman"/>
                      <w:sz w:val="21"/>
                      <w:szCs w:val="21"/>
                      <w:u w:val="none"/>
                      <w:lang w:eastAsia="zh-CN"/>
                    </w:rPr>
                    <w:t>等危险废物，主要分布于危废暂存间</w:t>
                  </w:r>
                  <w:r>
                    <w:rPr>
                      <w:rFonts w:hint="eastAsia" w:cs="Times New Roman"/>
                      <w:sz w:val="21"/>
                      <w:szCs w:val="21"/>
                      <w:u w:val="none"/>
                      <w:lang w:eastAsia="zh-CN"/>
                    </w:rPr>
                    <w:t>；</w:t>
                  </w:r>
                  <w:r>
                    <w:rPr>
                      <w:rFonts w:hint="default" w:ascii="Times New Roman" w:hAnsi="Times New Roman" w:eastAsia="宋体" w:cs="Times New Roman"/>
                      <w:sz w:val="21"/>
                      <w:szCs w:val="21"/>
                      <w:u w:val="none"/>
                      <w:lang w:eastAsia="zh-CN"/>
                    </w:rPr>
                    <w:t>③乙酸正丙酯</w:t>
                  </w:r>
                  <w:r>
                    <w:rPr>
                      <w:rFonts w:hint="eastAsia" w:cs="Times New Roman"/>
                      <w:sz w:val="21"/>
                      <w:szCs w:val="21"/>
                      <w:u w:val="none"/>
                      <w:lang w:eastAsia="zh-CN"/>
                    </w:rPr>
                    <w:t>、异丙醇、乙酸丁酯、凹版油墨、聚氨酯胶粘剂、聚氨酯固化剂、铝箔油墨、无溶剂聚氨酯胶粘剂、OP保护剂</w:t>
                  </w:r>
                  <w:r>
                    <w:rPr>
                      <w:rFonts w:hint="eastAsia" w:cs="Times New Roman"/>
                      <w:sz w:val="21"/>
                      <w:szCs w:val="21"/>
                      <w:u w:val="none"/>
                      <w:lang w:val="en-US" w:eastAsia="zh-CN"/>
                    </w:rPr>
                    <w:t>和</w:t>
                  </w:r>
                  <w:r>
                    <w:rPr>
                      <w:rFonts w:hint="eastAsia" w:cs="Times New Roman"/>
                      <w:sz w:val="21"/>
                      <w:szCs w:val="21"/>
                      <w:u w:val="none"/>
                      <w:lang w:eastAsia="zh-CN"/>
                    </w:rPr>
                    <w:t>VC胶粘剂，</w:t>
                  </w:r>
                  <w:r>
                    <w:rPr>
                      <w:rFonts w:hint="eastAsia" w:ascii="Times New Roman" w:hAnsi="Times New Roman" w:eastAsia="宋体" w:cs="Times New Roman"/>
                      <w:sz w:val="21"/>
                      <w:szCs w:val="21"/>
                      <w:u w:val="none"/>
                    </w:rPr>
                    <w:t>主要分布于危险化学品仓库</w:t>
                  </w:r>
                </w:p>
              </w:tc>
            </w:tr>
            <w:tr w14:paraId="6882A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37" w:type="pct"/>
                  <w:tcBorders>
                    <w:tl2br w:val="nil"/>
                    <w:tr2bl w:val="nil"/>
                  </w:tcBorders>
                  <w:noWrap w:val="0"/>
                  <w:vAlign w:val="center"/>
                </w:tcPr>
                <w:p w14:paraId="1E2F7F33">
                  <w:pPr>
                    <w:pStyle w:val="42"/>
                    <w:keepNext w:val="0"/>
                    <w:keepLines w:val="0"/>
                    <w:suppressLineNumbers w:val="0"/>
                    <w:spacing w:beforeAutospacing="0" w:after="0" w:afterAutospacing="0"/>
                    <w:ind w:left="0" w:firstLine="0" w:firstLineChars="0"/>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环境影响途径及危害后果</w:t>
                  </w:r>
                </w:p>
              </w:tc>
              <w:tc>
                <w:tcPr>
                  <w:tcW w:w="4062" w:type="pct"/>
                  <w:tcBorders>
                    <w:tl2br w:val="nil"/>
                    <w:tr2bl w:val="nil"/>
                  </w:tcBorders>
                  <w:noWrap w:val="0"/>
                  <w:vAlign w:val="center"/>
                </w:tcPr>
                <w:p w14:paraId="0999D9CB">
                  <w:pPr>
                    <w:pStyle w:val="42"/>
                    <w:keepNext w:val="0"/>
                    <w:keepLines w:val="0"/>
                    <w:suppressLineNumbers w:val="0"/>
                    <w:spacing w:beforeAutospacing="0" w:after="0" w:afterAutospacing="0" w:line="240" w:lineRule="auto"/>
                    <w:ind w:left="0" w:firstLine="0" w:firstLineChars="0"/>
                    <w:rPr>
                      <w:rFonts w:hint="default" w:ascii="Times New Roman" w:hAnsi="Times New Roman" w:eastAsia="宋体" w:cs="Times New Roman"/>
                      <w:bCs/>
                      <w:sz w:val="21"/>
                      <w:szCs w:val="21"/>
                      <w:u w:val="none"/>
                    </w:rPr>
                  </w:pPr>
                  <w:r>
                    <w:rPr>
                      <w:rFonts w:hint="eastAsia" w:ascii="Times New Roman" w:hAnsi="Times New Roman" w:eastAsia="宋体" w:cs="Times New Roman"/>
                      <w:b/>
                      <w:sz w:val="21"/>
                      <w:szCs w:val="21"/>
                      <w:u w:val="none"/>
                    </w:rPr>
                    <w:t>环境影响途径：</w:t>
                  </w:r>
                  <w:r>
                    <w:rPr>
                      <w:rFonts w:hint="eastAsia" w:ascii="Times New Roman" w:hAnsi="Times New Roman" w:eastAsia="宋体" w:cs="Times New Roman"/>
                      <w:bCs/>
                      <w:sz w:val="21"/>
                      <w:szCs w:val="21"/>
                      <w:u w:val="none"/>
                    </w:rPr>
                    <w:t>废</w:t>
                  </w:r>
                  <w:r>
                    <w:rPr>
                      <w:rFonts w:hint="eastAsia" w:cs="Times New Roman"/>
                      <w:bCs/>
                      <w:sz w:val="21"/>
                      <w:szCs w:val="21"/>
                      <w:u w:val="none"/>
                      <w:lang w:val="en-US" w:eastAsia="zh-CN"/>
                    </w:rPr>
                    <w:t>气</w:t>
                  </w:r>
                  <w:r>
                    <w:rPr>
                      <w:rFonts w:hint="eastAsia" w:ascii="Times New Roman" w:hAnsi="Times New Roman" w:eastAsia="宋体" w:cs="Times New Roman"/>
                      <w:bCs/>
                      <w:sz w:val="21"/>
                      <w:szCs w:val="21"/>
                      <w:u w:val="none"/>
                    </w:rPr>
                    <w:t>处理设施故障引起的污染物超标排放；</w:t>
                  </w:r>
                  <w:r>
                    <w:rPr>
                      <w:rFonts w:hint="eastAsia" w:cs="Times New Roman"/>
                      <w:bCs/>
                      <w:sz w:val="21"/>
                      <w:szCs w:val="21"/>
                      <w:u w:val="none"/>
                      <w:lang w:val="en-US" w:eastAsia="zh-CN"/>
                    </w:rPr>
                    <w:t>油墨、乙酸乙酯等化学品、</w:t>
                  </w:r>
                  <w:r>
                    <w:rPr>
                      <w:rFonts w:hint="eastAsia" w:hAnsi="Times New Roman" w:cs="Times New Roman"/>
                      <w:bCs/>
                      <w:sz w:val="21"/>
                      <w:szCs w:val="21"/>
                      <w:u w:val="none"/>
                      <w:lang w:val="en-US" w:eastAsia="zh-CN"/>
                    </w:rPr>
                    <w:t>润滑油</w:t>
                  </w:r>
                  <w:r>
                    <w:rPr>
                      <w:rFonts w:hint="eastAsia" w:ascii="Times New Roman" w:hAnsi="Times New Roman" w:eastAsia="宋体" w:cs="Times New Roman"/>
                      <w:bCs/>
                      <w:sz w:val="21"/>
                      <w:szCs w:val="21"/>
                      <w:u w:val="none"/>
                      <w:lang w:eastAsia="zh-CN"/>
                    </w:rPr>
                    <w:t>和危险废物在储存过程中，可能会因自然或人为因素，出现</w:t>
                  </w:r>
                  <w:r>
                    <w:rPr>
                      <w:rFonts w:hint="eastAsia" w:ascii="Times New Roman" w:hAnsi="Times New Roman" w:eastAsia="宋体" w:cs="Times New Roman"/>
                      <w:bCs/>
                      <w:sz w:val="21"/>
                      <w:szCs w:val="21"/>
                      <w:u w:val="none"/>
                    </w:rPr>
                    <w:t>泄露</w:t>
                  </w:r>
                  <w:r>
                    <w:rPr>
                      <w:rFonts w:hint="eastAsia" w:ascii="Times New Roman" w:hAnsi="Times New Roman" w:eastAsia="宋体" w:cs="Times New Roman"/>
                      <w:bCs/>
                      <w:sz w:val="21"/>
                      <w:szCs w:val="21"/>
                      <w:u w:val="none"/>
                      <w:lang w:eastAsia="zh-CN"/>
                    </w:rPr>
                    <w:t>事故所</w:t>
                  </w:r>
                  <w:r>
                    <w:rPr>
                      <w:rFonts w:hint="eastAsia" w:ascii="Times New Roman" w:hAnsi="Times New Roman" w:eastAsia="宋体" w:cs="Times New Roman"/>
                      <w:bCs/>
                      <w:sz w:val="21"/>
                      <w:szCs w:val="21"/>
                      <w:u w:val="none"/>
                    </w:rPr>
                    <w:t>环境造成的影响；火灾</w:t>
                  </w:r>
                  <w:r>
                    <w:rPr>
                      <w:rFonts w:hint="eastAsia" w:hAnsi="Times New Roman" w:cs="Times New Roman"/>
                      <w:bCs/>
                      <w:sz w:val="21"/>
                      <w:szCs w:val="21"/>
                      <w:u w:val="none"/>
                      <w:lang w:val="en-US" w:eastAsia="zh-CN"/>
                    </w:rPr>
                    <w:t>/爆炸</w:t>
                  </w:r>
                  <w:r>
                    <w:rPr>
                      <w:rFonts w:hint="eastAsia" w:ascii="Times New Roman" w:hAnsi="Times New Roman" w:eastAsia="宋体" w:cs="Times New Roman"/>
                      <w:bCs/>
                      <w:sz w:val="21"/>
                      <w:szCs w:val="21"/>
                      <w:u w:val="none"/>
                    </w:rPr>
                    <w:t>及引起的次生</w:t>
                  </w:r>
                  <w:r>
                    <w:rPr>
                      <w:rFonts w:hint="eastAsia" w:hAnsi="Times New Roman" w:cs="Times New Roman"/>
                      <w:bCs/>
                      <w:sz w:val="21"/>
                      <w:szCs w:val="21"/>
                      <w:u w:val="none"/>
                      <w:lang w:val="en-US" w:eastAsia="zh-CN"/>
                    </w:rPr>
                    <w:t>/伴生污染物排放</w:t>
                  </w:r>
                  <w:r>
                    <w:rPr>
                      <w:rFonts w:hint="eastAsia" w:ascii="Times New Roman" w:hAnsi="Times New Roman" w:eastAsia="宋体" w:cs="Times New Roman"/>
                      <w:bCs/>
                      <w:sz w:val="21"/>
                      <w:szCs w:val="21"/>
                      <w:u w:val="none"/>
                    </w:rPr>
                    <w:t>。</w:t>
                  </w:r>
                </w:p>
                <w:p w14:paraId="338068BF">
                  <w:pPr>
                    <w:pStyle w:val="42"/>
                    <w:keepNext w:val="0"/>
                    <w:keepLines w:val="0"/>
                    <w:suppressLineNumbers w:val="0"/>
                    <w:spacing w:beforeAutospacing="0" w:after="0" w:afterAutospacing="0" w:line="240" w:lineRule="auto"/>
                    <w:ind w:left="0" w:firstLine="0" w:firstLineChars="0"/>
                    <w:rPr>
                      <w:rFonts w:hint="default" w:ascii="Times New Roman" w:hAnsi="Times New Roman" w:eastAsia="宋体" w:cs="Times New Roman"/>
                      <w:b/>
                      <w:sz w:val="21"/>
                      <w:szCs w:val="21"/>
                      <w:u w:val="none"/>
                      <w:lang w:val="en-US" w:eastAsia="zh-CN"/>
                    </w:rPr>
                  </w:pPr>
                  <w:r>
                    <w:rPr>
                      <w:rFonts w:hint="eastAsia" w:ascii="Times New Roman" w:hAnsi="Times New Roman" w:eastAsia="宋体" w:cs="Times New Roman"/>
                      <w:b/>
                      <w:sz w:val="21"/>
                      <w:szCs w:val="21"/>
                      <w:u w:val="none"/>
                    </w:rPr>
                    <w:t>危害后果：</w:t>
                  </w:r>
                  <w:r>
                    <w:rPr>
                      <w:rFonts w:hint="eastAsia" w:ascii="Times New Roman" w:hAnsi="Times New Roman" w:eastAsia="宋体" w:cs="Times New Roman"/>
                      <w:color w:val="000000"/>
                      <w:sz w:val="21"/>
                      <w:szCs w:val="21"/>
                      <w:u w:val="none"/>
                    </w:rPr>
                    <w:t>废</w:t>
                  </w:r>
                  <w:r>
                    <w:rPr>
                      <w:rFonts w:hint="eastAsia" w:cs="Times New Roman"/>
                      <w:color w:val="000000"/>
                      <w:sz w:val="21"/>
                      <w:szCs w:val="21"/>
                      <w:u w:val="none"/>
                      <w:lang w:val="en-US" w:eastAsia="zh-CN"/>
                    </w:rPr>
                    <w:t>气</w:t>
                  </w:r>
                  <w:r>
                    <w:rPr>
                      <w:rFonts w:hint="eastAsia" w:ascii="Times New Roman" w:hAnsi="Times New Roman" w:eastAsia="宋体" w:cs="Times New Roman"/>
                      <w:color w:val="000000"/>
                      <w:sz w:val="21"/>
                      <w:szCs w:val="21"/>
                      <w:u w:val="none"/>
                    </w:rPr>
                    <w:t>处理</w:t>
                  </w:r>
                  <w:r>
                    <w:rPr>
                      <w:rFonts w:hint="eastAsia" w:ascii="Times New Roman" w:hAnsi="Times New Roman" w:eastAsia="宋体" w:cs="Times New Roman"/>
                      <w:bCs/>
                      <w:sz w:val="21"/>
                      <w:szCs w:val="21"/>
                      <w:u w:val="none"/>
                    </w:rPr>
                    <w:t>设施</w:t>
                  </w:r>
                  <w:r>
                    <w:rPr>
                      <w:rFonts w:hint="eastAsia" w:ascii="Times New Roman" w:hAnsi="Times New Roman" w:eastAsia="宋体" w:cs="Times New Roman"/>
                      <w:color w:val="000000"/>
                      <w:sz w:val="21"/>
                      <w:szCs w:val="21"/>
                      <w:u w:val="none"/>
                    </w:rPr>
                    <w:t>故障产生的超标废</w:t>
                  </w:r>
                  <w:r>
                    <w:rPr>
                      <w:rFonts w:hint="eastAsia" w:cs="Times New Roman"/>
                      <w:color w:val="000000"/>
                      <w:sz w:val="21"/>
                      <w:szCs w:val="21"/>
                      <w:u w:val="none"/>
                      <w:lang w:val="en-US" w:eastAsia="zh-CN"/>
                    </w:rPr>
                    <w:t>气</w:t>
                  </w:r>
                  <w:r>
                    <w:rPr>
                      <w:rFonts w:hint="eastAsia" w:ascii="Times New Roman" w:hAnsi="Times New Roman" w:eastAsia="宋体" w:cs="Times New Roman"/>
                      <w:color w:val="000000"/>
                      <w:sz w:val="21"/>
                      <w:szCs w:val="21"/>
                      <w:u w:val="none"/>
                    </w:rPr>
                    <w:t>通过</w:t>
                  </w:r>
                  <w:r>
                    <w:rPr>
                      <w:rFonts w:hint="eastAsia" w:cs="Times New Roman"/>
                      <w:color w:val="000000"/>
                      <w:sz w:val="21"/>
                      <w:szCs w:val="21"/>
                      <w:u w:val="none"/>
                      <w:lang w:val="en-US" w:eastAsia="zh-CN"/>
                    </w:rPr>
                    <w:t>大气扩散</w:t>
                  </w:r>
                  <w:r>
                    <w:rPr>
                      <w:rFonts w:hint="eastAsia" w:ascii="Times New Roman" w:hAnsi="Times New Roman" w:eastAsia="宋体" w:cs="Times New Roman"/>
                      <w:color w:val="000000"/>
                      <w:sz w:val="21"/>
                      <w:szCs w:val="21"/>
                      <w:u w:val="none"/>
                    </w:rPr>
                    <w:t>的途径对周围环境产生影响；</w:t>
                  </w:r>
                  <w:r>
                    <w:rPr>
                      <w:rFonts w:hint="eastAsia" w:cs="Times New Roman"/>
                      <w:color w:val="000000"/>
                      <w:sz w:val="21"/>
                      <w:szCs w:val="21"/>
                      <w:u w:val="none"/>
                      <w:lang w:val="en-US" w:eastAsia="zh-CN"/>
                    </w:rPr>
                    <w:t>液体化学品、</w:t>
                  </w:r>
                  <w:r>
                    <w:rPr>
                      <w:rFonts w:hint="eastAsia" w:hAnsi="Times New Roman" w:cs="Times New Roman"/>
                      <w:bCs/>
                      <w:sz w:val="21"/>
                      <w:szCs w:val="21"/>
                      <w:u w:val="none"/>
                      <w:lang w:val="en-US" w:eastAsia="zh-CN"/>
                    </w:rPr>
                    <w:t>润滑油</w:t>
                  </w:r>
                  <w:r>
                    <w:rPr>
                      <w:rFonts w:hint="eastAsia" w:ascii="Times New Roman" w:hAnsi="Times New Roman" w:eastAsia="宋体" w:cs="Times New Roman"/>
                      <w:bCs/>
                      <w:sz w:val="21"/>
                      <w:szCs w:val="21"/>
                      <w:u w:val="none"/>
                    </w:rPr>
                    <w:t>泄露</w:t>
                  </w:r>
                  <w:r>
                    <w:rPr>
                      <w:rFonts w:hint="eastAsia" w:ascii="Times New Roman" w:hAnsi="Times New Roman" w:eastAsia="宋体" w:cs="Times New Roman"/>
                      <w:bCs/>
                      <w:sz w:val="21"/>
                      <w:szCs w:val="21"/>
                      <w:u w:val="none"/>
                      <w:lang w:eastAsia="zh-CN"/>
                    </w:rPr>
                    <w:t>，</w:t>
                  </w:r>
                  <w:r>
                    <w:rPr>
                      <w:rFonts w:hint="eastAsia" w:ascii="Times New Roman" w:hAnsi="Times New Roman" w:eastAsia="宋体" w:cs="Times New Roman"/>
                      <w:bCs/>
                      <w:sz w:val="21"/>
                      <w:szCs w:val="21"/>
                      <w:u w:val="none"/>
                      <w:lang w:val="en-US" w:eastAsia="zh-CN"/>
                    </w:rPr>
                    <w:t>地面漫流至外环境</w:t>
                  </w:r>
                  <w:r>
                    <w:rPr>
                      <w:rFonts w:hint="eastAsia" w:ascii="Times New Roman" w:hAnsi="Times New Roman" w:eastAsia="宋体" w:cs="Times New Roman"/>
                      <w:bCs/>
                      <w:sz w:val="21"/>
                      <w:szCs w:val="21"/>
                      <w:u w:val="none"/>
                    </w:rPr>
                    <w:t>会对地表水、地下水、土壤环境造成影响；火灾及火灾引起的次生废气和消防废水对周边环境造成影响</w:t>
                  </w:r>
                  <w:r>
                    <w:rPr>
                      <w:rFonts w:hint="eastAsia" w:hAnsi="Times New Roman" w:cs="Times New Roman"/>
                      <w:bCs/>
                      <w:sz w:val="21"/>
                      <w:szCs w:val="21"/>
                      <w:u w:val="none"/>
                      <w:lang w:val="en-US" w:eastAsia="zh-CN"/>
                    </w:rPr>
                    <w:t>。</w:t>
                  </w:r>
                </w:p>
              </w:tc>
            </w:tr>
            <w:tr w14:paraId="0FF46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7" w:type="pct"/>
                  <w:tcBorders>
                    <w:tl2br w:val="nil"/>
                    <w:tr2bl w:val="nil"/>
                  </w:tcBorders>
                  <w:noWrap w:val="0"/>
                  <w:vAlign w:val="center"/>
                </w:tcPr>
                <w:p w14:paraId="15340B72">
                  <w:pPr>
                    <w:pStyle w:val="42"/>
                    <w:keepNext w:val="0"/>
                    <w:keepLines w:val="0"/>
                    <w:suppressLineNumbers w:val="0"/>
                    <w:spacing w:beforeAutospacing="0" w:after="0" w:afterAutospacing="0"/>
                    <w:ind w:left="420" w:hanging="420" w:hangingChars="200"/>
                    <w:rPr>
                      <w:rFonts w:hint="default" w:ascii="Times New Roman" w:hAnsi="Times New Roman" w:eastAsia="宋体" w:cs="Times New Roman"/>
                      <w:sz w:val="21"/>
                      <w:szCs w:val="21"/>
                      <w:u w:val="none"/>
                    </w:rPr>
                  </w:pPr>
                  <w:r>
                    <w:rPr>
                      <w:rFonts w:hint="eastAsia" w:ascii="Times New Roman" w:hAnsi="Times New Roman" w:eastAsia="宋体" w:cs="Times New Roman"/>
                      <w:sz w:val="21"/>
                      <w:szCs w:val="21"/>
                      <w:u w:val="none"/>
                    </w:rPr>
                    <w:t>风险防范措施要求</w:t>
                  </w:r>
                </w:p>
              </w:tc>
              <w:tc>
                <w:tcPr>
                  <w:tcW w:w="4062" w:type="pct"/>
                  <w:tcBorders>
                    <w:tl2br w:val="nil"/>
                    <w:tr2bl w:val="nil"/>
                  </w:tcBorders>
                  <w:noWrap w:val="0"/>
                  <w:vAlign w:val="center"/>
                </w:tcPr>
                <w:p w14:paraId="43622798">
                  <w:pPr>
                    <w:pStyle w:val="42"/>
                    <w:keepNext w:val="0"/>
                    <w:keepLines w:val="0"/>
                    <w:suppressLineNumbers w:val="0"/>
                    <w:spacing w:beforeAutospacing="0" w:after="0" w:afterAutospacing="0"/>
                    <w:ind w:left="0" w:firstLine="0" w:firstLineChars="0"/>
                    <w:rPr>
                      <w:rFonts w:hint="default" w:ascii="Times New Roman" w:hAnsi="Times New Roman" w:eastAsia="宋体" w:cs="Times New Roman"/>
                      <w:b/>
                      <w:sz w:val="21"/>
                      <w:szCs w:val="21"/>
                      <w:u w:val="none"/>
                    </w:rPr>
                  </w:pPr>
                  <w:r>
                    <w:rPr>
                      <w:rFonts w:hint="eastAsia" w:ascii="Times New Roman" w:hAnsi="Times New Roman" w:eastAsia="宋体" w:cs="Times New Roman"/>
                      <w:b/>
                      <w:sz w:val="21"/>
                      <w:szCs w:val="21"/>
                      <w:u w:val="none"/>
                    </w:rPr>
                    <w:t>风险防范措施：</w:t>
                  </w:r>
                </w:p>
                <w:p w14:paraId="2D810390">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0"/>
                      <w:sz w:val="21"/>
                      <w:szCs w:val="21"/>
                      <w:u w:val="none"/>
                    </w:rPr>
                  </w:pPr>
                  <w:r>
                    <w:rPr>
                      <w:rFonts w:hint="default" w:ascii="Times New Roman" w:hAnsi="Times New Roman" w:eastAsia="宋体" w:cs="Times New Roman"/>
                      <w:sz w:val="21"/>
                      <w:szCs w:val="21"/>
                      <w:u w:val="none"/>
                    </w:rPr>
                    <w:t>（</w:t>
                  </w:r>
                  <w:r>
                    <w:rPr>
                      <w:rFonts w:hint="eastAsia" w:ascii="Times New Roman" w:hAnsi="Times New Roman" w:eastAsia="宋体" w:cs="Times New Roman"/>
                      <w:sz w:val="21"/>
                      <w:szCs w:val="21"/>
                      <w:u w:val="none"/>
                    </w:rPr>
                    <w:t>1</w:t>
                  </w:r>
                  <w:r>
                    <w:rPr>
                      <w:rFonts w:hint="default" w:ascii="Times New Roman" w:hAnsi="Times New Roman" w:eastAsia="宋体" w:cs="Times New Roman"/>
                      <w:sz w:val="21"/>
                      <w:szCs w:val="21"/>
                      <w:u w:val="none"/>
                    </w:rPr>
                    <w:t>）</w:t>
                  </w:r>
                  <w:r>
                    <w:rPr>
                      <w:rFonts w:hint="eastAsia" w:ascii="Times New Roman" w:hAnsi="Times New Roman" w:eastAsia="宋体" w:cs="Times New Roman"/>
                      <w:sz w:val="21"/>
                      <w:szCs w:val="21"/>
                      <w:u w:val="none"/>
                    </w:rPr>
                    <w:t>仓库、危废间、原辅料区、生产车间等均设置专人管理，设置明显的警示标志；专人负责项目的环境风险事故排查，每日定期对仓库、危废仓库等风险源进行排查，及时发现事故风险隐患，预防火灾</w:t>
                  </w:r>
                  <w:r>
                    <w:rPr>
                      <w:rFonts w:hint="eastAsia" w:ascii="Times New Roman" w:hAnsi="Times New Roman" w:eastAsia="宋体" w:cs="Times New Roman"/>
                      <w:color w:val="000000"/>
                      <w:kern w:val="0"/>
                      <w:sz w:val="21"/>
                      <w:szCs w:val="21"/>
                      <w:u w:val="none"/>
                    </w:rPr>
                    <w:t>。</w:t>
                  </w:r>
                </w:p>
                <w:p w14:paraId="697F9448">
                  <w:pPr>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sz w:val="21"/>
                      <w:szCs w:val="21"/>
                      <w:u w:val="none"/>
                      <w:lang w:eastAsia="zh-CN"/>
                    </w:rPr>
                  </w:pPr>
                  <w:r>
                    <w:rPr>
                      <w:rFonts w:hint="eastAsia" w:ascii="Times New Roman" w:hAnsi="Times New Roman" w:eastAsia="宋体" w:cs="Times New Roman"/>
                      <w:sz w:val="21"/>
                      <w:szCs w:val="21"/>
                      <w:u w:val="none"/>
                    </w:rPr>
                    <w:t>（2）</w:t>
                  </w:r>
                  <w:r>
                    <w:rPr>
                      <w:rFonts w:hint="eastAsia" w:ascii="Times New Roman" w:hAnsi="Times New Roman" w:eastAsia="宋体" w:cs="Times New Roman"/>
                      <w:color w:val="000000"/>
                      <w:sz w:val="21"/>
                      <w:szCs w:val="21"/>
                      <w:u w:val="none"/>
                    </w:rPr>
                    <w:t>危废暂存仓设有专人管理，管理人员配备可靠的个人安全防护用品。危险废物入库时，需分区存放，严格检验物品质量、数量、包装情况、有无泄漏。在贮存期内，定期检查，发现其包装破损、渗漏等，及时进行处理。库房铺设混凝土地面，保证贮存仓库的防渗、防漏。</w:t>
                  </w:r>
                  <w:r>
                    <w:rPr>
                      <w:rFonts w:hint="eastAsia" w:ascii="Times New Roman" w:hAnsi="Times New Roman" w:eastAsia="宋体" w:cs="Times New Roman"/>
                      <w:color w:val="000000"/>
                      <w:sz w:val="21"/>
                      <w:szCs w:val="21"/>
                      <w:u w:val="none"/>
                      <w:lang w:eastAsia="zh-CN"/>
                    </w:rPr>
                    <w:t>定期检查</w:t>
                  </w:r>
                  <w:r>
                    <w:rPr>
                      <w:rFonts w:hint="eastAsia" w:ascii="Times New Roman" w:hAnsi="Times New Roman" w:cs="Times New Roman"/>
                      <w:color w:val="000000"/>
                      <w:sz w:val="21"/>
                      <w:szCs w:val="21"/>
                      <w:u w:val="none"/>
                      <w:lang w:val="en-US" w:eastAsia="zh-CN"/>
                    </w:rPr>
                    <w:t>润滑油</w:t>
                  </w:r>
                  <w:r>
                    <w:rPr>
                      <w:rFonts w:hint="eastAsia" w:ascii="Times New Roman" w:hAnsi="Times New Roman" w:eastAsia="宋体" w:cs="Times New Roman"/>
                      <w:color w:val="000000"/>
                      <w:sz w:val="21"/>
                      <w:szCs w:val="21"/>
                      <w:u w:val="none"/>
                      <w:lang w:eastAsia="zh-CN"/>
                    </w:rPr>
                    <w:t>桶是否完整，避免包装桶破裂引起液体泄漏。</w:t>
                  </w:r>
                </w:p>
                <w:p w14:paraId="342833FE">
                  <w:pPr>
                    <w:keepNext w:val="0"/>
                    <w:keepLines w:val="0"/>
                    <w:widowControl/>
                    <w:suppressLineNumbers w:val="0"/>
                    <w:spacing w:before="0" w:beforeAutospacing="0" w:after="0" w:afterAutospacing="0"/>
                    <w:ind w:left="0" w:right="0"/>
                    <w:rPr>
                      <w:rFonts w:hint="default" w:ascii="Times New Roman" w:hAnsi="Times New Roman" w:eastAsia="宋体" w:cs="Times New Roman"/>
                      <w:sz w:val="21"/>
                      <w:szCs w:val="21"/>
                      <w:u w:val="none"/>
                    </w:rPr>
                  </w:pPr>
                  <w:r>
                    <w:rPr>
                      <w:rFonts w:hint="default" w:ascii="Times New Roman" w:hAnsi="Times New Roman" w:eastAsia="宋体" w:cs="Times New Roman"/>
                      <w:sz w:val="21"/>
                      <w:szCs w:val="21"/>
                      <w:u w:val="none"/>
                    </w:rPr>
                    <w:t>（</w:t>
                  </w:r>
                  <w:r>
                    <w:rPr>
                      <w:rFonts w:hint="eastAsia" w:ascii="Times New Roman" w:hAnsi="Times New Roman" w:eastAsia="宋体" w:cs="Times New Roman"/>
                      <w:sz w:val="21"/>
                      <w:szCs w:val="21"/>
                      <w:u w:val="none"/>
                    </w:rPr>
                    <w:t>3</w:t>
                  </w:r>
                  <w:r>
                    <w:rPr>
                      <w:rFonts w:hint="default" w:ascii="Times New Roman" w:hAnsi="Times New Roman" w:eastAsia="宋体" w:cs="Times New Roman"/>
                      <w:sz w:val="21"/>
                      <w:szCs w:val="21"/>
                      <w:u w:val="none"/>
                    </w:rPr>
                    <w:t>）</w:t>
                  </w:r>
                  <w:r>
                    <w:rPr>
                      <w:rFonts w:hint="eastAsia" w:ascii="Times New Roman" w:hAnsi="Times New Roman" w:eastAsia="宋体" w:cs="Times New Roman"/>
                      <w:sz w:val="21"/>
                      <w:szCs w:val="21"/>
                      <w:u w:val="none"/>
                    </w:rPr>
                    <w:t>必须建立必要的安全生产规章制度和措施，保证生产的正常、安全。建议企业建立健全的各级管理机制和机构，全面落实安全生产责任制，并严格执行。对过时的安全管理制度、岗位安全操作规程和作业安全规程，按相关的法律、法规有关规定予以补充和完善，持续改进。严格执行安全监督检查制度。严格防火制度，并配备一定数量的消防设施。认真作好安全检查记录，对发现的异常情况、安全隐患必须及时报告并在符合安全条件的情况下立即整改。</w:t>
                  </w:r>
                </w:p>
                <w:p w14:paraId="5DC09F57">
                  <w:pPr>
                    <w:keepNext w:val="0"/>
                    <w:keepLines w:val="0"/>
                    <w:widowControl/>
                    <w:suppressLineNumbers w:val="0"/>
                    <w:spacing w:before="0" w:beforeAutospacing="0" w:after="0" w:afterAutospacing="0"/>
                    <w:ind w:left="0" w:right="0"/>
                    <w:rPr>
                      <w:rFonts w:hint="default" w:ascii="Times New Roman" w:hAnsi="Times New Roman" w:cs="Times New Roman"/>
                      <w:u w:val="none"/>
                    </w:rPr>
                  </w:pPr>
                  <w:r>
                    <w:rPr>
                      <w:rFonts w:hint="eastAsia" w:ascii="Times New Roman" w:hAnsi="Times New Roman" w:eastAsia="宋体" w:cs="Times New Roman"/>
                      <w:sz w:val="21"/>
                      <w:szCs w:val="21"/>
                      <w:u w:val="none"/>
                    </w:rPr>
                    <w:t>（4）</w:t>
                  </w:r>
                  <w:r>
                    <w:rPr>
                      <w:rFonts w:hint="eastAsia" w:cs="Times New Roman"/>
                      <w:color w:val="000000"/>
                      <w:u w:val="none"/>
                      <w:lang w:eastAsia="zh-CN"/>
                    </w:rPr>
                    <w:t>一旦废气排放出现超标或处理效率下降过大，应立即检修，排除故障，必要时要停产检修，确保污染物达标排放</w:t>
                  </w:r>
                  <w:r>
                    <w:rPr>
                      <w:rFonts w:hint="eastAsia" w:ascii="Times New Roman" w:hAnsi="Times New Roman" w:eastAsia="宋体" w:cs="Times New Roman"/>
                      <w:color w:val="000000"/>
                      <w:kern w:val="0"/>
                      <w:sz w:val="21"/>
                      <w:szCs w:val="21"/>
                      <w:u w:val="none"/>
                    </w:rPr>
                    <w:t>。</w:t>
                  </w:r>
                </w:p>
              </w:tc>
            </w:tr>
            <w:tr w14:paraId="546387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000" w:type="pct"/>
                  <w:gridSpan w:val="2"/>
                  <w:tcBorders>
                    <w:tl2br w:val="nil"/>
                    <w:tr2bl w:val="nil"/>
                  </w:tcBorders>
                  <w:noWrap w:val="0"/>
                  <w:vAlign w:val="center"/>
                </w:tcPr>
                <w:p w14:paraId="2CF041B7">
                  <w:pPr>
                    <w:pStyle w:val="42"/>
                    <w:keepNext w:val="0"/>
                    <w:keepLines w:val="0"/>
                    <w:suppressLineNumbers w:val="0"/>
                    <w:spacing w:beforeAutospacing="0" w:after="0" w:afterAutospacing="0"/>
                    <w:ind w:left="0" w:firstLine="0" w:firstLineChars="0"/>
                    <w:jc w:val="left"/>
                    <w:rPr>
                      <w:rFonts w:hint="default" w:ascii="Times New Roman" w:hAnsi="Times New Roman" w:eastAsia="宋体" w:cs="Times New Roman"/>
                      <w:b/>
                      <w:sz w:val="21"/>
                      <w:szCs w:val="21"/>
                      <w:u w:val="none"/>
                    </w:rPr>
                  </w:pPr>
                  <w:r>
                    <w:rPr>
                      <w:rFonts w:hint="eastAsia" w:ascii="Times New Roman" w:hAnsi="Times New Roman" w:eastAsia="宋体" w:cs="Times New Roman"/>
                      <w:b/>
                      <w:sz w:val="21"/>
                      <w:szCs w:val="21"/>
                      <w:u w:val="none"/>
                    </w:rPr>
                    <w:t>填表说明</w:t>
                  </w:r>
                  <w:r>
                    <w:rPr>
                      <w:rFonts w:hint="default" w:ascii="Times New Roman" w:hAnsi="Times New Roman" w:eastAsia="宋体" w:cs="Times New Roman"/>
                      <w:b/>
                      <w:sz w:val="21"/>
                      <w:szCs w:val="21"/>
                      <w:u w:val="none"/>
                    </w:rPr>
                    <w:t>:</w:t>
                  </w:r>
                  <w:r>
                    <w:rPr>
                      <w:rFonts w:hint="default" w:ascii="Times New Roman" w:hAnsi="Times New Roman" w:eastAsia="宋体" w:cs="Times New Roman"/>
                      <w:sz w:val="21"/>
                      <w:szCs w:val="21"/>
                      <w:u w:val="none"/>
                    </w:rPr>
                    <w:t>无</w:t>
                  </w:r>
                </w:p>
              </w:tc>
            </w:tr>
          </w:tbl>
          <w:p w14:paraId="7B8FBECF">
            <w:pPr>
              <w:pStyle w:val="133"/>
              <w:keepNext w:val="0"/>
              <w:keepLines w:val="0"/>
              <w:suppressLineNumbers w:val="0"/>
              <w:spacing w:before="0" w:beforeAutospacing="0" w:after="0" w:afterAutospacing="0" w:line="360" w:lineRule="auto"/>
              <w:ind w:left="0" w:right="0" w:firstLine="482"/>
              <w:rPr>
                <w:rFonts w:hint="eastAsia" w:ascii="Times New Roman" w:hAnsi="Times New Roman" w:cs="Times New Roman"/>
                <w:b/>
                <w:bCs/>
                <w:color w:val="000000"/>
                <w:u w:val="none"/>
              </w:rPr>
            </w:pPr>
            <w:r>
              <w:rPr>
                <w:rFonts w:hint="eastAsia" w:ascii="Times New Roman" w:hAnsi="Times New Roman" w:cs="Times New Roman"/>
                <w:b/>
                <w:bCs/>
                <w:color w:val="000000"/>
                <w:u w:val="none"/>
                <w:lang w:val="en-US" w:eastAsia="zh-CN"/>
              </w:rPr>
              <w:t>6.4</w:t>
            </w:r>
            <w:r>
              <w:rPr>
                <w:rFonts w:hint="eastAsia" w:ascii="Times New Roman" w:hAnsi="Times New Roman" w:cs="Times New Roman"/>
                <w:b/>
                <w:bCs/>
                <w:color w:val="000000"/>
                <w:u w:val="none"/>
              </w:rPr>
              <w:t>、环境风险识别</w:t>
            </w:r>
          </w:p>
          <w:p w14:paraId="1B5F4227">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0"/>
              <w:textAlignment w:val="auto"/>
              <w:rPr>
                <w:rFonts w:hint="eastAsia" w:ascii="Times New Roman" w:hAnsi="Times New Roman" w:eastAsia="宋体" w:cs="Times New Roman"/>
                <w:color w:val="000000"/>
                <w:u w:val="none"/>
              </w:rPr>
            </w:pPr>
            <w:r>
              <w:rPr>
                <w:rFonts w:hint="eastAsia" w:ascii="Times New Roman" w:hAnsi="Times New Roman" w:eastAsia="宋体" w:cs="Times New Roman"/>
                <w:color w:val="000000"/>
                <w:u w:val="none"/>
              </w:rPr>
              <w:t>对项目风险进行分析，项目环境分析识别情况见下表。</w:t>
            </w:r>
          </w:p>
          <w:p w14:paraId="4D1324EF">
            <w:pPr>
              <w:pStyle w:val="133"/>
              <w:keepNext w:val="0"/>
              <w:keepLines w:val="0"/>
              <w:suppressLineNumbers w:val="0"/>
              <w:spacing w:before="0" w:beforeAutospacing="0" w:after="0" w:afterAutospacing="0" w:line="360" w:lineRule="auto"/>
              <w:ind w:left="0" w:leftChars="0" w:right="0" w:firstLine="0" w:firstLineChars="0"/>
              <w:jc w:val="center"/>
              <w:rPr>
                <w:rFonts w:hint="eastAsia" w:ascii="Times New Roman" w:hAnsi="Times New Roman" w:cs="Times New Roman"/>
                <w:b/>
                <w:bCs/>
                <w:color w:val="000000"/>
                <w:sz w:val="21"/>
                <w:szCs w:val="21"/>
                <w:u w:val="none"/>
              </w:rPr>
            </w:pPr>
            <w:r>
              <w:rPr>
                <w:rFonts w:hint="eastAsia" w:ascii="Times New Roman" w:hAnsi="Times New Roman" w:cs="Times New Roman"/>
                <w:b/>
                <w:bCs/>
                <w:color w:val="000000"/>
                <w:sz w:val="21"/>
                <w:szCs w:val="21"/>
                <w:u w:val="none"/>
              </w:rPr>
              <w:t>表 4-2</w:t>
            </w:r>
            <w:r>
              <w:rPr>
                <w:rFonts w:hint="eastAsia" w:cs="Times New Roman"/>
                <w:b/>
                <w:bCs/>
                <w:color w:val="000000"/>
                <w:sz w:val="21"/>
                <w:szCs w:val="21"/>
                <w:u w:val="none"/>
                <w:lang w:val="en-US" w:eastAsia="zh-CN"/>
              </w:rPr>
              <w:t>2</w:t>
            </w:r>
            <w:r>
              <w:rPr>
                <w:rFonts w:hint="eastAsia" w:ascii="Times New Roman" w:hAnsi="Times New Roman" w:cs="Times New Roman"/>
                <w:b/>
                <w:bCs/>
                <w:color w:val="000000"/>
                <w:sz w:val="21"/>
                <w:szCs w:val="21"/>
                <w:u w:val="none"/>
              </w:rPr>
              <w:t xml:space="preserve"> 项目环境风险识别情况表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23"/>
              <w:gridCol w:w="1015"/>
              <w:gridCol w:w="1111"/>
              <w:gridCol w:w="2491"/>
              <w:gridCol w:w="1549"/>
              <w:gridCol w:w="1590"/>
            </w:tblGrid>
            <w:tr w14:paraId="52AB28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26" w:type="pct"/>
                  <w:tcBorders>
                    <w:tl2br w:val="nil"/>
                    <w:tr2bl w:val="nil"/>
                  </w:tcBorders>
                  <w:shd w:val="clear" w:color="auto" w:fill="auto"/>
                  <w:vAlign w:val="center"/>
                </w:tcPr>
                <w:p w14:paraId="47C06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598" w:type="pct"/>
                  <w:tcBorders>
                    <w:tl2br w:val="nil"/>
                    <w:tr2bl w:val="nil"/>
                  </w:tcBorders>
                  <w:shd w:val="clear" w:color="auto" w:fill="auto"/>
                  <w:vAlign w:val="center"/>
                </w:tcPr>
                <w:p w14:paraId="1DA1C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危险</w:t>
                  </w:r>
                  <w:r>
                    <w:rPr>
                      <w:rFonts w:hint="default" w:ascii="Times New Roman" w:hAnsi="Times New Roman" w:eastAsia="宋体" w:cs="Times New Roman"/>
                      <w:b/>
                      <w:bCs/>
                      <w:i w:val="0"/>
                      <w:iCs w:val="0"/>
                      <w:color w:val="000000"/>
                      <w:kern w:val="0"/>
                      <w:sz w:val="21"/>
                      <w:szCs w:val="21"/>
                      <w:u w:val="none"/>
                      <w:lang w:val="en-US" w:eastAsia="zh-CN" w:bidi="ar"/>
                    </w:rPr>
                    <w:br w:type="textWrapping"/>
                  </w:r>
                  <w:r>
                    <w:rPr>
                      <w:rFonts w:hint="default" w:ascii="Times New Roman" w:hAnsi="Times New Roman" w:eastAsia="宋体" w:cs="Times New Roman"/>
                      <w:b/>
                      <w:bCs/>
                      <w:i w:val="0"/>
                      <w:iCs w:val="0"/>
                      <w:color w:val="000000"/>
                      <w:kern w:val="0"/>
                      <w:sz w:val="21"/>
                      <w:szCs w:val="21"/>
                      <w:u w:val="none"/>
                      <w:lang w:val="en-US" w:eastAsia="zh-CN" w:bidi="ar"/>
                    </w:rPr>
                    <w:t>单元</w:t>
                  </w:r>
                </w:p>
              </w:tc>
              <w:tc>
                <w:tcPr>
                  <w:tcW w:w="655" w:type="pct"/>
                  <w:tcBorders>
                    <w:tl2br w:val="nil"/>
                    <w:tr2bl w:val="nil"/>
                  </w:tcBorders>
                  <w:shd w:val="clear" w:color="auto" w:fill="auto"/>
                  <w:vAlign w:val="center"/>
                </w:tcPr>
                <w:p w14:paraId="09D51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风险源</w:t>
                  </w:r>
                </w:p>
              </w:tc>
              <w:tc>
                <w:tcPr>
                  <w:tcW w:w="1468" w:type="pct"/>
                  <w:tcBorders>
                    <w:tl2br w:val="nil"/>
                    <w:tr2bl w:val="nil"/>
                  </w:tcBorders>
                  <w:shd w:val="clear" w:color="auto" w:fill="auto"/>
                  <w:vAlign w:val="center"/>
                </w:tcPr>
                <w:p w14:paraId="6ED1D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主要危险物质</w:t>
                  </w:r>
                </w:p>
              </w:tc>
              <w:tc>
                <w:tcPr>
                  <w:tcW w:w="913" w:type="pct"/>
                  <w:tcBorders>
                    <w:tl2br w:val="nil"/>
                    <w:tr2bl w:val="nil"/>
                  </w:tcBorders>
                  <w:shd w:val="clear" w:color="auto" w:fill="auto"/>
                  <w:vAlign w:val="center"/>
                </w:tcPr>
                <w:p w14:paraId="77336E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环境风险类型</w:t>
                  </w:r>
                </w:p>
              </w:tc>
              <w:tc>
                <w:tcPr>
                  <w:tcW w:w="937" w:type="pct"/>
                  <w:tcBorders>
                    <w:tl2br w:val="nil"/>
                    <w:tr2bl w:val="nil"/>
                  </w:tcBorders>
                  <w:shd w:val="clear" w:color="auto" w:fill="auto"/>
                  <w:vAlign w:val="center"/>
                </w:tcPr>
                <w:p w14:paraId="40AE8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环境影响要素</w:t>
                  </w:r>
                </w:p>
              </w:tc>
            </w:tr>
            <w:tr w14:paraId="037A2B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26" w:type="pct"/>
                  <w:tcBorders>
                    <w:tl2br w:val="nil"/>
                    <w:tr2bl w:val="nil"/>
                  </w:tcBorders>
                  <w:shd w:val="clear" w:color="auto" w:fill="auto"/>
                  <w:vAlign w:val="center"/>
                </w:tcPr>
                <w:p w14:paraId="59E9D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598" w:type="pct"/>
                  <w:tcBorders>
                    <w:tl2br w:val="nil"/>
                    <w:tr2bl w:val="nil"/>
                  </w:tcBorders>
                  <w:shd w:val="clear" w:color="auto" w:fill="auto"/>
                  <w:vAlign w:val="center"/>
                </w:tcPr>
                <w:p w14:paraId="3B112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生产区</w:t>
                  </w:r>
                </w:p>
              </w:tc>
              <w:tc>
                <w:tcPr>
                  <w:tcW w:w="655" w:type="pct"/>
                  <w:tcBorders>
                    <w:tl2br w:val="nil"/>
                    <w:tr2bl w:val="nil"/>
                  </w:tcBorders>
                  <w:shd w:val="clear" w:color="auto" w:fill="auto"/>
                  <w:vAlign w:val="center"/>
                </w:tcPr>
                <w:p w14:paraId="40AD1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生产设备</w:t>
                  </w:r>
                </w:p>
              </w:tc>
              <w:tc>
                <w:tcPr>
                  <w:tcW w:w="1468" w:type="pct"/>
                  <w:tcBorders>
                    <w:tl2br w:val="nil"/>
                    <w:tr2bl w:val="nil"/>
                  </w:tcBorders>
                  <w:shd w:val="clear" w:color="auto" w:fill="auto"/>
                  <w:vAlign w:val="center"/>
                </w:tcPr>
                <w:p w14:paraId="203A1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油墨、胶粘剂、</w:t>
                  </w:r>
                  <w:r>
                    <w:rPr>
                      <w:rFonts w:hint="eastAsia" w:cs="Times New Roman"/>
                      <w:i w:val="0"/>
                      <w:iCs w:val="0"/>
                      <w:color w:val="000000"/>
                      <w:kern w:val="0"/>
                      <w:sz w:val="21"/>
                      <w:szCs w:val="21"/>
                      <w:u w:val="none"/>
                      <w:lang w:val="en-US" w:eastAsia="zh-CN" w:bidi="ar"/>
                    </w:rPr>
                    <w:t>固化剂、</w:t>
                  </w:r>
                  <w:r>
                    <w:rPr>
                      <w:rFonts w:hint="default" w:ascii="Times New Roman" w:hAnsi="Times New Roman" w:eastAsia="宋体" w:cs="Times New Roman"/>
                      <w:i w:val="0"/>
                      <w:iCs w:val="0"/>
                      <w:color w:val="000000"/>
                      <w:kern w:val="0"/>
                      <w:sz w:val="21"/>
                      <w:szCs w:val="21"/>
                      <w:u w:val="none"/>
                      <w:lang w:val="en-US" w:eastAsia="zh-CN" w:bidi="ar"/>
                    </w:rPr>
                    <w:t>乙酸乙酯、</w:t>
                  </w:r>
                  <w:r>
                    <w:rPr>
                      <w:rFonts w:hint="eastAsia" w:cs="Times New Roman"/>
                      <w:i w:val="0"/>
                      <w:iCs w:val="0"/>
                      <w:color w:val="000000"/>
                      <w:kern w:val="0"/>
                      <w:sz w:val="21"/>
                      <w:szCs w:val="21"/>
                      <w:u w:val="none"/>
                      <w:lang w:val="en-US" w:eastAsia="zh-CN" w:bidi="ar"/>
                    </w:rPr>
                    <w:t>酒精等</w:t>
                  </w:r>
                </w:p>
              </w:tc>
              <w:tc>
                <w:tcPr>
                  <w:tcW w:w="913" w:type="pct"/>
                  <w:tcBorders>
                    <w:tl2br w:val="nil"/>
                    <w:tr2bl w:val="nil"/>
                  </w:tcBorders>
                  <w:shd w:val="clear" w:color="auto" w:fill="auto"/>
                  <w:vAlign w:val="center"/>
                </w:tcPr>
                <w:p w14:paraId="20083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泄漏、火灾、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爆炸</w:t>
                  </w:r>
                </w:p>
              </w:tc>
              <w:tc>
                <w:tcPr>
                  <w:tcW w:w="937" w:type="pct"/>
                  <w:tcBorders>
                    <w:tl2br w:val="nil"/>
                    <w:tr2bl w:val="nil"/>
                  </w:tcBorders>
                  <w:shd w:val="clear" w:color="auto" w:fill="auto"/>
                  <w:vAlign w:val="center"/>
                </w:tcPr>
                <w:p w14:paraId="36B9E2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大气、地表水、</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地下水、土壤</w:t>
                  </w:r>
                </w:p>
              </w:tc>
            </w:tr>
            <w:tr w14:paraId="2F4126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26" w:type="pct"/>
                  <w:tcBorders>
                    <w:tl2br w:val="nil"/>
                    <w:tr2bl w:val="nil"/>
                  </w:tcBorders>
                  <w:shd w:val="clear" w:color="auto" w:fill="auto"/>
                  <w:vAlign w:val="center"/>
                </w:tcPr>
                <w:p w14:paraId="25044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598" w:type="pct"/>
                  <w:tcBorders>
                    <w:tl2br w:val="nil"/>
                    <w:tr2bl w:val="nil"/>
                  </w:tcBorders>
                  <w:shd w:val="clear" w:color="auto" w:fill="auto"/>
                  <w:vAlign w:val="center"/>
                </w:tcPr>
                <w:p w14:paraId="77F4C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仓储区</w:t>
                  </w:r>
                </w:p>
              </w:tc>
              <w:tc>
                <w:tcPr>
                  <w:tcW w:w="655" w:type="pct"/>
                  <w:tcBorders>
                    <w:tl2br w:val="nil"/>
                    <w:tr2bl w:val="nil"/>
                  </w:tcBorders>
                  <w:shd w:val="clear" w:color="auto" w:fill="auto"/>
                  <w:vAlign w:val="center"/>
                </w:tcPr>
                <w:p w14:paraId="08AB4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油墨胶粘</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剂溶剂暂</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存区</w:t>
                  </w:r>
                </w:p>
              </w:tc>
              <w:tc>
                <w:tcPr>
                  <w:tcW w:w="1468" w:type="pct"/>
                  <w:tcBorders>
                    <w:tl2br w:val="nil"/>
                    <w:tr2bl w:val="nil"/>
                  </w:tcBorders>
                  <w:shd w:val="clear" w:color="auto" w:fill="auto"/>
                  <w:vAlign w:val="center"/>
                </w:tcPr>
                <w:p w14:paraId="28B53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油墨、胶粘剂、</w:t>
                  </w:r>
                  <w:r>
                    <w:rPr>
                      <w:rFonts w:hint="eastAsia" w:cs="Times New Roman"/>
                      <w:i w:val="0"/>
                      <w:iCs w:val="0"/>
                      <w:color w:val="000000"/>
                      <w:kern w:val="0"/>
                      <w:sz w:val="21"/>
                      <w:szCs w:val="21"/>
                      <w:u w:val="none"/>
                      <w:lang w:val="en-US" w:eastAsia="zh-CN" w:bidi="ar"/>
                    </w:rPr>
                    <w:t>固化剂、</w:t>
                  </w:r>
                  <w:r>
                    <w:rPr>
                      <w:rFonts w:hint="default" w:ascii="Times New Roman" w:hAnsi="Times New Roman" w:eastAsia="宋体" w:cs="Times New Roman"/>
                      <w:i w:val="0"/>
                      <w:iCs w:val="0"/>
                      <w:color w:val="000000"/>
                      <w:kern w:val="0"/>
                      <w:sz w:val="21"/>
                      <w:szCs w:val="21"/>
                      <w:u w:val="none"/>
                      <w:lang w:val="en-US" w:eastAsia="zh-CN" w:bidi="ar"/>
                    </w:rPr>
                    <w:t>乙酸乙酯、</w:t>
                  </w:r>
                  <w:r>
                    <w:rPr>
                      <w:rFonts w:hint="eastAsia" w:cs="Times New Roman"/>
                      <w:i w:val="0"/>
                      <w:iCs w:val="0"/>
                      <w:color w:val="000000"/>
                      <w:kern w:val="0"/>
                      <w:sz w:val="21"/>
                      <w:szCs w:val="21"/>
                      <w:u w:val="none"/>
                      <w:lang w:val="en-US" w:eastAsia="zh-CN" w:bidi="ar"/>
                    </w:rPr>
                    <w:t>酒精、润滑油等</w:t>
                  </w:r>
                </w:p>
              </w:tc>
              <w:tc>
                <w:tcPr>
                  <w:tcW w:w="913" w:type="pct"/>
                  <w:tcBorders>
                    <w:tl2br w:val="nil"/>
                    <w:tr2bl w:val="nil"/>
                  </w:tcBorders>
                  <w:shd w:val="clear" w:color="auto" w:fill="auto"/>
                  <w:vAlign w:val="center"/>
                </w:tcPr>
                <w:p w14:paraId="1DFFE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泄漏、火灾、</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爆炸</w:t>
                  </w:r>
                </w:p>
              </w:tc>
              <w:tc>
                <w:tcPr>
                  <w:tcW w:w="937" w:type="pct"/>
                  <w:tcBorders>
                    <w:tl2br w:val="nil"/>
                    <w:tr2bl w:val="nil"/>
                  </w:tcBorders>
                  <w:shd w:val="clear" w:color="auto" w:fill="auto"/>
                  <w:vAlign w:val="center"/>
                </w:tcPr>
                <w:p w14:paraId="2DFE1E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大气、地表水、</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地下水、土壤</w:t>
                  </w:r>
                </w:p>
              </w:tc>
            </w:tr>
            <w:tr w14:paraId="021EAB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26" w:type="pct"/>
                  <w:tcBorders>
                    <w:tl2br w:val="nil"/>
                    <w:tr2bl w:val="nil"/>
                  </w:tcBorders>
                  <w:shd w:val="clear" w:color="auto" w:fill="auto"/>
                  <w:vAlign w:val="center"/>
                </w:tcPr>
                <w:p w14:paraId="40532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598" w:type="pct"/>
                  <w:tcBorders>
                    <w:tl2br w:val="nil"/>
                    <w:tr2bl w:val="nil"/>
                  </w:tcBorders>
                  <w:shd w:val="clear" w:color="auto" w:fill="auto"/>
                  <w:vAlign w:val="center"/>
                </w:tcPr>
                <w:p w14:paraId="3B1FA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危废库</w:t>
                  </w:r>
                </w:p>
              </w:tc>
              <w:tc>
                <w:tcPr>
                  <w:tcW w:w="655" w:type="pct"/>
                  <w:tcBorders>
                    <w:tl2br w:val="nil"/>
                    <w:tr2bl w:val="nil"/>
                  </w:tcBorders>
                  <w:shd w:val="clear" w:color="auto" w:fill="auto"/>
                  <w:vAlign w:val="center"/>
                </w:tcPr>
                <w:p w14:paraId="1577F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危废库</w:t>
                  </w:r>
                </w:p>
              </w:tc>
              <w:tc>
                <w:tcPr>
                  <w:tcW w:w="1468" w:type="pct"/>
                  <w:tcBorders>
                    <w:tl2br w:val="nil"/>
                    <w:tr2bl w:val="nil"/>
                  </w:tcBorders>
                  <w:shd w:val="clear" w:color="auto" w:fill="auto"/>
                  <w:vAlign w:val="center"/>
                </w:tcPr>
                <w:p w14:paraId="72AC6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废油墨桶、废溶剂桶、废</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胶粘剂桶、废活性炭等</w:t>
                  </w:r>
                </w:p>
              </w:tc>
              <w:tc>
                <w:tcPr>
                  <w:tcW w:w="913" w:type="pct"/>
                  <w:tcBorders>
                    <w:tl2br w:val="nil"/>
                    <w:tr2bl w:val="nil"/>
                  </w:tcBorders>
                  <w:shd w:val="clear" w:color="auto" w:fill="auto"/>
                  <w:vAlign w:val="center"/>
                </w:tcPr>
                <w:p w14:paraId="6B8FB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泄漏、火灾</w:t>
                  </w:r>
                </w:p>
              </w:tc>
              <w:tc>
                <w:tcPr>
                  <w:tcW w:w="937" w:type="pct"/>
                  <w:tcBorders>
                    <w:tl2br w:val="nil"/>
                    <w:tr2bl w:val="nil"/>
                  </w:tcBorders>
                  <w:shd w:val="clear" w:color="auto" w:fill="auto"/>
                  <w:vAlign w:val="center"/>
                </w:tcPr>
                <w:p w14:paraId="5E694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大气、地表水、</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地下水、土壤</w:t>
                  </w:r>
                </w:p>
              </w:tc>
            </w:tr>
            <w:tr w14:paraId="53D68D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26" w:type="pct"/>
                  <w:tcBorders>
                    <w:tl2br w:val="nil"/>
                    <w:tr2bl w:val="nil"/>
                  </w:tcBorders>
                  <w:shd w:val="clear" w:color="auto" w:fill="auto"/>
                  <w:vAlign w:val="center"/>
                </w:tcPr>
                <w:p w14:paraId="47A3A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4</w:t>
                  </w:r>
                </w:p>
              </w:tc>
              <w:tc>
                <w:tcPr>
                  <w:tcW w:w="598" w:type="pct"/>
                  <w:tcBorders>
                    <w:tl2br w:val="nil"/>
                    <w:tr2bl w:val="nil"/>
                  </w:tcBorders>
                  <w:shd w:val="clear" w:color="auto" w:fill="auto"/>
                  <w:vAlign w:val="center"/>
                </w:tcPr>
                <w:p w14:paraId="60061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废气处理单元</w:t>
                  </w:r>
                </w:p>
              </w:tc>
              <w:tc>
                <w:tcPr>
                  <w:tcW w:w="655" w:type="pct"/>
                  <w:tcBorders>
                    <w:tl2br w:val="nil"/>
                    <w:tr2bl w:val="nil"/>
                  </w:tcBorders>
                  <w:shd w:val="clear" w:color="auto" w:fill="auto"/>
                  <w:vAlign w:val="center"/>
                </w:tcPr>
                <w:p w14:paraId="1A009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废气处理设施</w:t>
                  </w:r>
                </w:p>
              </w:tc>
              <w:tc>
                <w:tcPr>
                  <w:tcW w:w="1468" w:type="pct"/>
                  <w:tcBorders>
                    <w:tl2br w:val="nil"/>
                    <w:tr2bl w:val="nil"/>
                  </w:tcBorders>
                  <w:shd w:val="clear" w:color="auto" w:fill="auto"/>
                  <w:vAlign w:val="center"/>
                </w:tcPr>
                <w:p w14:paraId="0B7807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挥发性有机物废气</w:t>
                  </w:r>
                </w:p>
              </w:tc>
              <w:tc>
                <w:tcPr>
                  <w:tcW w:w="913" w:type="pct"/>
                  <w:tcBorders>
                    <w:tl2br w:val="nil"/>
                    <w:tr2bl w:val="nil"/>
                  </w:tcBorders>
                  <w:shd w:val="clear" w:color="auto" w:fill="auto"/>
                  <w:vAlign w:val="center"/>
                </w:tcPr>
                <w:p w14:paraId="30A50C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设备故障</w:t>
                  </w:r>
                </w:p>
              </w:tc>
              <w:tc>
                <w:tcPr>
                  <w:tcW w:w="937" w:type="pct"/>
                  <w:tcBorders>
                    <w:tl2br w:val="nil"/>
                    <w:tr2bl w:val="nil"/>
                  </w:tcBorders>
                  <w:shd w:val="clear" w:color="auto" w:fill="auto"/>
                  <w:vAlign w:val="center"/>
                </w:tcPr>
                <w:p w14:paraId="45B5E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大气</w:t>
                  </w:r>
                </w:p>
              </w:tc>
            </w:tr>
          </w:tbl>
          <w:p w14:paraId="3C16F6FF">
            <w:pPr>
              <w:pStyle w:val="133"/>
              <w:keepNext w:val="0"/>
              <w:keepLines w:val="0"/>
              <w:suppressLineNumbers w:val="0"/>
              <w:spacing w:before="0" w:beforeAutospacing="0" w:after="0" w:afterAutospacing="0" w:line="360" w:lineRule="auto"/>
              <w:ind w:left="0" w:leftChars="0" w:right="0" w:firstLine="0" w:firstLineChars="0"/>
              <w:jc w:val="center"/>
              <w:rPr>
                <w:rFonts w:hint="eastAsia" w:ascii="Times New Roman" w:hAnsi="Times New Roman" w:cs="Times New Roman"/>
                <w:b/>
                <w:bCs/>
                <w:color w:val="000000"/>
                <w:sz w:val="21"/>
                <w:szCs w:val="21"/>
                <w:u w:val="none"/>
              </w:rPr>
            </w:pPr>
          </w:p>
          <w:p w14:paraId="2F69DD61">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bCs/>
                <w:color w:val="000000"/>
                <w:u w:val="none"/>
                <w:lang w:val="en-US" w:eastAsia="zh-CN"/>
              </w:rPr>
            </w:pPr>
            <w:r>
              <w:rPr>
                <w:rFonts w:hint="eastAsia" w:ascii="Times New Roman" w:hAnsi="Times New Roman" w:eastAsia="宋体" w:cs="Times New Roman"/>
                <w:b/>
                <w:bCs/>
                <w:color w:val="000000"/>
                <w:u w:val="none"/>
                <w:lang w:val="en-US" w:eastAsia="zh-CN"/>
              </w:rPr>
              <w:t xml:space="preserve">6.5、环境风险分析 </w:t>
            </w:r>
          </w:p>
          <w:p w14:paraId="3C02B9B1">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 xml:space="preserve">根据项目情况，本项目主要事故类型： </w:t>
            </w:r>
          </w:p>
          <w:p w14:paraId="06F9BEB7">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①厂区发生火灾爆炸</w:t>
            </w:r>
            <w:r>
              <w:rPr>
                <w:rFonts w:hint="eastAsia" w:cs="Times New Roman"/>
                <w:b w:val="0"/>
                <w:bCs w:val="0"/>
                <w:color w:val="000000"/>
                <w:u w:val="none"/>
                <w:lang w:val="en-US" w:eastAsia="zh-CN"/>
              </w:rPr>
              <w:t>引发</w:t>
            </w:r>
            <w:r>
              <w:rPr>
                <w:rFonts w:hint="eastAsia" w:ascii="Times New Roman" w:hAnsi="Times New Roman" w:eastAsia="宋体" w:cs="Times New Roman"/>
                <w:b w:val="0"/>
                <w:bCs w:val="0"/>
                <w:color w:val="000000"/>
                <w:u w:val="none"/>
                <w:lang w:val="en-US" w:eastAsia="zh-CN"/>
              </w:rPr>
              <w:t xml:space="preserve">次生环境事件； </w:t>
            </w:r>
          </w:p>
          <w:p w14:paraId="32B905B2">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②</w:t>
            </w:r>
            <w:r>
              <w:rPr>
                <w:rFonts w:hint="eastAsia" w:cs="Times New Roman"/>
                <w:b w:val="0"/>
                <w:bCs w:val="0"/>
                <w:color w:val="000000"/>
                <w:u w:val="none"/>
                <w:lang w:val="en-US" w:eastAsia="zh-CN"/>
              </w:rPr>
              <w:t>危险化学品</w:t>
            </w:r>
            <w:r>
              <w:rPr>
                <w:rFonts w:hint="eastAsia" w:ascii="Times New Roman" w:hAnsi="Times New Roman" w:eastAsia="宋体" w:cs="Times New Roman"/>
                <w:b w:val="0"/>
                <w:bCs w:val="0"/>
                <w:color w:val="000000"/>
                <w:u w:val="none"/>
                <w:lang w:val="en-US" w:eastAsia="zh-CN"/>
              </w:rPr>
              <w:t xml:space="preserve">、危险废物泄漏突发环境事件； </w:t>
            </w:r>
          </w:p>
          <w:p w14:paraId="00DA7E3E">
            <w:pPr>
              <w:pStyle w:val="133"/>
              <w:keepNext w:val="0"/>
              <w:keepLines w:val="0"/>
              <w:suppressLineNumbers w:val="0"/>
              <w:spacing w:before="0" w:beforeAutospacing="0" w:after="0" w:afterAutospacing="0" w:line="360" w:lineRule="auto"/>
              <w:ind w:left="0" w:right="0" w:firstLine="482"/>
              <w:rPr>
                <w:rFonts w:hint="eastAsia" w:ascii="Times New Roman" w:hAnsi="Times New Roman" w:cs="Times New Roman"/>
                <w:b/>
                <w:bCs/>
                <w:color w:val="000000"/>
                <w:sz w:val="21"/>
                <w:szCs w:val="21"/>
                <w:u w:val="none"/>
              </w:rPr>
            </w:pPr>
            <w:r>
              <w:rPr>
                <w:rFonts w:hint="eastAsia" w:ascii="Times New Roman" w:hAnsi="Times New Roman" w:eastAsia="宋体" w:cs="Times New Roman"/>
                <w:b w:val="0"/>
                <w:bCs w:val="0"/>
                <w:color w:val="000000"/>
                <w:u w:val="none"/>
                <w:lang w:val="en-US" w:eastAsia="zh-CN"/>
              </w:rPr>
              <w:t>③废气处理设备发生故障，导致污染物超标排放，影响大气环境。</w:t>
            </w:r>
          </w:p>
          <w:p w14:paraId="519CF6C3">
            <w:pPr>
              <w:pStyle w:val="133"/>
              <w:keepNext w:val="0"/>
              <w:keepLines w:val="0"/>
              <w:suppressLineNumbers w:val="0"/>
              <w:spacing w:before="0" w:beforeAutospacing="0" w:after="0" w:afterAutospacing="0" w:line="360" w:lineRule="auto"/>
              <w:ind w:left="0" w:right="0" w:firstLine="482"/>
              <w:rPr>
                <w:rFonts w:hint="eastAsia" w:ascii="Times New Roman" w:hAnsi="Times New Roman" w:cs="Times New Roman"/>
                <w:b/>
                <w:bCs/>
                <w:color w:val="000000"/>
                <w:u w:val="none"/>
                <w:lang w:val="en-US" w:eastAsia="zh-CN"/>
              </w:rPr>
            </w:pPr>
            <w:r>
              <w:rPr>
                <w:rFonts w:hint="eastAsia" w:ascii="Times New Roman" w:hAnsi="Times New Roman" w:cs="Times New Roman"/>
                <w:b/>
                <w:bCs/>
                <w:color w:val="000000"/>
                <w:u w:val="none"/>
                <w:lang w:val="en-US" w:eastAsia="zh-CN"/>
              </w:rPr>
              <w:t>6.6、</w:t>
            </w:r>
            <w:r>
              <w:rPr>
                <w:rFonts w:hint="eastAsia" w:ascii="Times New Roman" w:hAnsi="Times New Roman" w:cs="Times New Roman"/>
                <w:b/>
                <w:bCs/>
                <w:color w:val="000000"/>
                <w:u w:val="none"/>
              </w:rPr>
              <w:t>风险事故</w:t>
            </w:r>
            <w:r>
              <w:rPr>
                <w:rFonts w:hint="eastAsia" w:cs="Times New Roman"/>
                <w:b/>
                <w:bCs/>
                <w:color w:val="000000"/>
                <w:u w:val="none"/>
                <w:lang w:val="en-US" w:eastAsia="zh-CN"/>
              </w:rPr>
              <w:t>防范</w:t>
            </w:r>
            <w:r>
              <w:rPr>
                <w:rFonts w:hint="eastAsia" w:ascii="Times New Roman" w:hAnsi="Times New Roman" w:cs="Times New Roman"/>
                <w:b/>
                <w:bCs/>
                <w:color w:val="000000"/>
                <w:u w:val="none"/>
                <w:lang w:val="en-US" w:eastAsia="zh-CN"/>
              </w:rPr>
              <w:t>措施</w:t>
            </w:r>
          </w:p>
          <w:p w14:paraId="3ADFD8D1">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cs="Times New Roman"/>
                <w:b w:val="0"/>
                <w:bCs w:val="0"/>
                <w:color w:val="000000"/>
                <w:u w:val="none"/>
                <w:lang w:val="en-US" w:eastAsia="zh-CN"/>
              </w:rPr>
              <w:t>6.6.1</w:t>
            </w:r>
            <w:r>
              <w:rPr>
                <w:rFonts w:hint="eastAsia" w:ascii="Times New Roman" w:hAnsi="Times New Roman" w:eastAsia="宋体" w:cs="Times New Roman"/>
                <w:b w:val="0"/>
                <w:bCs w:val="0"/>
                <w:color w:val="000000"/>
                <w:u w:val="none"/>
                <w:lang w:val="en-US" w:eastAsia="zh-CN"/>
              </w:rPr>
              <w:t>危险化学品储存防范措施</w:t>
            </w:r>
          </w:p>
          <w:p w14:paraId="6B5921B3">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项目危化品库用于储存各类化学品原料。根据《危险化学品仓库储存通则》（GB 15603-2022）中要求，在贮存危险化学品的过程中，应做到以下几点：</w:t>
            </w:r>
          </w:p>
          <w:p w14:paraId="2F665742">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1、贮存仓库必须配备有专业知识的技术人员，库房及场所应设专人管理，管理人员必须配备可靠的个人安全防护用品。</w:t>
            </w:r>
          </w:p>
          <w:p w14:paraId="71224251">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2、原料入库时，应严格检验物品质量、数量、包装情况、有无泄漏。入库后应采取适当的养护措施，在贮存期内，定期检查，发现其品质变化、包装破损、渗漏、稳定剂短缺等，应及时处理。</w:t>
            </w:r>
          </w:p>
          <w:p w14:paraId="517719A7">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3、库房温度、湿度应严格控制、经常检查，发现变化及时调整。并配备相应消防设施。</w:t>
            </w:r>
          </w:p>
          <w:p w14:paraId="46E43ED5">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4、使用危险化学品的过程中，泄漏或渗漏的包装容器应迅速移至安全区域。</w:t>
            </w:r>
          </w:p>
          <w:p w14:paraId="300C3BB4">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5、仓库工作人员应进行培训，经考核合格后持证上岗。</w:t>
            </w:r>
          </w:p>
          <w:p w14:paraId="6BFAB037">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6、应制定应急处理措施，编制事故应急预案，应对意外突发事件。</w:t>
            </w:r>
          </w:p>
          <w:p w14:paraId="4FAC1CF4">
            <w:pPr>
              <w:pStyle w:val="133"/>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7、危化品库地面进行防腐、防渗处理，同时在危化品库四周设置泄漏液收集沟，如发生泄漏事故，泄漏液经收集后做危险废物处置</w:t>
            </w:r>
            <w:r>
              <w:rPr>
                <w:rFonts w:hint="eastAsia" w:cs="Times New Roman"/>
                <w:b w:val="0"/>
                <w:bCs w:val="0"/>
                <w:color w:val="000000"/>
                <w:u w:val="none"/>
                <w:lang w:val="en-US" w:eastAsia="zh-CN"/>
              </w:rPr>
              <w:t>。</w:t>
            </w:r>
          </w:p>
          <w:p w14:paraId="680420E7">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6.6.2化学品使用过程风险防范措施</w:t>
            </w:r>
          </w:p>
          <w:p w14:paraId="2977BA94">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1、生产过程中根据所使用化学品的性质，对车间分别考虑防火、防爆，耐腐蚀及排风的要求。所有的化学品容器，使用点都设有局部排风以保证室内处于良好的工作环境。</w:t>
            </w:r>
          </w:p>
          <w:p w14:paraId="35179A87">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2、生产过程中为确保职工安全，设置人员防护设备，如自备式呼吸器、面罩、防护服等，并设有安全淋浴和洗眼器。</w:t>
            </w:r>
          </w:p>
          <w:p w14:paraId="329D34FC">
            <w:pPr>
              <w:pStyle w:val="133"/>
              <w:keepNext w:val="0"/>
              <w:keepLines w:val="0"/>
              <w:suppressLineNumbers w:val="0"/>
              <w:spacing w:before="0" w:beforeAutospacing="0" w:after="0" w:afterAutospacing="0" w:line="360" w:lineRule="auto"/>
              <w:ind w:left="0" w:right="0" w:firstLine="482"/>
              <w:rPr>
                <w:rFonts w:hint="default"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3、印刷、复合所在工位地面进行防腐、防渗处理。印刷、复合墨盘架空设置。</w:t>
            </w:r>
          </w:p>
          <w:p w14:paraId="1CA6CF93">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cs="Times New Roman"/>
                <w:b w:val="0"/>
                <w:bCs w:val="0"/>
                <w:color w:val="000000"/>
                <w:u w:val="none"/>
                <w:lang w:val="en-US" w:eastAsia="zh-CN"/>
              </w:rPr>
              <w:t>6.6.3</w:t>
            </w:r>
            <w:r>
              <w:rPr>
                <w:rFonts w:hint="eastAsia" w:ascii="Times New Roman" w:hAnsi="Times New Roman" w:eastAsia="宋体" w:cs="Times New Roman"/>
                <w:b w:val="0"/>
                <w:bCs w:val="0"/>
                <w:color w:val="000000"/>
                <w:u w:val="none"/>
                <w:lang w:val="en-US" w:eastAsia="zh-CN"/>
              </w:rPr>
              <w:t>危险废物风险防范措施</w:t>
            </w:r>
          </w:p>
          <w:p w14:paraId="4D1A1BD8">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为防止因危险废物泄漏造成环境影响，项目危险废物临时贮存必须按照《危险废物贮存污染控制标准》（GB18597-2023）的要求进行。具体如下：</w:t>
            </w:r>
          </w:p>
          <w:p w14:paraId="6051DAD5">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ascii="Times New Roman" w:hAnsi="Times New Roman" w:eastAsia="宋体" w:cs="Times New Roman"/>
                <w:b w:val="0"/>
                <w:bCs w:val="0"/>
                <w:color w:val="000000"/>
                <w:u w:val="none"/>
                <w:lang w:val="en-US" w:eastAsia="zh-CN"/>
              </w:rPr>
              <w:t>建造专用的危险废物贮存设施；必须将危险废物装入符合标准的容器内，盛装危险废物的容器材质和衬里要与危险废物相容（不相互反应），容器及材质要满足相应的强度要求，容器必须完好无损；禁止将不相容（相互反应）的危险废物在同一容器内混装；危险废物堆要防风、防雨、防晒；必须做好危险废物情况的记录，记录上须注明危险废物的名称、来源、数量、特性和包装容器的类别、入库日期、存放库位、废物出库日期及接收单位名称；必须定期对所贮存的危险废物包装容器及贮存设施进行检查，发现破损，应及时采取措施清理更换；危险废物贮存设施都必须按 GB15562.2 的规定设置警示标志；危险废物贮存设施应配备通讯、照明设施、安全防护服及工具等</w:t>
            </w:r>
            <w:r>
              <w:rPr>
                <w:rFonts w:hint="eastAsia" w:cs="Times New Roman"/>
                <w:b w:val="0"/>
                <w:bCs w:val="0"/>
                <w:color w:val="000000"/>
                <w:u w:val="none"/>
                <w:lang w:val="en-US" w:eastAsia="zh-CN"/>
              </w:rPr>
              <w:t>。</w:t>
            </w:r>
          </w:p>
          <w:p w14:paraId="70350B9C">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6.6.4火灾/爆炸风险防范措施</w:t>
            </w:r>
          </w:p>
          <w:p w14:paraId="52815224">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为避免生产过程中火灾或爆炸引起的风险事故，应做到以下风险防范措施：</w:t>
            </w:r>
          </w:p>
          <w:p w14:paraId="77409B13">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1、消除和控制明火源：在原料暂存区内，设置醒目的严禁烟火标志，严禁动火吸烟；使用气焊、电焊等进行维修时，必须按照规定办理动火批准手续，领取动火证，采取防护措施，确保安全无误后，方可动火作业。动火过程中，必须按规定办理动火批准手续，领取动火证，并消除物体和环境的危险状态。备好灭火器材，采取防护措施，确保安全无误后，方可动火作业。动火过程中，必须遵守安全技术规程。</w:t>
            </w:r>
          </w:p>
          <w:p w14:paraId="66143A66">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2、防止电气火花：采取有效措施防止电气线路和电气设施在开关断开、接触不良、短路、漏电时产生火花，防止静电放电火花；采取防雷接地措施，防止雷电放电火花。</w:t>
            </w:r>
          </w:p>
          <w:p w14:paraId="4F4B4B6D">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3、防止生产设备超温：对有超温风险的生产设备，安装温度控制器，当温度超过设置的安全温度时，立即切断生产设备的点源，停止生产，并采用有效的降温措施进行降温。</w:t>
            </w:r>
          </w:p>
          <w:p w14:paraId="7A1BE28C">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4、根据消防工作的需要，应准备足够的各类消防用具（消防栓、灭火器等）。各类消防用具必须固定存放在适当地方，并定期进行检查试验，如有损坏或失效时，需立即进行修理和更换补充。严格禁止把消防用具移作他用，并设置火灾报警系统。</w:t>
            </w:r>
          </w:p>
          <w:p w14:paraId="6CA6BFBD">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5、各类原料的贮存堆放，要整齐，堆与堆之间要留有足够的安全距离，堆放区之间必须保有畅通的消防道路，原料区要经常检查，并采取通风防热措施，防止自燃。</w:t>
            </w:r>
          </w:p>
          <w:p w14:paraId="492EBFA2">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6.6.5事故废水和消防废水的风险防范措施</w:t>
            </w:r>
          </w:p>
          <w:p w14:paraId="7F417DBB">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1、事故泄漏液收集及截留系统</w:t>
            </w:r>
          </w:p>
          <w:p w14:paraId="35EF00D0">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根据导则，应建立“单元-厂区-园区/区域”环境风险防控体系，设置事故废水收集和应急储存设施，以满足事故状态下收集泄漏物料、污染消防水和污染雨水的需要。</w:t>
            </w:r>
          </w:p>
          <w:p w14:paraId="1F31ED58">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1）乙酸乙酯等属于危险化学品，储存在危险化学品库，已采取地面硬化，事故泄漏时，可通过四周导流沟收集，设置1个1m</w:t>
            </w:r>
            <w:r>
              <w:rPr>
                <w:rFonts w:hint="eastAsia" w:cs="Times New Roman"/>
                <w:b w:val="0"/>
                <w:bCs w:val="0"/>
                <w:color w:val="000000"/>
                <w:u w:val="none"/>
                <w:vertAlign w:val="superscript"/>
                <w:lang w:val="en-US" w:eastAsia="zh-CN"/>
              </w:rPr>
              <w:t>3</w:t>
            </w:r>
            <w:r>
              <w:rPr>
                <w:rFonts w:hint="eastAsia" w:cs="Times New Roman"/>
                <w:b w:val="0"/>
                <w:bCs w:val="0"/>
                <w:color w:val="000000"/>
                <w:u w:val="none"/>
                <w:lang w:val="en-US" w:eastAsia="zh-CN"/>
              </w:rPr>
              <w:t>的应急空桶，确保将泄漏的风险物质及时抽排入应急空桶。</w:t>
            </w:r>
          </w:p>
          <w:p w14:paraId="202E8A8A">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2）发生火灾事故时，产生的消防废水通过设置雨水截流充气气囊，确保消防废水不外排。然后将消防废水收集至</w:t>
            </w:r>
            <w:r>
              <w:rPr>
                <w:rFonts w:hint="eastAsia" w:cs="Times New Roman"/>
                <w:b w:val="0"/>
                <w:bCs w:val="0"/>
                <w:color w:val="auto"/>
                <w:u w:val="none"/>
                <w:lang w:val="en-US" w:eastAsia="zh-CN"/>
              </w:rPr>
              <w:t>事故应急罐车</w:t>
            </w:r>
            <w:r>
              <w:rPr>
                <w:rFonts w:hint="eastAsia" w:cs="Times New Roman"/>
                <w:b w:val="0"/>
                <w:bCs w:val="0"/>
                <w:color w:val="000000"/>
                <w:u w:val="none"/>
                <w:lang w:val="en-US" w:eastAsia="zh-CN"/>
              </w:rPr>
              <w:t>，运输至园区污水处理厂处理，减少对外界环境的影响。</w:t>
            </w:r>
          </w:p>
          <w:p w14:paraId="7BE03D1C">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6.6.6大气环境风险防控措施</w:t>
            </w:r>
          </w:p>
          <w:p w14:paraId="2170433D">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项目物料泄漏和火灾爆炸产生的有毒有害气体主要有乙酸乙酯、异丙醇、乙酸正丙酯、烟尘、CO 等。</w:t>
            </w:r>
          </w:p>
          <w:p w14:paraId="4105388A">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为防范有毒有害气体事故排放导致大气环境污染事故，危害人群健康和生命，须采取以下防控措施。</w:t>
            </w:r>
          </w:p>
          <w:p w14:paraId="547AF317">
            <w:pPr>
              <w:pStyle w:val="133"/>
              <w:keepNext w:val="0"/>
              <w:keepLines w:val="0"/>
              <w:suppressLineNumbers w:val="0"/>
              <w:spacing w:before="0" w:beforeAutospacing="0" w:after="0" w:afterAutospacing="0" w:line="360" w:lineRule="auto"/>
              <w:ind w:left="0" w:right="0" w:firstLine="482"/>
              <w:rPr>
                <w:rFonts w:hint="eastAsia" w:cs="Times New Roman"/>
                <w:b w:val="0"/>
                <w:bCs w:val="0"/>
                <w:color w:val="000000"/>
                <w:u w:val="none"/>
                <w:lang w:val="en-US" w:eastAsia="zh-CN"/>
              </w:rPr>
            </w:pPr>
            <w:r>
              <w:rPr>
                <w:rFonts w:hint="eastAsia" w:cs="Times New Roman"/>
                <w:b w:val="0"/>
                <w:bCs w:val="0"/>
                <w:color w:val="000000"/>
                <w:u w:val="none"/>
                <w:lang w:val="en-US" w:eastAsia="zh-CN"/>
              </w:rPr>
              <w:t>（1）严格按规范进行设计、施工和运行管理，落实工程设计、安全评价及本报告提出的各项污染防治措施；</w:t>
            </w:r>
          </w:p>
          <w:p w14:paraId="5ED28C01">
            <w:pPr>
              <w:pStyle w:val="133"/>
              <w:keepNext w:val="0"/>
              <w:keepLines w:val="0"/>
              <w:suppressLineNumbers w:val="0"/>
              <w:spacing w:before="0" w:beforeAutospacing="0" w:after="0" w:afterAutospacing="0" w:line="360" w:lineRule="auto"/>
              <w:ind w:left="0" w:right="0" w:firstLine="482"/>
              <w:rPr>
                <w:rFonts w:hint="default" w:cs="Times New Roman"/>
                <w:b w:val="0"/>
                <w:bCs w:val="0"/>
                <w:color w:val="000000"/>
                <w:u w:val="none"/>
                <w:lang w:val="en-US" w:eastAsia="zh-CN"/>
              </w:rPr>
            </w:pPr>
            <w:r>
              <w:rPr>
                <w:rFonts w:hint="eastAsia" w:cs="Times New Roman"/>
                <w:b w:val="0"/>
                <w:bCs w:val="0"/>
                <w:color w:val="000000"/>
                <w:u w:val="none"/>
                <w:lang w:val="en-US" w:eastAsia="zh-CN"/>
              </w:rPr>
              <w:t>（2）加强管理，定期对员工进行培训教育，定期对废气处理装置进行检修维护，认真执行安全操作规程。</w:t>
            </w:r>
          </w:p>
          <w:p w14:paraId="5704F9DA">
            <w:pPr>
              <w:pStyle w:val="133"/>
              <w:keepNext w:val="0"/>
              <w:keepLines w:val="0"/>
              <w:suppressLineNumbers w:val="0"/>
              <w:spacing w:before="0" w:beforeAutospacing="0" w:after="0" w:afterAutospacing="0" w:line="360" w:lineRule="auto"/>
              <w:ind w:left="0" w:right="0" w:firstLine="482"/>
              <w:rPr>
                <w:rFonts w:hint="eastAsia" w:ascii="Times New Roman" w:hAnsi="Times New Roman" w:cs="Times New Roman"/>
                <w:b/>
                <w:bCs/>
                <w:color w:val="000000"/>
                <w:u w:val="none"/>
              </w:rPr>
            </w:pPr>
            <w:r>
              <w:rPr>
                <w:rFonts w:hint="eastAsia" w:cs="Times New Roman"/>
                <w:b/>
                <w:bCs/>
                <w:color w:val="000000"/>
                <w:u w:val="none"/>
                <w:lang w:val="en-US" w:eastAsia="zh-CN"/>
              </w:rPr>
              <w:t>6.7、</w:t>
            </w:r>
            <w:r>
              <w:rPr>
                <w:rFonts w:hint="eastAsia" w:ascii="Times New Roman" w:hAnsi="Times New Roman" w:cs="Times New Roman"/>
                <w:b/>
                <w:bCs/>
                <w:color w:val="000000"/>
                <w:u w:val="none"/>
              </w:rPr>
              <w:t>风险事故应急</w:t>
            </w:r>
            <w:r>
              <w:rPr>
                <w:rFonts w:hint="eastAsia" w:ascii="Times New Roman" w:hAnsi="Times New Roman" w:cs="Times New Roman"/>
                <w:b/>
                <w:bCs/>
                <w:color w:val="000000"/>
                <w:u w:val="none"/>
                <w:lang w:val="en-US" w:eastAsia="zh-CN"/>
              </w:rPr>
              <w:t>措施</w:t>
            </w:r>
          </w:p>
          <w:p w14:paraId="344237DF">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0"/>
              <w:textAlignment w:val="auto"/>
              <w:rPr>
                <w:rFonts w:hint="eastAsia" w:ascii="Times New Roman" w:hAnsi="Times New Roman" w:cs="Times New Roman"/>
                <w:color w:val="000000"/>
                <w:u w:val="none"/>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1</w:t>
            </w:r>
            <w:r>
              <w:rPr>
                <w:rFonts w:hint="eastAsia" w:ascii="Times New Roman" w:hAnsi="Times New Roman" w:cs="Times New Roman"/>
                <w:color w:val="000000"/>
                <w:u w:val="none"/>
                <w:lang w:eastAsia="zh-CN"/>
              </w:rPr>
              <w:t>）火灾应急处理：</w:t>
            </w:r>
            <w:r>
              <w:rPr>
                <w:rFonts w:hint="eastAsia" w:ascii="Times New Roman" w:hAnsi="Times New Roman" w:cs="Times New Roman"/>
                <w:color w:val="000000"/>
                <w:u w:val="none"/>
              </w:rPr>
              <w:t>若厂区发生爆炸、火灾，应立即将伤员撤离并送医院；切断泄露源、火源，控制事故扩大；立即报警；采取阻止泄漏物进入环境的紧急措施，控制和减少事故危害。</w:t>
            </w:r>
          </w:p>
          <w:p w14:paraId="6F606EBD">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0"/>
              <w:textAlignment w:val="auto"/>
              <w:rPr>
                <w:rFonts w:hint="eastAsia" w:ascii="Times New Roman" w:hAnsi="Times New Roman" w:cs="Times New Roman"/>
                <w:color w:val="000000"/>
                <w:u w:val="none"/>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2</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防护措施：呼吸系统防护</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应通风</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如浓度高，使用呼吸防护用器</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眼睛防护</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配备安全护目镜</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身体防护</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穿戴专用防护服</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手防护</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配备隔冷手套</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其它</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避免高浓度吸入。</w:t>
            </w:r>
          </w:p>
          <w:p w14:paraId="1A357AF8">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0"/>
              <w:textAlignment w:val="auto"/>
              <w:rPr>
                <w:rFonts w:hint="eastAsia" w:ascii="Times New Roman" w:hAnsi="Times New Roman" w:cs="Times New Roman"/>
                <w:color w:val="000000"/>
                <w:u w:val="none"/>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3</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急救措施：吸入：迅速脱离现场至空气新鲜处。保持呼吸道通畅。如呼吸停止，立即进行人工呼吸。就医。烧伤：应迅速将患者衣服脱去，用流动清水冲洗降温，用清洁布覆盖创伤面，避免伤面污染，不要任意把水炮弄破，同时使用特效药物治疗，对症治疗，严重者送医院观察治疗；灭火方法：用水保持容器冷却，以防受热爆炸，急剧助长火势。迅速切断气源，用水喷淋保护切断气源的人员，然后根据着火原因选择适当灭火剂灭火。</w:t>
            </w:r>
          </w:p>
          <w:p w14:paraId="127350D5">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0" w:firstLineChars="0"/>
              <w:textAlignment w:val="auto"/>
              <w:rPr>
                <w:rFonts w:hint="eastAsia" w:ascii="Times New Roman" w:hAnsi="Times New Roman" w:cs="Times New Roman"/>
                <w:color w:val="000000"/>
                <w:u w:val="none"/>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4</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加强职工的安全教育，提高安全防范风险的意识。各种工艺管道按规范刷涂规定标志颜色的油漆，以防工人误操作，造成意外事故。</w:t>
            </w:r>
          </w:p>
          <w:p w14:paraId="7FBBB564">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2" w:firstLineChars="0"/>
              <w:textAlignment w:val="auto"/>
              <w:rPr>
                <w:rFonts w:hint="eastAsia" w:ascii="Times New Roman" w:hAnsi="Times New Roman" w:cs="Times New Roman"/>
                <w:color w:val="000000"/>
                <w:u w:val="none"/>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5</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一旦发生事故，立即通知并疏散受污染范围内人员；车间内开门、开窗或采取强制性通风；并向主管部门上报事故原因、损害情况、人员健康与环境风险、解救对策和方法；查明事故工段，并派专业维修人员进行维修；</w:t>
            </w:r>
          </w:p>
          <w:p w14:paraId="622CE3FC">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2" w:firstLineChars="0"/>
              <w:textAlignment w:val="auto"/>
              <w:rPr>
                <w:rFonts w:hint="eastAsia" w:cs="Times New Roman"/>
                <w:color w:val="000000"/>
                <w:u w:val="none"/>
                <w:lang w:eastAsia="zh-CN"/>
              </w:rPr>
            </w:pP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lang w:val="en-US" w:eastAsia="zh-CN"/>
              </w:rPr>
              <w:t>6</w:t>
            </w:r>
            <w:r>
              <w:rPr>
                <w:rFonts w:hint="eastAsia" w:ascii="Times New Roman" w:hAnsi="Times New Roman" w:cs="Times New Roman"/>
                <w:color w:val="000000"/>
                <w:u w:val="none"/>
                <w:lang w:eastAsia="zh-CN"/>
              </w:rPr>
              <w:t>）</w:t>
            </w:r>
            <w:r>
              <w:rPr>
                <w:rFonts w:hint="eastAsia" w:ascii="Times New Roman" w:hAnsi="Times New Roman" w:cs="Times New Roman"/>
                <w:color w:val="000000"/>
                <w:u w:val="none"/>
              </w:rPr>
              <w:t>发生事故时，当地环保主管部门应迅速组织环境监察、环境监测人员到岗，查明事故原因，通过布点监测，了解污染扩散范围及污染程度，按规定要求及时报告当地县级以上人民政府和上级环保部门，协助人民政府做好减轻或避免污染损害工作</w:t>
            </w:r>
            <w:r>
              <w:rPr>
                <w:rFonts w:hint="eastAsia" w:cs="Times New Roman"/>
                <w:color w:val="000000"/>
                <w:u w:val="none"/>
                <w:lang w:eastAsia="zh-CN"/>
              </w:rPr>
              <w:t>；</w:t>
            </w:r>
          </w:p>
          <w:p w14:paraId="5A506282">
            <w:pPr>
              <w:pStyle w:val="1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8" w:lineRule="auto"/>
              <w:ind w:left="0" w:right="0" w:firstLine="482" w:firstLineChars="0"/>
              <w:textAlignment w:val="auto"/>
              <w:rPr>
                <w:rFonts w:hint="eastAsia" w:ascii="Times New Roman" w:hAnsi="Times New Roman" w:cs="Times New Roman"/>
                <w:color w:val="000000"/>
                <w:u w:val="none"/>
                <w:lang w:eastAsia="zh-CN"/>
              </w:rPr>
            </w:pPr>
            <w:r>
              <w:rPr>
                <w:rFonts w:hint="eastAsia" w:cs="Times New Roman"/>
                <w:color w:val="000000"/>
                <w:u w:val="none"/>
                <w:lang w:eastAsia="zh-CN"/>
              </w:rPr>
              <w:t>（</w:t>
            </w:r>
            <w:r>
              <w:rPr>
                <w:rFonts w:hint="eastAsia" w:cs="Times New Roman"/>
                <w:color w:val="000000"/>
                <w:u w:val="none"/>
                <w:lang w:val="en-US" w:eastAsia="zh-CN"/>
              </w:rPr>
              <w:t>7</w:t>
            </w:r>
            <w:r>
              <w:rPr>
                <w:rFonts w:hint="eastAsia" w:cs="Times New Roman"/>
                <w:color w:val="000000"/>
                <w:u w:val="none"/>
                <w:lang w:eastAsia="zh-CN"/>
              </w:rPr>
              <w:t>）一旦废气排放出现超标或处理效率下降过大，应立即检修，排除故障，必要时要停产检修，确保污染物达标排放</w:t>
            </w:r>
            <w:r>
              <w:rPr>
                <w:rFonts w:hint="eastAsia" w:ascii="Times New Roman" w:hAnsi="Times New Roman" w:cs="Times New Roman"/>
                <w:color w:val="000000"/>
                <w:u w:val="none"/>
                <w:lang w:eastAsia="zh-CN"/>
              </w:rPr>
              <w:t>。</w:t>
            </w:r>
          </w:p>
          <w:p w14:paraId="09E60B3B">
            <w:pPr>
              <w:pStyle w:val="133"/>
              <w:keepNext w:val="0"/>
              <w:keepLines w:val="0"/>
              <w:suppressLineNumbers w:val="0"/>
              <w:spacing w:before="0" w:beforeAutospacing="0" w:after="0" w:afterAutospacing="0" w:line="360" w:lineRule="auto"/>
              <w:ind w:left="0" w:right="0" w:firstLine="482"/>
              <w:rPr>
                <w:rFonts w:hint="eastAsia" w:ascii="Times New Roman" w:hAnsi="Times New Roman" w:eastAsia="宋体" w:cs="Times New Roman"/>
                <w:b/>
                <w:bCs/>
                <w:color w:val="000000"/>
                <w:u w:val="none"/>
              </w:rPr>
            </w:pPr>
            <w:r>
              <w:rPr>
                <w:rFonts w:hint="eastAsia" w:ascii="Times New Roman" w:hAnsi="Times New Roman" w:cs="Times New Roman"/>
                <w:b/>
                <w:bCs/>
                <w:color w:val="000000"/>
                <w:u w:val="none"/>
                <w:lang w:val="en-US" w:eastAsia="zh-CN"/>
              </w:rPr>
              <w:t>6.</w:t>
            </w:r>
            <w:r>
              <w:rPr>
                <w:rFonts w:hint="eastAsia" w:cs="Times New Roman"/>
                <w:b/>
                <w:bCs/>
                <w:color w:val="000000"/>
                <w:u w:val="none"/>
                <w:lang w:val="en-US" w:eastAsia="zh-CN"/>
              </w:rPr>
              <w:t>8</w:t>
            </w:r>
            <w:r>
              <w:rPr>
                <w:rFonts w:hint="eastAsia" w:ascii="Times New Roman" w:hAnsi="Times New Roman" w:cs="Times New Roman"/>
                <w:b/>
                <w:bCs/>
                <w:color w:val="000000"/>
                <w:u w:val="none"/>
                <w:lang w:val="en-US" w:eastAsia="zh-CN"/>
              </w:rPr>
              <w:t>、</w:t>
            </w:r>
            <w:r>
              <w:rPr>
                <w:rFonts w:hint="eastAsia" w:ascii="Times New Roman" w:hAnsi="Times New Roman" w:eastAsia="宋体" w:cs="Times New Roman"/>
                <w:b/>
                <w:bCs/>
                <w:color w:val="000000"/>
                <w:u w:val="none"/>
              </w:rPr>
              <w:t>风险应急预案</w:t>
            </w:r>
          </w:p>
          <w:p w14:paraId="49F9645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sz w:val="24"/>
                <w:u w:val="none"/>
              </w:rPr>
            </w:pPr>
            <w:r>
              <w:rPr>
                <w:rFonts w:hint="eastAsia" w:ascii="Times New Roman" w:hAnsi="Times New Roman" w:cs="Times New Roman"/>
                <w:color w:val="000000"/>
                <w:kern w:val="24"/>
                <w:sz w:val="24"/>
                <w:u w:val="none"/>
              </w:rPr>
              <w:t>本次评价以《建设项目环境风险评估技术导则》（HJ169-2018）为指导，制定出本项目的环境应急预案。本项目风险应急预案基本内容见下表</w:t>
            </w:r>
            <w:r>
              <w:rPr>
                <w:rFonts w:hint="eastAsia" w:ascii="Times New Roman" w:hAnsi="Times New Roman" w:cs="Times New Roman"/>
                <w:color w:val="000000"/>
                <w:kern w:val="24"/>
                <w:sz w:val="24"/>
                <w:u w:val="none"/>
                <w:lang w:eastAsia="zh-CN"/>
              </w:rPr>
              <w:t>：</w:t>
            </w:r>
          </w:p>
          <w:p w14:paraId="64CEE6AE">
            <w:pPr>
              <w:pStyle w:val="2"/>
              <w:keepNext w:val="0"/>
              <w:keepLines w:val="0"/>
              <w:suppressLineNumbers w:val="0"/>
              <w:kinsoku w:val="0"/>
              <w:overflowPunct w:val="0"/>
              <w:autoSpaceDE w:val="0"/>
              <w:autoSpaceDN w:val="0"/>
              <w:spacing w:beforeAutospacing="0" w:after="0" w:afterAutospacing="0" w:line="240" w:lineRule="auto"/>
              <w:ind w:left="0" w:firstLine="422"/>
              <w:jc w:val="center"/>
              <w:rPr>
                <w:rFonts w:hint="default" w:ascii="Times New Roman" w:hAnsi="Times New Roman" w:eastAsia="宋体" w:cs="Times New Roman"/>
                <w:b/>
                <w:bCs/>
                <w:color w:val="000000"/>
                <w:sz w:val="21"/>
                <w:szCs w:val="21"/>
                <w:u w:val="none"/>
                <w:lang w:val="zh-CN"/>
              </w:rPr>
            </w:pPr>
            <w:r>
              <w:rPr>
                <w:rFonts w:hint="default" w:ascii="Times New Roman" w:hAnsi="Times New Roman" w:eastAsia="宋体" w:cs="Times New Roman"/>
                <w:b/>
                <w:bCs/>
                <w:color w:val="000000"/>
                <w:sz w:val="21"/>
                <w:szCs w:val="21"/>
                <w:u w:val="none"/>
                <w:lang w:val="zh-CN"/>
              </w:rPr>
              <w:t>表</w:t>
            </w:r>
            <w:r>
              <w:rPr>
                <w:rFonts w:hint="eastAsia" w:ascii="Times New Roman" w:hAnsi="Times New Roman" w:eastAsia="宋体" w:cs="Times New Roman"/>
                <w:b/>
                <w:bCs/>
                <w:color w:val="000000"/>
                <w:sz w:val="21"/>
                <w:szCs w:val="21"/>
                <w:u w:val="none"/>
                <w:lang w:val="zh-CN"/>
              </w:rPr>
              <w:t>4-</w:t>
            </w:r>
            <w:r>
              <w:rPr>
                <w:rFonts w:hint="eastAsia" w:ascii="Times New Roman" w:hAnsi="Times New Roman" w:cs="Times New Roman"/>
                <w:b/>
                <w:bCs/>
                <w:color w:val="000000"/>
                <w:sz w:val="21"/>
                <w:szCs w:val="21"/>
                <w:u w:val="none"/>
                <w:lang w:val="en-US" w:eastAsia="zh-CN"/>
              </w:rPr>
              <w:t>2</w:t>
            </w:r>
            <w:r>
              <w:rPr>
                <w:rFonts w:hint="eastAsia" w:cs="Times New Roman"/>
                <w:b/>
                <w:bCs/>
                <w:color w:val="000000"/>
                <w:sz w:val="21"/>
                <w:szCs w:val="21"/>
                <w:u w:val="none"/>
                <w:lang w:val="en-US" w:eastAsia="zh-CN"/>
              </w:rPr>
              <w:t>3</w:t>
            </w:r>
            <w:r>
              <w:rPr>
                <w:rFonts w:hint="default" w:ascii="Times New Roman" w:hAnsi="Times New Roman" w:eastAsia="宋体" w:cs="Times New Roman"/>
                <w:b/>
                <w:bCs/>
                <w:color w:val="000000"/>
                <w:sz w:val="21"/>
                <w:szCs w:val="21"/>
                <w:u w:val="none"/>
                <w:lang w:val="zh-CN"/>
              </w:rPr>
              <w:t xml:space="preserve"> 环境风险的突发性事故制定应急预案</w:t>
            </w:r>
          </w:p>
          <w:tbl>
            <w:tblPr>
              <w:tblStyle w:val="44"/>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60"/>
              <w:gridCol w:w="1337"/>
              <w:gridCol w:w="6482"/>
            </w:tblGrid>
            <w:tr w14:paraId="79B703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5511FA05">
                  <w:pPr>
                    <w:keepNext w:val="0"/>
                    <w:keepLines w:val="0"/>
                    <w:suppressLineNumbers w:val="0"/>
                    <w:spacing w:before="0" w:beforeAutospacing="0" w:after="0" w:afterAutospacing="0"/>
                    <w:ind w:left="0" w:right="0"/>
                    <w:jc w:val="center"/>
                    <w:rPr>
                      <w:rFonts w:hint="default" w:ascii="Times New Roman" w:hAnsi="Times New Roman" w:cs="Times New Roman"/>
                      <w:b/>
                      <w:color w:val="000000"/>
                      <w:sz w:val="21"/>
                      <w:szCs w:val="21"/>
                      <w:u w:val="none"/>
                    </w:rPr>
                  </w:pPr>
                  <w:r>
                    <w:rPr>
                      <w:rFonts w:hint="default" w:ascii="Times New Roman" w:hAnsi="Times New Roman" w:cs="Times New Roman"/>
                      <w:b/>
                      <w:color w:val="000000"/>
                      <w:sz w:val="21"/>
                      <w:szCs w:val="21"/>
                      <w:u w:val="none"/>
                    </w:rPr>
                    <w:t>序号</w:t>
                  </w:r>
                </w:p>
              </w:tc>
              <w:tc>
                <w:tcPr>
                  <w:tcW w:w="788" w:type="pct"/>
                  <w:tcBorders>
                    <w:tl2br w:val="nil"/>
                    <w:tr2bl w:val="nil"/>
                  </w:tcBorders>
                  <w:noWrap w:val="0"/>
                  <w:vAlign w:val="center"/>
                </w:tcPr>
                <w:p w14:paraId="7563674E">
                  <w:pPr>
                    <w:keepNext w:val="0"/>
                    <w:keepLines w:val="0"/>
                    <w:suppressLineNumbers w:val="0"/>
                    <w:spacing w:before="0" w:beforeAutospacing="0" w:after="0" w:afterAutospacing="0"/>
                    <w:ind w:left="0" w:right="0"/>
                    <w:jc w:val="center"/>
                    <w:rPr>
                      <w:rFonts w:hint="default" w:ascii="Times New Roman" w:hAnsi="Times New Roman" w:cs="Times New Roman"/>
                      <w:b/>
                      <w:color w:val="000000"/>
                      <w:sz w:val="21"/>
                      <w:szCs w:val="21"/>
                      <w:u w:val="none"/>
                    </w:rPr>
                  </w:pPr>
                  <w:r>
                    <w:rPr>
                      <w:rFonts w:hint="default" w:ascii="Times New Roman" w:hAnsi="Times New Roman" w:cs="Times New Roman"/>
                      <w:b/>
                      <w:color w:val="000000"/>
                      <w:sz w:val="21"/>
                      <w:szCs w:val="21"/>
                      <w:u w:val="none"/>
                    </w:rPr>
                    <w:t>项目</w:t>
                  </w:r>
                </w:p>
              </w:tc>
              <w:tc>
                <w:tcPr>
                  <w:tcW w:w="3821" w:type="pct"/>
                  <w:tcBorders>
                    <w:tl2br w:val="nil"/>
                    <w:tr2bl w:val="nil"/>
                  </w:tcBorders>
                  <w:noWrap w:val="0"/>
                  <w:vAlign w:val="center"/>
                </w:tcPr>
                <w:p w14:paraId="25F3BD97">
                  <w:pPr>
                    <w:keepNext w:val="0"/>
                    <w:keepLines w:val="0"/>
                    <w:suppressLineNumbers w:val="0"/>
                    <w:spacing w:before="0" w:beforeAutospacing="0" w:after="0" w:afterAutospacing="0"/>
                    <w:ind w:left="0" w:right="0"/>
                    <w:jc w:val="center"/>
                    <w:rPr>
                      <w:rFonts w:hint="default" w:ascii="Times New Roman" w:hAnsi="Times New Roman" w:cs="Times New Roman"/>
                      <w:b/>
                      <w:color w:val="000000"/>
                      <w:sz w:val="21"/>
                      <w:szCs w:val="21"/>
                      <w:u w:val="none"/>
                    </w:rPr>
                  </w:pPr>
                  <w:r>
                    <w:rPr>
                      <w:rFonts w:hint="default" w:ascii="Times New Roman" w:hAnsi="Times New Roman" w:cs="Times New Roman"/>
                      <w:b/>
                      <w:color w:val="000000"/>
                      <w:sz w:val="21"/>
                      <w:szCs w:val="21"/>
                      <w:u w:val="none"/>
                    </w:rPr>
                    <w:t>内容及要求</w:t>
                  </w:r>
                </w:p>
              </w:tc>
            </w:tr>
            <w:tr w14:paraId="2CDA84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7D5E9604">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w:t>
                  </w:r>
                </w:p>
              </w:tc>
              <w:tc>
                <w:tcPr>
                  <w:tcW w:w="788" w:type="pct"/>
                  <w:tcBorders>
                    <w:tl2br w:val="nil"/>
                    <w:tr2bl w:val="nil"/>
                  </w:tcBorders>
                  <w:noWrap w:val="0"/>
                  <w:vAlign w:val="center"/>
                </w:tcPr>
                <w:p w14:paraId="217FE89A">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危险源情况</w:t>
                  </w:r>
                </w:p>
              </w:tc>
              <w:tc>
                <w:tcPr>
                  <w:tcW w:w="3821" w:type="pct"/>
                  <w:tcBorders>
                    <w:tl2br w:val="nil"/>
                    <w:tr2bl w:val="nil"/>
                  </w:tcBorders>
                  <w:noWrap w:val="0"/>
                  <w:vAlign w:val="center"/>
                </w:tcPr>
                <w:p w14:paraId="22EE427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详细说明危险源类型、数量、分布及其对环境的风险</w:t>
                  </w:r>
                </w:p>
              </w:tc>
            </w:tr>
            <w:tr w14:paraId="30A193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7A150A3A">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2</w:t>
                  </w:r>
                </w:p>
              </w:tc>
              <w:tc>
                <w:tcPr>
                  <w:tcW w:w="788" w:type="pct"/>
                  <w:tcBorders>
                    <w:tl2br w:val="nil"/>
                    <w:tr2bl w:val="nil"/>
                  </w:tcBorders>
                  <w:noWrap w:val="0"/>
                  <w:vAlign w:val="center"/>
                </w:tcPr>
                <w:p w14:paraId="51580712">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应急计划区</w:t>
                  </w:r>
                </w:p>
              </w:tc>
              <w:tc>
                <w:tcPr>
                  <w:tcW w:w="3821" w:type="pct"/>
                  <w:tcBorders>
                    <w:tl2br w:val="nil"/>
                    <w:tr2bl w:val="nil"/>
                  </w:tcBorders>
                  <w:noWrap w:val="0"/>
                  <w:vAlign w:val="center"/>
                </w:tcPr>
                <w:p w14:paraId="5958C2AE">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lang w:val="en-US" w:eastAsia="zh-CN"/>
                    </w:rPr>
                    <w:t>生产车间</w:t>
                  </w:r>
                  <w:r>
                    <w:rPr>
                      <w:rFonts w:hint="default" w:ascii="Times New Roman" w:hAnsi="Times New Roman" w:cs="Times New Roman"/>
                      <w:color w:val="000000"/>
                      <w:sz w:val="21"/>
                      <w:szCs w:val="21"/>
                      <w:u w:val="none"/>
                    </w:rPr>
                    <w:t>、临近地区</w:t>
                  </w:r>
                </w:p>
              </w:tc>
            </w:tr>
            <w:tr w14:paraId="105380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236491DD">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3</w:t>
                  </w:r>
                </w:p>
              </w:tc>
              <w:tc>
                <w:tcPr>
                  <w:tcW w:w="788" w:type="pct"/>
                  <w:tcBorders>
                    <w:tl2br w:val="nil"/>
                    <w:tr2bl w:val="nil"/>
                  </w:tcBorders>
                  <w:noWrap w:val="0"/>
                  <w:vAlign w:val="center"/>
                </w:tcPr>
                <w:p w14:paraId="356777BC">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应急组织</w:t>
                  </w:r>
                </w:p>
              </w:tc>
              <w:tc>
                <w:tcPr>
                  <w:tcW w:w="3821" w:type="pct"/>
                  <w:tcBorders>
                    <w:tl2br w:val="nil"/>
                    <w:tr2bl w:val="nil"/>
                  </w:tcBorders>
                  <w:noWrap w:val="0"/>
                  <w:vAlign w:val="center"/>
                </w:tcPr>
                <w:p w14:paraId="5567AFF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企业：成立公司应急指挥小组，由公司最高领导层担任小组长，负责现场全面指挥，专业救援队伍负责事故控制、救援和善后处理。</w:t>
                  </w:r>
                </w:p>
                <w:p w14:paraId="64153D67">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临近地区：地区指挥部—负责企业附近地区全面指挥，救援，管制和疏散</w:t>
                  </w:r>
                </w:p>
              </w:tc>
            </w:tr>
            <w:tr w14:paraId="1CCAEE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60FE6E76">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4</w:t>
                  </w:r>
                </w:p>
              </w:tc>
              <w:tc>
                <w:tcPr>
                  <w:tcW w:w="788" w:type="pct"/>
                  <w:tcBorders>
                    <w:tl2br w:val="nil"/>
                    <w:tr2bl w:val="nil"/>
                  </w:tcBorders>
                  <w:noWrap w:val="0"/>
                  <w:vAlign w:val="center"/>
                </w:tcPr>
                <w:p w14:paraId="702019A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应急状态分类应急响应程序</w:t>
                  </w:r>
                </w:p>
              </w:tc>
              <w:tc>
                <w:tcPr>
                  <w:tcW w:w="3821" w:type="pct"/>
                  <w:tcBorders>
                    <w:tl2br w:val="nil"/>
                    <w:tr2bl w:val="nil"/>
                  </w:tcBorders>
                  <w:noWrap w:val="0"/>
                  <w:vAlign w:val="center"/>
                </w:tcPr>
                <w:p w14:paraId="74EDAC7E">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规定环境风险事故的级别及相应的应急状态分类，以此制定相应的应急响应程序</w:t>
                  </w:r>
                </w:p>
              </w:tc>
            </w:tr>
            <w:tr w14:paraId="3DE915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2A31D30D">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5</w:t>
                  </w:r>
                </w:p>
              </w:tc>
              <w:tc>
                <w:tcPr>
                  <w:tcW w:w="788" w:type="pct"/>
                  <w:tcBorders>
                    <w:tl2br w:val="nil"/>
                    <w:tr2bl w:val="nil"/>
                  </w:tcBorders>
                  <w:noWrap w:val="0"/>
                  <w:vAlign w:val="center"/>
                </w:tcPr>
                <w:p w14:paraId="6FD4F73F">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应急设施</w:t>
                  </w:r>
                </w:p>
                <w:p w14:paraId="646E0DE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设备与材料</w:t>
                  </w:r>
                </w:p>
              </w:tc>
              <w:tc>
                <w:tcPr>
                  <w:tcW w:w="3821" w:type="pct"/>
                  <w:tcBorders>
                    <w:tl2br w:val="nil"/>
                    <w:tr2bl w:val="nil"/>
                  </w:tcBorders>
                  <w:noWrap w:val="0"/>
                  <w:vAlign w:val="center"/>
                </w:tcPr>
                <w:p w14:paraId="0F2FA307">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生产区：防火灾事故的应急设施、设备与材料，主要为消防器材、消防服等；防有毒有害物质外溢、扩散，主要是水、喷淋设备、防毒服和中毒人员急救所用的一些药品、器材</w:t>
                  </w:r>
                </w:p>
                <w:p w14:paraId="7DBDB53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临界地区：烧伤、中毒人员急救所用的一些药品、器材</w:t>
                  </w:r>
                </w:p>
              </w:tc>
            </w:tr>
            <w:tr w14:paraId="667936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71CAC4A7">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6</w:t>
                  </w:r>
                </w:p>
              </w:tc>
              <w:tc>
                <w:tcPr>
                  <w:tcW w:w="788" w:type="pct"/>
                  <w:tcBorders>
                    <w:tl2br w:val="nil"/>
                    <w:tr2bl w:val="nil"/>
                  </w:tcBorders>
                  <w:noWrap w:val="0"/>
                  <w:vAlign w:val="center"/>
                </w:tcPr>
                <w:p w14:paraId="53691B8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应急通讯</w:t>
                  </w:r>
                </w:p>
                <w:p w14:paraId="13A86F1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通告与交通</w:t>
                  </w:r>
                </w:p>
              </w:tc>
              <w:tc>
                <w:tcPr>
                  <w:tcW w:w="3821" w:type="pct"/>
                  <w:tcBorders>
                    <w:tl2br w:val="nil"/>
                    <w:tr2bl w:val="nil"/>
                  </w:tcBorders>
                  <w:noWrap w:val="0"/>
                  <w:vAlign w:val="center"/>
                </w:tcPr>
                <w:p w14:paraId="777E280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规定应急状态下的通讯、通告方式和交通保障、管制等事项</w:t>
                  </w:r>
                </w:p>
              </w:tc>
            </w:tr>
            <w:tr w14:paraId="5A4BB6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08B5E651">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7</w:t>
                  </w:r>
                </w:p>
              </w:tc>
              <w:tc>
                <w:tcPr>
                  <w:tcW w:w="788" w:type="pct"/>
                  <w:tcBorders>
                    <w:tl2br w:val="nil"/>
                    <w:tr2bl w:val="nil"/>
                  </w:tcBorders>
                  <w:noWrap w:val="0"/>
                  <w:vAlign w:val="center"/>
                </w:tcPr>
                <w:p w14:paraId="36E186F7">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应急环境监测及事故后评估</w:t>
                  </w:r>
                </w:p>
              </w:tc>
              <w:tc>
                <w:tcPr>
                  <w:tcW w:w="3821" w:type="pct"/>
                  <w:tcBorders>
                    <w:tl2br w:val="nil"/>
                    <w:tr2bl w:val="nil"/>
                  </w:tcBorders>
                  <w:noWrap w:val="0"/>
                  <w:vAlign w:val="center"/>
                </w:tcPr>
                <w:p w14:paraId="19B15B39">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由专业人员对环境风险事故现场进行应急监测，对事故性质、严重程度等所造成的环境危害后果进行评估，吸取经验教训免再次发生事故，为指挥部门提供决策依据</w:t>
                  </w:r>
                </w:p>
              </w:tc>
            </w:tr>
            <w:tr w14:paraId="6EE40A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3A0557A6">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8</w:t>
                  </w:r>
                </w:p>
              </w:tc>
              <w:tc>
                <w:tcPr>
                  <w:tcW w:w="788" w:type="pct"/>
                  <w:tcBorders>
                    <w:tl2br w:val="nil"/>
                    <w:tr2bl w:val="nil"/>
                  </w:tcBorders>
                  <w:noWrap w:val="0"/>
                  <w:vAlign w:val="center"/>
                </w:tcPr>
                <w:p w14:paraId="32BE53B8">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应急防护措施消除泄漏措施及需使用器材</w:t>
                  </w:r>
                </w:p>
              </w:tc>
              <w:tc>
                <w:tcPr>
                  <w:tcW w:w="3821" w:type="pct"/>
                  <w:tcBorders>
                    <w:tl2br w:val="nil"/>
                    <w:tr2bl w:val="nil"/>
                  </w:tcBorders>
                  <w:noWrap w:val="0"/>
                  <w:vAlign w:val="center"/>
                </w:tcPr>
                <w:p w14:paraId="271726E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事故现场：控制事故发展，防止扩大、蔓延及连锁反应；清除现场泄漏物，降低危害；相应的设施器材配备</w:t>
                  </w:r>
                </w:p>
                <w:p w14:paraId="2718BE4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临近地区：划分腐蚀区域，控制和消除环境污染的措施及相应的设备配备</w:t>
                  </w:r>
                </w:p>
              </w:tc>
            </w:tr>
            <w:tr w14:paraId="620AB0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5F0AF92B">
                  <w:pPr>
                    <w:keepNext w:val="0"/>
                    <w:keepLines w:val="0"/>
                    <w:suppressLineNumbers w:val="0"/>
                    <w:spacing w:before="0" w:beforeAutospacing="0" w:after="0" w:afterAutospacing="0"/>
                    <w:ind w:left="0" w:right="0"/>
                    <w:jc w:val="center"/>
                    <w:rPr>
                      <w:rFonts w:hint="eastAsia"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9</w:t>
                  </w:r>
                </w:p>
              </w:tc>
              <w:tc>
                <w:tcPr>
                  <w:tcW w:w="788" w:type="pct"/>
                  <w:tcBorders>
                    <w:tl2br w:val="nil"/>
                    <w:tr2bl w:val="nil"/>
                  </w:tcBorders>
                  <w:noWrap w:val="0"/>
                  <w:vAlign w:val="center"/>
                </w:tcPr>
                <w:p w14:paraId="54E23063">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应急剂量控制撤离组织计划医疗救护与保护公众健康</w:t>
                  </w:r>
                </w:p>
              </w:tc>
              <w:tc>
                <w:tcPr>
                  <w:tcW w:w="3821" w:type="pct"/>
                  <w:tcBorders>
                    <w:tl2br w:val="nil"/>
                    <w:tr2bl w:val="nil"/>
                  </w:tcBorders>
                  <w:noWrap w:val="0"/>
                  <w:vAlign w:val="center"/>
                </w:tcPr>
                <w:p w14:paraId="3B827667">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事故现场：事故处理人员制定毒物的应急剂量、现场及临近装置人员的撤离组织计划和紧急救护方案</w:t>
                  </w:r>
                </w:p>
                <w:p w14:paraId="07F4A972">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临近地区：制定受事故影响的临近地区内人员对毒物的应急剂量、公众的疏散组织计划和紧急救护方案</w:t>
                  </w:r>
                </w:p>
              </w:tc>
            </w:tr>
            <w:tr w14:paraId="7BC24D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6336885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10</w:t>
                  </w:r>
                </w:p>
              </w:tc>
              <w:tc>
                <w:tcPr>
                  <w:tcW w:w="788" w:type="pct"/>
                  <w:tcBorders>
                    <w:tl2br w:val="nil"/>
                    <w:tr2bl w:val="nil"/>
                  </w:tcBorders>
                  <w:noWrap w:val="0"/>
                  <w:vAlign w:val="center"/>
                </w:tcPr>
                <w:p w14:paraId="316A836F">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应急状态中止恢复措施</w:t>
                  </w:r>
                </w:p>
              </w:tc>
              <w:tc>
                <w:tcPr>
                  <w:tcW w:w="3821" w:type="pct"/>
                  <w:tcBorders>
                    <w:tl2br w:val="nil"/>
                    <w:tr2bl w:val="nil"/>
                  </w:tcBorders>
                  <w:noWrap w:val="0"/>
                  <w:vAlign w:val="center"/>
                </w:tcPr>
                <w:p w14:paraId="29AF2E72">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事故现场：规定应急状态终止秩序：事故现场善后处理，恢复生产措施；临近地区：解除事故警戒、公众返回和善后恢复措施</w:t>
                  </w:r>
                </w:p>
              </w:tc>
            </w:tr>
            <w:tr w14:paraId="6D71BD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00A799A1">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11</w:t>
                  </w:r>
                </w:p>
              </w:tc>
              <w:tc>
                <w:tcPr>
                  <w:tcW w:w="788" w:type="pct"/>
                  <w:tcBorders>
                    <w:tl2br w:val="nil"/>
                    <w:tr2bl w:val="nil"/>
                  </w:tcBorders>
                  <w:noWrap w:val="0"/>
                  <w:vAlign w:val="center"/>
                </w:tcPr>
                <w:p w14:paraId="60CF1508">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人员培训与演习</w:t>
                  </w:r>
                </w:p>
              </w:tc>
              <w:tc>
                <w:tcPr>
                  <w:tcW w:w="3821" w:type="pct"/>
                  <w:tcBorders>
                    <w:tl2br w:val="nil"/>
                    <w:tr2bl w:val="nil"/>
                  </w:tcBorders>
                  <w:noWrap w:val="0"/>
                  <w:vAlign w:val="center"/>
                </w:tcPr>
                <w:p w14:paraId="3AF587F9">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应急计划制定后，平时安排事故处理人员进行相关知识培训进行事故应急处理演习；对工人进行安全卫生教育</w:t>
                  </w:r>
                </w:p>
              </w:tc>
            </w:tr>
            <w:tr w14:paraId="233DF5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16DB8129">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12</w:t>
                  </w:r>
                </w:p>
              </w:tc>
              <w:tc>
                <w:tcPr>
                  <w:tcW w:w="788" w:type="pct"/>
                  <w:tcBorders>
                    <w:tl2br w:val="nil"/>
                    <w:tr2bl w:val="nil"/>
                  </w:tcBorders>
                  <w:noWrap w:val="0"/>
                  <w:vAlign w:val="center"/>
                </w:tcPr>
                <w:p w14:paraId="3441B7F5">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公众教育</w:t>
                  </w:r>
                </w:p>
                <w:p w14:paraId="7E4E6A24">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信息发布</w:t>
                  </w:r>
                </w:p>
              </w:tc>
              <w:tc>
                <w:tcPr>
                  <w:tcW w:w="3821" w:type="pct"/>
                  <w:tcBorders>
                    <w:tl2br w:val="nil"/>
                    <w:tr2bl w:val="nil"/>
                  </w:tcBorders>
                  <w:noWrap w:val="0"/>
                  <w:vAlign w:val="center"/>
                </w:tcPr>
                <w:p w14:paraId="79750C9C">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对</w:t>
                  </w:r>
                  <w:r>
                    <w:rPr>
                      <w:rFonts w:hint="eastAsia" w:ascii="Times New Roman" w:hAnsi="Times New Roman" w:cs="Times New Roman"/>
                      <w:color w:val="000000"/>
                      <w:sz w:val="21"/>
                      <w:szCs w:val="21"/>
                      <w:u w:val="none"/>
                    </w:rPr>
                    <w:t>企业</w:t>
                  </w:r>
                  <w:r>
                    <w:rPr>
                      <w:rFonts w:hint="default" w:ascii="Times New Roman" w:hAnsi="Times New Roman" w:cs="Times New Roman"/>
                      <w:color w:val="000000"/>
                      <w:sz w:val="21"/>
                      <w:szCs w:val="21"/>
                      <w:u w:val="none"/>
                    </w:rPr>
                    <w:t>临近地区公众开展环境风险事故预防教育、应急知识培训并定期发布相关信息</w:t>
                  </w:r>
                </w:p>
              </w:tc>
            </w:tr>
            <w:tr w14:paraId="75EE29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1914B939">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13</w:t>
                  </w:r>
                </w:p>
              </w:tc>
              <w:tc>
                <w:tcPr>
                  <w:tcW w:w="788" w:type="pct"/>
                  <w:tcBorders>
                    <w:tl2br w:val="nil"/>
                    <w:tr2bl w:val="nil"/>
                  </w:tcBorders>
                  <w:noWrap w:val="0"/>
                  <w:vAlign w:val="center"/>
                </w:tcPr>
                <w:p w14:paraId="4AE82E92">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记录和报告</w:t>
                  </w:r>
                </w:p>
              </w:tc>
              <w:tc>
                <w:tcPr>
                  <w:tcW w:w="3821" w:type="pct"/>
                  <w:tcBorders>
                    <w:tl2br w:val="nil"/>
                    <w:tr2bl w:val="nil"/>
                  </w:tcBorders>
                  <w:noWrap w:val="0"/>
                  <w:vAlign w:val="center"/>
                </w:tcPr>
                <w:p w14:paraId="4D2254CD">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设应急事故专门记录，建立档案和报告制度，设专门部门负责管理</w:t>
                  </w:r>
                </w:p>
              </w:tc>
            </w:tr>
            <w:tr w14:paraId="594644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9" w:type="pct"/>
                  <w:tcBorders>
                    <w:tl2br w:val="nil"/>
                    <w:tr2bl w:val="nil"/>
                  </w:tcBorders>
                  <w:noWrap w:val="0"/>
                  <w:vAlign w:val="center"/>
                </w:tcPr>
                <w:p w14:paraId="4B625A6C">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eastAsia" w:ascii="Times New Roman" w:hAnsi="Times New Roman" w:cs="Times New Roman"/>
                      <w:color w:val="000000"/>
                      <w:sz w:val="21"/>
                      <w:szCs w:val="21"/>
                      <w:u w:val="none"/>
                    </w:rPr>
                    <w:t>14</w:t>
                  </w:r>
                </w:p>
              </w:tc>
              <w:tc>
                <w:tcPr>
                  <w:tcW w:w="788" w:type="pct"/>
                  <w:tcBorders>
                    <w:tl2br w:val="nil"/>
                    <w:tr2bl w:val="nil"/>
                  </w:tcBorders>
                  <w:noWrap w:val="0"/>
                  <w:vAlign w:val="center"/>
                </w:tcPr>
                <w:p w14:paraId="5D48CB1B">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附件</w:t>
                  </w:r>
                </w:p>
              </w:tc>
              <w:tc>
                <w:tcPr>
                  <w:tcW w:w="3821" w:type="pct"/>
                  <w:tcBorders>
                    <w:tl2br w:val="nil"/>
                    <w:tr2bl w:val="nil"/>
                  </w:tcBorders>
                  <w:noWrap w:val="0"/>
                  <w:vAlign w:val="center"/>
                </w:tcPr>
                <w:p w14:paraId="04597B76">
                  <w:pPr>
                    <w:keepNext w:val="0"/>
                    <w:keepLines w:val="0"/>
                    <w:suppressLineNumbers w:val="0"/>
                    <w:spacing w:before="0" w:beforeAutospacing="0" w:after="0" w:afterAutospacing="0"/>
                    <w:ind w:left="0" w:right="0"/>
                    <w:jc w:val="center"/>
                    <w:rPr>
                      <w:rFonts w:hint="default" w:ascii="Times New Roman" w:hAnsi="Times New Roman" w:cs="Times New Roman"/>
                      <w:color w:val="000000"/>
                      <w:sz w:val="21"/>
                      <w:szCs w:val="21"/>
                      <w:u w:val="none"/>
                    </w:rPr>
                  </w:pPr>
                  <w:r>
                    <w:rPr>
                      <w:rFonts w:hint="default" w:ascii="Times New Roman" w:hAnsi="Times New Roman" w:cs="Times New Roman"/>
                      <w:color w:val="000000"/>
                      <w:sz w:val="21"/>
                      <w:szCs w:val="21"/>
                      <w:u w:val="none"/>
                    </w:rPr>
                    <w:t>准备并形成环境风险事故应急处理有关的附件材料</w:t>
                  </w:r>
                </w:p>
              </w:tc>
            </w:tr>
          </w:tbl>
          <w:p w14:paraId="1B708895">
            <w:pPr>
              <w:pStyle w:val="133"/>
              <w:keepNext w:val="0"/>
              <w:keepLines w:val="0"/>
              <w:suppressLineNumbers w:val="0"/>
              <w:spacing w:before="0" w:beforeAutospacing="0" w:after="0" w:afterAutospacing="0" w:line="360" w:lineRule="auto"/>
              <w:ind w:left="0" w:right="0" w:firstLine="482"/>
              <w:rPr>
                <w:rFonts w:hint="eastAsia" w:ascii="Times New Roman" w:hAnsi="Times New Roman" w:cs="Times New Roman"/>
                <w:b/>
                <w:bCs/>
                <w:color w:val="000000"/>
                <w:u w:val="none"/>
              </w:rPr>
            </w:pPr>
            <w:r>
              <w:rPr>
                <w:rFonts w:hint="eastAsia" w:ascii="Times New Roman" w:hAnsi="Times New Roman" w:cs="Times New Roman"/>
                <w:b/>
                <w:bCs/>
                <w:color w:val="000000"/>
                <w:u w:val="none"/>
                <w:lang w:val="en-US" w:eastAsia="zh-CN"/>
              </w:rPr>
              <w:t>6.</w:t>
            </w:r>
            <w:r>
              <w:rPr>
                <w:rFonts w:hint="eastAsia" w:cs="Times New Roman"/>
                <w:b/>
                <w:bCs/>
                <w:color w:val="000000"/>
                <w:u w:val="none"/>
                <w:lang w:val="en-US" w:eastAsia="zh-CN"/>
              </w:rPr>
              <w:t>9</w:t>
            </w:r>
            <w:r>
              <w:rPr>
                <w:rFonts w:hint="eastAsia" w:ascii="Times New Roman" w:hAnsi="Times New Roman" w:cs="Times New Roman"/>
                <w:b/>
                <w:bCs/>
                <w:color w:val="000000"/>
                <w:u w:val="none"/>
              </w:rPr>
              <w:t>、分析结论</w:t>
            </w:r>
          </w:p>
          <w:p w14:paraId="2F53DC8D">
            <w:pPr>
              <w:pStyle w:val="133"/>
              <w:keepNext w:val="0"/>
              <w:keepLines w:val="0"/>
              <w:suppressLineNumbers w:val="0"/>
              <w:spacing w:before="0" w:beforeAutospacing="0" w:after="0" w:afterAutospacing="0" w:line="360" w:lineRule="auto"/>
              <w:ind w:left="0" w:right="0" w:firstLine="480" w:firstLineChars="0"/>
              <w:rPr>
                <w:rFonts w:hint="eastAsia" w:ascii="Times New Roman" w:hAnsi="Times New Roman" w:cs="Times New Roman"/>
                <w:b/>
                <w:bCs/>
                <w:color w:val="000000"/>
                <w:sz w:val="21"/>
                <w:szCs w:val="21"/>
                <w:u w:val="none"/>
              </w:rPr>
            </w:pPr>
            <w:r>
              <w:rPr>
                <w:rFonts w:hint="eastAsia" w:ascii="Times New Roman" w:hAnsi="Times New Roman" w:cs="Times New Roman"/>
                <w:color w:val="000000"/>
                <w:u w:val="none"/>
              </w:rPr>
              <w:t>采取如上措施后，项目发生事故的可能性将大大降低。即使发生火灾等事故，也可利用配备的灭火器、消防砂等应急救援物资，及时有效地控制火灾的蔓延，将损失控制在较小的范围内，对厂区外周围环境不会产生大的影响。</w:t>
            </w:r>
          </w:p>
          <w:p w14:paraId="058AF4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cs="Times New Roman"/>
                <w:b/>
                <w:bCs/>
                <w:color w:val="auto"/>
                <w:sz w:val="24"/>
                <w:szCs w:val="24"/>
                <w:highlight w:val="none"/>
                <w:lang w:val="en-US" w:eastAsia="zh-CN"/>
              </w:rPr>
              <w:t>7</w:t>
            </w:r>
            <w:r>
              <w:rPr>
                <w:rFonts w:hint="default"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环保投资</w:t>
            </w:r>
          </w:p>
          <w:p w14:paraId="50208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项目总投资</w:t>
            </w:r>
            <w:r>
              <w:rPr>
                <w:rFonts w:hint="eastAsia" w:cs="Times New Roman"/>
                <w:b w:val="0"/>
                <w:bCs w:val="0"/>
                <w:color w:val="auto"/>
                <w:sz w:val="24"/>
                <w:szCs w:val="24"/>
                <w:highlight w:val="none"/>
                <w:u w:val="none"/>
                <w:lang w:val="en-US" w:eastAsia="zh-CN"/>
              </w:rPr>
              <w:t>20</w:t>
            </w:r>
            <w:r>
              <w:rPr>
                <w:rFonts w:hint="eastAsia" w:ascii="Times New Roman" w:hAnsi="Times New Roman" w:cs="Times New Roman"/>
                <w:b w:val="0"/>
                <w:bCs w:val="0"/>
                <w:color w:val="auto"/>
                <w:sz w:val="24"/>
                <w:szCs w:val="24"/>
                <w:highlight w:val="none"/>
                <w:u w:val="none"/>
                <w:lang w:val="en-US" w:eastAsia="zh-CN"/>
              </w:rPr>
              <w:t>00</w:t>
            </w:r>
            <w:r>
              <w:rPr>
                <w:rFonts w:hint="default" w:ascii="Times New Roman" w:hAnsi="Times New Roman" w:cs="Times New Roman"/>
                <w:b w:val="0"/>
                <w:bCs w:val="0"/>
                <w:color w:val="auto"/>
                <w:sz w:val="24"/>
                <w:szCs w:val="24"/>
                <w:highlight w:val="none"/>
                <w:u w:val="none"/>
                <w:lang w:val="en-US" w:eastAsia="zh-CN"/>
              </w:rPr>
              <w:t>万元，其中环保投资</w:t>
            </w:r>
            <w:r>
              <w:rPr>
                <w:rFonts w:hint="eastAsia" w:cs="Times New Roman"/>
                <w:b w:val="0"/>
                <w:bCs w:val="0"/>
                <w:color w:val="auto"/>
                <w:sz w:val="24"/>
                <w:szCs w:val="24"/>
                <w:highlight w:val="none"/>
                <w:u w:val="none"/>
                <w:lang w:val="en-US" w:eastAsia="zh-CN"/>
              </w:rPr>
              <w:t>216</w:t>
            </w:r>
            <w:r>
              <w:rPr>
                <w:rFonts w:hint="default" w:ascii="Times New Roman" w:hAnsi="Times New Roman" w:cs="Times New Roman"/>
                <w:b w:val="0"/>
                <w:bCs w:val="0"/>
                <w:color w:val="auto"/>
                <w:sz w:val="24"/>
                <w:szCs w:val="24"/>
                <w:highlight w:val="none"/>
                <w:u w:val="none"/>
                <w:lang w:val="en-US" w:eastAsia="zh-CN"/>
              </w:rPr>
              <w:t>万元，占总投资</w:t>
            </w:r>
            <w:r>
              <w:rPr>
                <w:rFonts w:hint="eastAsia" w:cs="Times New Roman"/>
                <w:b w:val="0"/>
                <w:bCs w:val="0"/>
                <w:color w:val="auto"/>
                <w:sz w:val="24"/>
                <w:szCs w:val="24"/>
                <w:highlight w:val="none"/>
                <w:u w:val="none"/>
                <w:lang w:val="en-US" w:eastAsia="zh-CN"/>
              </w:rPr>
              <w:t>10.8</w:t>
            </w:r>
            <w:r>
              <w:rPr>
                <w:rFonts w:hint="default" w:ascii="Times New Roman" w:hAnsi="Times New Roman" w:cs="Times New Roman"/>
                <w:b w:val="0"/>
                <w:bCs w:val="0"/>
                <w:color w:val="auto"/>
                <w:sz w:val="24"/>
                <w:szCs w:val="24"/>
                <w:highlight w:val="none"/>
                <w:u w:val="none"/>
                <w:lang w:val="en-US" w:eastAsia="zh-CN"/>
              </w:rPr>
              <w:t>%，环保投资情况见</w:t>
            </w:r>
            <w:r>
              <w:rPr>
                <w:rFonts w:hint="eastAsia" w:ascii="Times New Roman" w:hAnsi="Times New Roman" w:cs="Times New Roman"/>
                <w:b w:val="0"/>
                <w:bCs w:val="0"/>
                <w:color w:val="auto"/>
                <w:sz w:val="24"/>
                <w:szCs w:val="24"/>
                <w:highlight w:val="none"/>
                <w:u w:val="none"/>
                <w:lang w:val="en-US" w:eastAsia="zh-CN"/>
              </w:rPr>
              <w:t>4-2</w:t>
            </w:r>
            <w:r>
              <w:rPr>
                <w:rFonts w:hint="eastAsia" w:cs="Times New Roman"/>
                <w:b w:val="0"/>
                <w:bCs w:val="0"/>
                <w:color w:val="auto"/>
                <w:sz w:val="24"/>
                <w:szCs w:val="24"/>
                <w:highlight w:val="none"/>
                <w:u w:val="none"/>
                <w:lang w:val="en-US" w:eastAsia="zh-CN"/>
              </w:rPr>
              <w:t>4</w:t>
            </w:r>
            <w:r>
              <w:rPr>
                <w:rFonts w:hint="eastAsia" w:ascii="Times New Roman" w:hAnsi="Times New Roman" w:cs="Times New Roman"/>
                <w:b w:val="0"/>
                <w:bCs w:val="0"/>
                <w:color w:val="auto"/>
                <w:sz w:val="24"/>
                <w:szCs w:val="24"/>
                <w:highlight w:val="none"/>
                <w:u w:val="none"/>
                <w:lang w:val="en-US" w:eastAsia="zh-CN"/>
              </w:rPr>
              <w:t>。</w:t>
            </w:r>
          </w:p>
          <w:p w14:paraId="1D8C1FF8">
            <w:pPr>
              <w:pStyle w:val="108"/>
              <w:keepNext w:val="0"/>
              <w:keepLines w:val="0"/>
              <w:suppressLineNumbers w:val="0"/>
              <w:spacing w:before="0" w:beforeAutospacing="0" w:after="0" w:afterAutospacing="0"/>
              <w:ind w:left="0" w:righ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表</w:t>
            </w:r>
            <w:r>
              <w:rPr>
                <w:rFonts w:hint="default" w:ascii="Times New Roman" w:hAnsi="Times New Roman" w:cs="Times New Roman"/>
                <w:b/>
                <w:bCs/>
                <w:color w:val="auto"/>
                <w:sz w:val="21"/>
                <w:szCs w:val="21"/>
                <w:highlight w:val="none"/>
                <w:u w:val="none"/>
                <w:lang w:val="en-US" w:eastAsia="zh-CN"/>
              </w:rPr>
              <w:t>4</w:t>
            </w:r>
            <w:r>
              <w:rPr>
                <w:rFonts w:hint="default" w:ascii="Times New Roman" w:hAnsi="Times New Roman" w:cs="Times New Roman"/>
                <w:b/>
                <w:bCs/>
                <w:color w:val="auto"/>
                <w:sz w:val="21"/>
                <w:szCs w:val="21"/>
                <w:highlight w:val="none"/>
                <w:u w:val="none"/>
              </w:rPr>
              <w:t>-</w:t>
            </w:r>
            <w:r>
              <w:rPr>
                <w:rFonts w:hint="eastAsia" w:cs="Times New Roman"/>
                <w:b/>
                <w:bCs/>
                <w:color w:val="auto"/>
                <w:sz w:val="21"/>
                <w:szCs w:val="21"/>
                <w:highlight w:val="none"/>
                <w:u w:val="none"/>
                <w:lang w:val="en-US" w:eastAsia="zh-CN"/>
              </w:rPr>
              <w:t>24</w:t>
            </w:r>
            <w:r>
              <w:rPr>
                <w:rFonts w:hint="default" w:ascii="Times New Roman" w:hAnsi="Times New Roman" w:cs="Times New Roman"/>
                <w:b/>
                <w:bCs/>
                <w:color w:val="auto"/>
                <w:sz w:val="21"/>
                <w:szCs w:val="21"/>
                <w:highlight w:val="none"/>
                <w:u w:val="none"/>
              </w:rPr>
              <w:t xml:space="preserve">  </w:t>
            </w:r>
            <w:r>
              <w:rPr>
                <w:rFonts w:hint="eastAsia" w:cs="Times New Roman"/>
                <w:b/>
                <w:bCs/>
                <w:color w:val="auto"/>
                <w:sz w:val="21"/>
                <w:szCs w:val="21"/>
                <w:highlight w:val="none"/>
                <w:u w:val="none"/>
                <w:lang w:val="en-US" w:eastAsia="zh-CN"/>
              </w:rPr>
              <w:t>环保投资一览</w:t>
            </w:r>
            <w:r>
              <w:rPr>
                <w:rFonts w:hint="default" w:ascii="Times New Roman" w:hAnsi="Times New Roman" w:cs="Times New Roman"/>
                <w:b/>
                <w:bCs/>
                <w:color w:val="auto"/>
                <w:sz w:val="21"/>
                <w:szCs w:val="21"/>
                <w:highlight w:val="none"/>
                <w:u w:val="none"/>
              </w:rPr>
              <w:t>表</w:t>
            </w:r>
          </w:p>
          <w:tbl>
            <w:tblPr>
              <w:tblStyle w:val="44"/>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92"/>
              <w:gridCol w:w="1135"/>
              <w:gridCol w:w="4464"/>
              <w:gridCol w:w="2088"/>
            </w:tblGrid>
            <w:tr w14:paraId="68C91A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54" w:hRule="atLeast"/>
                <w:jc w:val="center"/>
              </w:trPr>
              <w:tc>
                <w:tcPr>
                  <w:tcW w:w="467" w:type="pct"/>
                  <w:tcBorders>
                    <w:tl2br w:val="nil"/>
                    <w:tr2bl w:val="nil"/>
                  </w:tcBorders>
                  <w:shd w:val="clear" w:color="auto" w:fill="auto"/>
                  <w:vAlign w:val="center"/>
                </w:tcPr>
                <w:p w14:paraId="0D035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序号</w:t>
                  </w:r>
                </w:p>
              </w:tc>
              <w:tc>
                <w:tcPr>
                  <w:tcW w:w="3301" w:type="pct"/>
                  <w:gridSpan w:val="2"/>
                  <w:tcBorders>
                    <w:tl2br w:val="nil"/>
                    <w:tr2bl w:val="nil"/>
                  </w:tcBorders>
                  <w:shd w:val="clear" w:color="auto" w:fill="auto"/>
                  <w:vAlign w:val="center"/>
                </w:tcPr>
                <w:p w14:paraId="12349A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投资内容</w:t>
                  </w:r>
                </w:p>
              </w:tc>
              <w:tc>
                <w:tcPr>
                  <w:tcW w:w="1231" w:type="pct"/>
                  <w:tcBorders>
                    <w:tl2br w:val="nil"/>
                    <w:tr2bl w:val="nil"/>
                  </w:tcBorders>
                  <w:shd w:val="clear" w:color="auto" w:fill="auto"/>
                  <w:vAlign w:val="center"/>
                </w:tcPr>
                <w:p w14:paraId="41C593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投资费用(万元)</w:t>
                  </w:r>
                </w:p>
              </w:tc>
            </w:tr>
            <w:tr w14:paraId="2647FD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tcBorders>
                    <w:tl2br w:val="nil"/>
                    <w:tr2bl w:val="nil"/>
                  </w:tcBorders>
                  <w:shd w:val="clear" w:color="auto" w:fill="auto"/>
                  <w:vAlign w:val="center"/>
                </w:tcPr>
                <w:p w14:paraId="6EE63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一</w:t>
                  </w:r>
                </w:p>
              </w:tc>
              <w:tc>
                <w:tcPr>
                  <w:tcW w:w="669" w:type="pct"/>
                  <w:tcBorders>
                    <w:tl2br w:val="nil"/>
                    <w:tr2bl w:val="nil"/>
                  </w:tcBorders>
                  <w:shd w:val="clear" w:color="auto" w:fill="auto"/>
                  <w:vAlign w:val="center"/>
                </w:tcPr>
                <w:p w14:paraId="7B8BF2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废水</w:t>
                  </w:r>
                </w:p>
              </w:tc>
              <w:tc>
                <w:tcPr>
                  <w:tcW w:w="2632" w:type="pct"/>
                  <w:tcBorders>
                    <w:tl2br w:val="nil"/>
                    <w:tr2bl w:val="nil"/>
                  </w:tcBorders>
                  <w:shd w:val="clear" w:color="auto" w:fill="auto"/>
                  <w:vAlign w:val="center"/>
                </w:tcPr>
                <w:p w14:paraId="3DCE6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化粪池</w:t>
                  </w:r>
                </w:p>
              </w:tc>
              <w:tc>
                <w:tcPr>
                  <w:tcW w:w="1231" w:type="pct"/>
                  <w:tcBorders>
                    <w:tl2br w:val="nil"/>
                    <w:tr2bl w:val="nil"/>
                  </w:tcBorders>
                  <w:shd w:val="clear" w:color="auto" w:fill="auto"/>
                  <w:vAlign w:val="center"/>
                </w:tcPr>
                <w:p w14:paraId="334C9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1</w:t>
                  </w:r>
                </w:p>
              </w:tc>
            </w:tr>
            <w:tr w14:paraId="377BA6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tcBorders>
                    <w:tl2br w:val="nil"/>
                    <w:tr2bl w:val="nil"/>
                  </w:tcBorders>
                  <w:shd w:val="clear" w:color="auto" w:fill="auto"/>
                  <w:vAlign w:val="center"/>
                </w:tcPr>
                <w:p w14:paraId="13E1E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w:t>
                  </w:r>
                </w:p>
              </w:tc>
              <w:tc>
                <w:tcPr>
                  <w:tcW w:w="669" w:type="pct"/>
                  <w:tcBorders>
                    <w:tl2br w:val="nil"/>
                    <w:tr2bl w:val="nil"/>
                  </w:tcBorders>
                  <w:shd w:val="clear" w:color="auto" w:fill="auto"/>
                  <w:vAlign w:val="center"/>
                </w:tcPr>
                <w:p w14:paraId="306F2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废气</w:t>
                  </w:r>
                </w:p>
              </w:tc>
              <w:tc>
                <w:tcPr>
                  <w:tcW w:w="2632" w:type="pct"/>
                  <w:tcBorders>
                    <w:tl2br w:val="nil"/>
                    <w:tr2bl w:val="nil"/>
                  </w:tcBorders>
                  <w:shd w:val="clear" w:color="auto" w:fill="auto"/>
                  <w:vAlign w:val="center"/>
                </w:tcPr>
                <w:p w14:paraId="11366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FF"/>
                      <w:sz w:val="21"/>
                      <w:szCs w:val="21"/>
                      <w:u w:val="none"/>
                    </w:rPr>
                  </w:pPr>
                  <w:r>
                    <w:rPr>
                      <w:rFonts w:hint="eastAsia" w:cs="Times New Roman"/>
                      <w:i w:val="0"/>
                      <w:iCs w:val="0"/>
                      <w:color w:val="auto"/>
                      <w:kern w:val="0"/>
                      <w:sz w:val="21"/>
                      <w:szCs w:val="21"/>
                      <w:u w:val="none"/>
                      <w:lang w:val="en-US" w:eastAsia="zh-CN" w:bidi="ar"/>
                    </w:rPr>
                    <w:t>沸石转轮浓缩</w:t>
                  </w:r>
                  <w:r>
                    <w:rPr>
                      <w:rFonts w:hint="default" w:ascii="Times New Roman" w:hAnsi="Times New Roman" w:eastAsia="宋体" w:cs="Times New Roman"/>
                      <w:i w:val="0"/>
                      <w:iCs w:val="0"/>
                      <w:color w:val="auto"/>
                      <w:kern w:val="0"/>
                      <w:sz w:val="21"/>
                      <w:szCs w:val="21"/>
                      <w:u w:val="none"/>
                      <w:lang w:val="en-US" w:eastAsia="zh-CN" w:bidi="ar"/>
                    </w:rPr>
                    <w:t>+RTO</w:t>
                  </w:r>
                  <w:r>
                    <w:rPr>
                      <w:rFonts w:hint="eastAsia" w:cs="Times New Roman"/>
                      <w:i w:val="0"/>
                      <w:iCs w:val="0"/>
                      <w:color w:val="auto"/>
                      <w:kern w:val="0"/>
                      <w:sz w:val="21"/>
                      <w:szCs w:val="21"/>
                      <w:u w:val="none"/>
                      <w:lang w:val="en-US" w:eastAsia="zh-CN" w:bidi="ar"/>
                    </w:rPr>
                    <w:t>+15m</w:t>
                  </w:r>
                  <w:r>
                    <w:rPr>
                      <w:rFonts w:hint="default" w:ascii="Times New Roman" w:hAnsi="Times New Roman" w:eastAsia="宋体" w:cs="Times New Roman"/>
                      <w:i w:val="0"/>
                      <w:iCs w:val="0"/>
                      <w:color w:val="auto"/>
                      <w:kern w:val="0"/>
                      <w:sz w:val="21"/>
                      <w:szCs w:val="21"/>
                      <w:u w:val="none"/>
                      <w:lang w:val="en-US" w:eastAsia="zh-CN" w:bidi="ar"/>
                    </w:rPr>
                    <w:t>排气筒</w:t>
                  </w:r>
                </w:p>
              </w:tc>
              <w:tc>
                <w:tcPr>
                  <w:tcW w:w="1231" w:type="pct"/>
                  <w:tcBorders>
                    <w:tl2br w:val="nil"/>
                    <w:tr2bl w:val="nil"/>
                  </w:tcBorders>
                  <w:shd w:val="clear" w:color="auto" w:fill="auto"/>
                  <w:vAlign w:val="center"/>
                </w:tcPr>
                <w:p w14:paraId="1A792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cs="Times New Roman"/>
                      <w:i w:val="0"/>
                      <w:iCs w:val="0"/>
                      <w:color w:val="000000"/>
                      <w:kern w:val="0"/>
                      <w:sz w:val="21"/>
                      <w:szCs w:val="21"/>
                      <w:u w:val="none"/>
                      <w:lang w:val="en-US" w:eastAsia="zh-CN" w:bidi="ar"/>
                    </w:rPr>
                    <w:t>20</w:t>
                  </w:r>
                  <w:r>
                    <w:rPr>
                      <w:rFonts w:hint="default" w:ascii="Times New Roman" w:hAnsi="Times New Roman" w:eastAsia="宋体" w:cs="Times New Roman"/>
                      <w:i w:val="0"/>
                      <w:iCs w:val="0"/>
                      <w:color w:val="000000"/>
                      <w:kern w:val="0"/>
                      <w:sz w:val="21"/>
                      <w:szCs w:val="21"/>
                      <w:u w:val="none"/>
                      <w:lang w:val="en-US" w:eastAsia="zh-CN" w:bidi="ar"/>
                    </w:rPr>
                    <w:t>0</w:t>
                  </w:r>
                </w:p>
              </w:tc>
            </w:tr>
            <w:tr w14:paraId="72C0E0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tcBorders>
                    <w:tl2br w:val="nil"/>
                    <w:tr2bl w:val="nil"/>
                  </w:tcBorders>
                  <w:shd w:val="clear" w:color="auto" w:fill="auto"/>
                  <w:vAlign w:val="center"/>
                </w:tcPr>
                <w:p w14:paraId="14210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w:t>
                  </w:r>
                </w:p>
              </w:tc>
              <w:tc>
                <w:tcPr>
                  <w:tcW w:w="669" w:type="pct"/>
                  <w:tcBorders>
                    <w:tl2br w:val="nil"/>
                    <w:tr2bl w:val="nil"/>
                  </w:tcBorders>
                  <w:shd w:val="clear" w:color="auto" w:fill="auto"/>
                  <w:vAlign w:val="center"/>
                </w:tcPr>
                <w:p w14:paraId="7C734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噪声</w:t>
                  </w:r>
                </w:p>
              </w:tc>
              <w:tc>
                <w:tcPr>
                  <w:tcW w:w="2632" w:type="pct"/>
                  <w:tcBorders>
                    <w:tl2br w:val="nil"/>
                    <w:tr2bl w:val="nil"/>
                  </w:tcBorders>
                  <w:shd w:val="clear" w:color="auto" w:fill="auto"/>
                  <w:vAlign w:val="center"/>
                </w:tcPr>
                <w:p w14:paraId="452FFB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减震垫、消声器、建筑隔声</w:t>
                  </w:r>
                </w:p>
              </w:tc>
              <w:tc>
                <w:tcPr>
                  <w:tcW w:w="1231" w:type="pct"/>
                  <w:tcBorders>
                    <w:tl2br w:val="nil"/>
                    <w:tr2bl w:val="nil"/>
                  </w:tcBorders>
                  <w:shd w:val="clear" w:color="auto" w:fill="auto"/>
                  <w:vAlign w:val="center"/>
                </w:tcPr>
                <w:p w14:paraId="54166E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r>
            <w:tr w14:paraId="714AF8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vMerge w:val="restart"/>
                  <w:tcBorders>
                    <w:tl2br w:val="nil"/>
                    <w:tr2bl w:val="nil"/>
                  </w:tcBorders>
                  <w:shd w:val="clear" w:color="auto" w:fill="auto"/>
                  <w:vAlign w:val="center"/>
                </w:tcPr>
                <w:p w14:paraId="1D54F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w:t>
                  </w:r>
                </w:p>
              </w:tc>
              <w:tc>
                <w:tcPr>
                  <w:tcW w:w="669" w:type="pct"/>
                  <w:vMerge w:val="restart"/>
                  <w:tcBorders>
                    <w:tl2br w:val="nil"/>
                    <w:tr2bl w:val="nil"/>
                  </w:tcBorders>
                  <w:shd w:val="clear" w:color="auto" w:fill="auto"/>
                  <w:vAlign w:val="center"/>
                </w:tcPr>
                <w:p w14:paraId="6A797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固废</w:t>
                  </w:r>
                </w:p>
              </w:tc>
              <w:tc>
                <w:tcPr>
                  <w:tcW w:w="2632" w:type="pct"/>
                  <w:tcBorders>
                    <w:tl2br w:val="nil"/>
                    <w:tr2bl w:val="nil"/>
                  </w:tcBorders>
                  <w:shd w:val="clear" w:color="auto" w:fill="auto"/>
                  <w:vAlign w:val="center"/>
                </w:tcPr>
                <w:p w14:paraId="7D86AB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一座</w:t>
                  </w:r>
                  <w:r>
                    <w:rPr>
                      <w:rFonts w:hint="eastAsia"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0m²危险废物暂存间</w:t>
                  </w:r>
                </w:p>
              </w:tc>
              <w:tc>
                <w:tcPr>
                  <w:tcW w:w="1231" w:type="pct"/>
                  <w:tcBorders>
                    <w:tl2br w:val="nil"/>
                    <w:tr2bl w:val="nil"/>
                  </w:tcBorders>
                  <w:shd w:val="clear" w:color="auto" w:fill="auto"/>
                  <w:vAlign w:val="center"/>
                </w:tcPr>
                <w:p w14:paraId="77CDC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r>
            <w:tr w14:paraId="37B0D9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vMerge w:val="continue"/>
                  <w:tcBorders>
                    <w:tl2br w:val="nil"/>
                    <w:tr2bl w:val="nil"/>
                  </w:tcBorders>
                  <w:shd w:val="clear" w:color="auto" w:fill="auto"/>
                  <w:vAlign w:val="center"/>
                </w:tcPr>
                <w:p w14:paraId="38EFE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669" w:type="pct"/>
                  <w:vMerge w:val="continue"/>
                  <w:tcBorders>
                    <w:tl2br w:val="nil"/>
                    <w:tr2bl w:val="nil"/>
                  </w:tcBorders>
                  <w:shd w:val="clear" w:color="auto" w:fill="auto"/>
                  <w:vAlign w:val="center"/>
                </w:tcPr>
                <w:p w14:paraId="1EA7DC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2632" w:type="pct"/>
                  <w:tcBorders>
                    <w:tl2br w:val="nil"/>
                    <w:tr2bl w:val="nil"/>
                  </w:tcBorders>
                  <w:shd w:val="clear" w:color="auto" w:fill="auto"/>
                  <w:vAlign w:val="center"/>
                </w:tcPr>
                <w:p w14:paraId="30DC8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一座</w:t>
                  </w:r>
                  <w:r>
                    <w:rPr>
                      <w:rFonts w:hint="eastAsia" w:cs="Times New Roman"/>
                      <w:i w:val="0"/>
                      <w:iCs w:val="0"/>
                      <w:color w:val="000000"/>
                      <w:kern w:val="0"/>
                      <w:sz w:val="21"/>
                      <w:szCs w:val="21"/>
                      <w:u w:val="none"/>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t>0m²一般固废暂存间</w:t>
                  </w:r>
                </w:p>
              </w:tc>
              <w:tc>
                <w:tcPr>
                  <w:tcW w:w="1231" w:type="pct"/>
                  <w:tcBorders>
                    <w:tl2br w:val="nil"/>
                    <w:tr2bl w:val="nil"/>
                  </w:tcBorders>
                  <w:shd w:val="clear" w:color="auto" w:fill="auto"/>
                  <w:vAlign w:val="center"/>
                </w:tcPr>
                <w:p w14:paraId="0626F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r>
            <w:tr w14:paraId="63A682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vMerge w:val="restart"/>
                  <w:tcBorders>
                    <w:tl2br w:val="nil"/>
                    <w:tr2bl w:val="nil"/>
                  </w:tcBorders>
                  <w:shd w:val="clear" w:color="auto" w:fill="auto"/>
                  <w:vAlign w:val="center"/>
                </w:tcPr>
                <w:p w14:paraId="2F56A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五</w:t>
                  </w:r>
                </w:p>
              </w:tc>
              <w:tc>
                <w:tcPr>
                  <w:tcW w:w="669" w:type="pct"/>
                  <w:vMerge w:val="restart"/>
                  <w:tcBorders>
                    <w:tl2br w:val="nil"/>
                    <w:tr2bl w:val="nil"/>
                  </w:tcBorders>
                  <w:shd w:val="clear" w:color="auto" w:fill="auto"/>
                  <w:vAlign w:val="center"/>
                </w:tcPr>
                <w:p w14:paraId="0960B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环境风险</w:t>
                  </w:r>
                </w:p>
              </w:tc>
              <w:tc>
                <w:tcPr>
                  <w:tcW w:w="2632" w:type="pct"/>
                  <w:tcBorders>
                    <w:tl2br w:val="nil"/>
                    <w:tr2bl w:val="nil"/>
                  </w:tcBorders>
                  <w:shd w:val="clear" w:color="auto" w:fill="auto"/>
                  <w:vAlign w:val="center"/>
                </w:tcPr>
                <w:p w14:paraId="51704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危险化学品库导流沟、1m³应急空桶</w:t>
                  </w:r>
                </w:p>
              </w:tc>
              <w:tc>
                <w:tcPr>
                  <w:tcW w:w="1231" w:type="pct"/>
                  <w:tcBorders>
                    <w:tl2br w:val="nil"/>
                    <w:tr2bl w:val="nil"/>
                  </w:tcBorders>
                  <w:shd w:val="clear" w:color="auto" w:fill="auto"/>
                  <w:vAlign w:val="center"/>
                </w:tcPr>
                <w:p w14:paraId="1D632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r>
            <w:tr w14:paraId="42AC6E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vMerge w:val="continue"/>
                  <w:tcBorders>
                    <w:tl2br w:val="nil"/>
                    <w:tr2bl w:val="nil"/>
                  </w:tcBorders>
                  <w:shd w:val="clear" w:color="auto" w:fill="auto"/>
                  <w:vAlign w:val="center"/>
                </w:tcPr>
                <w:p w14:paraId="7CD763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669" w:type="pct"/>
                  <w:vMerge w:val="continue"/>
                  <w:tcBorders>
                    <w:tl2br w:val="nil"/>
                    <w:tr2bl w:val="nil"/>
                  </w:tcBorders>
                  <w:shd w:val="clear" w:color="auto" w:fill="auto"/>
                  <w:vAlign w:val="center"/>
                </w:tcPr>
                <w:p w14:paraId="24E59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rPr>
                      <w:rFonts w:hint="eastAsia" w:ascii="Times New Roman" w:hAnsi="Times New Roman" w:eastAsia="宋体" w:cs="Times New Roman"/>
                      <w:i w:val="0"/>
                      <w:iCs w:val="0"/>
                      <w:color w:val="000000"/>
                      <w:sz w:val="21"/>
                      <w:szCs w:val="21"/>
                      <w:u w:val="none"/>
                    </w:rPr>
                  </w:pPr>
                </w:p>
              </w:tc>
              <w:tc>
                <w:tcPr>
                  <w:tcW w:w="2632" w:type="pct"/>
                  <w:tcBorders>
                    <w:tl2br w:val="nil"/>
                    <w:tr2bl w:val="nil"/>
                  </w:tcBorders>
                  <w:shd w:val="clear" w:color="auto" w:fill="auto"/>
                  <w:vAlign w:val="center"/>
                </w:tcPr>
                <w:p w14:paraId="570AD1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雨水截流</w:t>
                  </w:r>
                  <w:r>
                    <w:rPr>
                      <w:rFonts w:hint="eastAsia" w:ascii="Times New Roman" w:hAnsi="Times New Roman" w:eastAsia="宋体" w:cs="Times New Roman"/>
                      <w:i w:val="0"/>
                      <w:iCs w:val="0"/>
                      <w:color w:val="000000"/>
                      <w:kern w:val="0"/>
                      <w:sz w:val="21"/>
                      <w:szCs w:val="21"/>
                      <w:u w:val="none"/>
                      <w:lang w:val="en-US" w:eastAsia="zh-CN" w:bidi="ar"/>
                    </w:rPr>
                    <w:t>设施</w:t>
                  </w:r>
                </w:p>
              </w:tc>
              <w:tc>
                <w:tcPr>
                  <w:tcW w:w="1231" w:type="pct"/>
                  <w:tcBorders>
                    <w:tl2br w:val="nil"/>
                    <w:tr2bl w:val="nil"/>
                  </w:tcBorders>
                  <w:shd w:val="clear" w:color="auto" w:fill="auto"/>
                  <w:vAlign w:val="center"/>
                </w:tcPr>
                <w:p w14:paraId="5DA2E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r>
            <w:tr w14:paraId="5F61B7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67" w:type="pct"/>
                  <w:tcBorders>
                    <w:tl2br w:val="nil"/>
                    <w:tr2bl w:val="nil"/>
                  </w:tcBorders>
                  <w:shd w:val="clear" w:color="auto" w:fill="auto"/>
                  <w:vAlign w:val="center"/>
                </w:tcPr>
                <w:p w14:paraId="1CF14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六</w:t>
                  </w:r>
                </w:p>
              </w:tc>
              <w:tc>
                <w:tcPr>
                  <w:tcW w:w="3301" w:type="pct"/>
                  <w:gridSpan w:val="2"/>
                  <w:tcBorders>
                    <w:tl2br w:val="nil"/>
                    <w:tr2bl w:val="nil"/>
                  </w:tcBorders>
                  <w:shd w:val="clear" w:color="auto" w:fill="auto"/>
                  <w:vAlign w:val="center"/>
                </w:tcPr>
                <w:p w14:paraId="10EC8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合计</w:t>
                  </w:r>
                </w:p>
              </w:tc>
              <w:tc>
                <w:tcPr>
                  <w:tcW w:w="1231" w:type="pct"/>
                  <w:tcBorders>
                    <w:tl2br w:val="nil"/>
                    <w:tr2bl w:val="nil"/>
                  </w:tcBorders>
                  <w:shd w:val="clear" w:color="auto" w:fill="auto"/>
                  <w:vAlign w:val="center"/>
                </w:tcPr>
                <w:p w14:paraId="0A5C7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Chars="0"/>
                    <w:jc w:val="center"/>
                    <w:textAlignment w:val="top"/>
                    <w:rPr>
                      <w:rFonts w:hint="default" w:ascii="Times New Roman" w:hAnsi="Times New Roman" w:eastAsia="宋体" w:cs="Times New Roman"/>
                      <w:i w:val="0"/>
                      <w:iCs w:val="0"/>
                      <w:color w:val="000000"/>
                      <w:sz w:val="21"/>
                      <w:szCs w:val="21"/>
                      <w:u w:val="none"/>
                      <w:lang w:val="en-US"/>
                    </w:rPr>
                  </w:pPr>
                  <w:r>
                    <w:rPr>
                      <w:rFonts w:hint="eastAsia" w:cs="Times New Roman"/>
                      <w:i w:val="0"/>
                      <w:iCs w:val="0"/>
                      <w:color w:val="000000"/>
                      <w:kern w:val="0"/>
                      <w:sz w:val="21"/>
                      <w:szCs w:val="21"/>
                      <w:u w:val="none"/>
                      <w:lang w:val="en-US" w:eastAsia="zh-CN" w:bidi="ar"/>
                    </w:rPr>
                    <w:t>216</w:t>
                  </w:r>
                </w:p>
              </w:tc>
            </w:tr>
          </w:tbl>
          <w:p w14:paraId="77729D02">
            <w:pPr>
              <w:keepNext w:val="0"/>
              <w:keepLines w:val="0"/>
              <w:suppressLineNumbers w:val="0"/>
              <w:spacing w:before="0" w:beforeAutospacing="0" w:after="0" w:afterAutospacing="0" w:line="360" w:lineRule="auto"/>
              <w:ind w:left="0" w:right="0" w:firstLine="482" w:firstLineChars="200"/>
              <w:jc w:val="left"/>
              <w:rPr>
                <w:rFonts w:hint="default" w:ascii="Times New Roman" w:hAnsi="Times New Roman" w:cs="Times New Roman"/>
                <w:b/>
                <w:bCs/>
                <w:color w:val="auto"/>
                <w:sz w:val="24"/>
                <w:szCs w:val="24"/>
                <w:highlight w:val="none"/>
                <w:u w:val="none"/>
              </w:rPr>
            </w:pPr>
            <w:r>
              <w:rPr>
                <w:rFonts w:hint="eastAsia" w:ascii="Times New Roman" w:hAnsi="Times New Roman" w:cs="Times New Roman"/>
                <w:b/>
                <w:bCs/>
                <w:color w:val="auto"/>
                <w:sz w:val="24"/>
                <w:szCs w:val="24"/>
                <w:highlight w:val="none"/>
                <w:u w:val="none"/>
                <w:lang w:val="en-US" w:eastAsia="zh-CN"/>
              </w:rPr>
              <w:t>8、</w:t>
            </w:r>
            <w:r>
              <w:rPr>
                <w:rFonts w:hint="default" w:ascii="Times New Roman" w:hAnsi="Times New Roman" w:cs="Times New Roman"/>
                <w:b/>
                <w:bCs/>
                <w:color w:val="auto"/>
                <w:sz w:val="24"/>
                <w:szCs w:val="24"/>
                <w:highlight w:val="none"/>
                <w:u w:val="none"/>
              </w:rPr>
              <w:t>环境管理</w:t>
            </w:r>
          </w:p>
          <w:p w14:paraId="5A340E4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2"/>
                <w:highlight w:val="none"/>
                <w:u w:val="none"/>
                <w:lang w:val="en-US" w:eastAsia="zh-CN"/>
              </w:rPr>
            </w:pPr>
            <w:r>
              <w:rPr>
                <w:rFonts w:hint="eastAsia" w:ascii="Times New Roman" w:hAnsi="Times New Roman" w:cs="Times New Roman"/>
                <w:color w:val="auto"/>
                <w:sz w:val="24"/>
                <w:szCs w:val="22"/>
                <w:highlight w:val="none"/>
                <w:u w:val="none"/>
                <w:lang w:val="zh-CN"/>
              </w:rPr>
              <w:t>（</w:t>
            </w:r>
            <w:r>
              <w:rPr>
                <w:rFonts w:hint="eastAsia" w:ascii="Times New Roman" w:hAnsi="Times New Roman" w:cs="Times New Roman"/>
                <w:color w:val="auto"/>
                <w:sz w:val="24"/>
                <w:szCs w:val="22"/>
                <w:highlight w:val="none"/>
                <w:u w:val="none"/>
                <w:lang w:val="en-US" w:eastAsia="zh-CN"/>
              </w:rPr>
              <w:t>1</w:t>
            </w:r>
            <w:r>
              <w:rPr>
                <w:rFonts w:hint="eastAsia" w:ascii="Times New Roman" w:hAnsi="Times New Roman" w:cs="Times New Roman"/>
                <w:color w:val="auto"/>
                <w:sz w:val="24"/>
                <w:szCs w:val="22"/>
                <w:highlight w:val="none"/>
                <w:u w:val="none"/>
                <w:lang w:val="zh-CN"/>
              </w:rPr>
              <w:t>）</w:t>
            </w:r>
            <w:r>
              <w:rPr>
                <w:rFonts w:hint="eastAsia" w:ascii="Times New Roman" w:hAnsi="Times New Roman" w:cs="Times New Roman"/>
                <w:color w:val="auto"/>
                <w:sz w:val="24"/>
                <w:szCs w:val="22"/>
                <w:highlight w:val="none"/>
                <w:u w:val="none"/>
                <w:lang w:val="en-US" w:eastAsia="zh-CN"/>
              </w:rPr>
              <w:t>营运期环境管理</w:t>
            </w:r>
          </w:p>
          <w:p w14:paraId="0FCE732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lang w:val="zh-CN"/>
              </w:rPr>
              <w:t>拟建项目必须贯彻执行国家有关方针、政策、法律和法规，必须配备专管环保的工作人员，特别注意对污水、废气和工业固废的监督管理，保证达标排放和符合环保要求。统一安排，积极贯彻“预防为主、防治结合”的方针，形成环境管理经常化、制度化；对运行中产生的问题需</w:t>
            </w:r>
            <w:r>
              <w:rPr>
                <w:rFonts w:hint="eastAsia" w:ascii="Times New Roman" w:hAnsi="Times New Roman" w:cs="Times New Roman"/>
                <w:color w:val="auto"/>
                <w:sz w:val="24"/>
                <w:szCs w:val="22"/>
                <w:highlight w:val="none"/>
                <w:u w:val="none"/>
                <w:lang w:val="en-US" w:eastAsia="zh-CN"/>
              </w:rPr>
              <w:t>及时</w:t>
            </w:r>
            <w:r>
              <w:rPr>
                <w:rFonts w:hint="default" w:ascii="Times New Roman" w:hAnsi="Times New Roman" w:cs="Times New Roman"/>
                <w:color w:val="auto"/>
                <w:sz w:val="24"/>
                <w:szCs w:val="22"/>
                <w:highlight w:val="none"/>
                <w:u w:val="none"/>
                <w:lang w:val="zh-CN"/>
              </w:rPr>
              <w:t>制定相应对策，加强与环境保护部门的联系与配合，结合环境监测的结果，及时掌握环境质量的变化状况，采取有效措施把污染控制在国家标准允许的范围内。一旦发生环保污染事故、人身健康危害，要速与当地</w:t>
            </w:r>
            <w:r>
              <w:rPr>
                <w:rFonts w:hint="eastAsia" w:cs="Times New Roman"/>
                <w:color w:val="auto"/>
                <w:sz w:val="24"/>
                <w:szCs w:val="22"/>
                <w:highlight w:val="none"/>
                <w:u w:val="none"/>
                <w:lang w:val="en-US" w:eastAsia="zh-CN"/>
              </w:rPr>
              <w:t>生态环境</w:t>
            </w:r>
            <w:r>
              <w:rPr>
                <w:rFonts w:hint="default" w:ascii="Times New Roman" w:hAnsi="Times New Roman" w:cs="Times New Roman"/>
                <w:color w:val="auto"/>
                <w:sz w:val="24"/>
                <w:szCs w:val="22"/>
                <w:highlight w:val="none"/>
                <w:u w:val="none"/>
                <w:lang w:val="zh-CN"/>
              </w:rPr>
              <w:t>、环卫、市政、公安、医疗等部门密切结合，及时消除影响，防治环境污染，保证人员的安全。环境污染要及时做出应急处理。以下几项具体工作应特别注意抓好。</w:t>
            </w:r>
          </w:p>
          <w:p w14:paraId="321E8B7C">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rPr>
              <w:t>1</w:t>
            </w:r>
            <w:r>
              <w:rPr>
                <w:rFonts w:hint="default" w:ascii="Times New Roman" w:hAnsi="Times New Roman" w:cs="Times New Roman"/>
                <w:color w:val="auto"/>
                <w:sz w:val="24"/>
                <w:szCs w:val="22"/>
                <w:highlight w:val="none"/>
                <w:u w:val="none"/>
                <w:lang w:val="zh-CN"/>
              </w:rPr>
              <w:t>）加强对员工环境意识的宣传教育，特别是领导层的环保意识要加强，应将市场建设与环境保护结合在一起来综合考虑。</w:t>
            </w:r>
          </w:p>
          <w:p w14:paraId="61F39F8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rPr>
              <w:t>2</w:t>
            </w:r>
            <w:r>
              <w:rPr>
                <w:rFonts w:hint="default" w:ascii="Times New Roman" w:hAnsi="Times New Roman" w:cs="Times New Roman"/>
                <w:color w:val="auto"/>
                <w:sz w:val="24"/>
                <w:szCs w:val="22"/>
                <w:highlight w:val="none"/>
                <w:u w:val="none"/>
                <w:lang w:val="zh-CN"/>
              </w:rPr>
              <w:t>）加强管理，</w:t>
            </w:r>
            <w:r>
              <w:rPr>
                <w:rFonts w:hint="eastAsia" w:ascii="Times New Roman" w:hAnsi="Times New Roman" w:cs="Times New Roman"/>
                <w:color w:val="auto"/>
                <w:sz w:val="24"/>
                <w:szCs w:val="22"/>
                <w:highlight w:val="none"/>
                <w:u w:val="none"/>
                <w:lang w:val="en-US" w:eastAsia="zh-CN"/>
              </w:rPr>
              <w:t>场区地面每天定时进行清扫和洒水降尘，</w:t>
            </w:r>
            <w:r>
              <w:rPr>
                <w:rFonts w:hint="default" w:ascii="Times New Roman" w:hAnsi="Times New Roman" w:cs="Times New Roman"/>
                <w:color w:val="auto"/>
                <w:sz w:val="24"/>
                <w:szCs w:val="22"/>
                <w:highlight w:val="none"/>
                <w:u w:val="none"/>
                <w:lang w:val="zh-CN"/>
              </w:rPr>
              <w:t>实行垃圾分类回收，做好绿化工作。</w:t>
            </w:r>
          </w:p>
          <w:p w14:paraId="72BF3D6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rPr>
              <w:t>3</w:t>
            </w:r>
            <w:r>
              <w:rPr>
                <w:rFonts w:hint="default" w:ascii="Times New Roman" w:hAnsi="Times New Roman" w:cs="Times New Roman"/>
                <w:color w:val="auto"/>
                <w:sz w:val="24"/>
                <w:szCs w:val="22"/>
                <w:highlight w:val="none"/>
                <w:u w:val="none"/>
                <w:lang w:val="zh-CN"/>
              </w:rPr>
              <w:t>）</w:t>
            </w:r>
            <w:r>
              <w:rPr>
                <w:rFonts w:hint="default" w:ascii="Times New Roman" w:hAnsi="Times New Roman" w:cs="Times New Roman"/>
                <w:bCs/>
                <w:color w:val="auto"/>
                <w:sz w:val="24"/>
                <w:szCs w:val="24"/>
                <w:highlight w:val="none"/>
                <w:u w:val="none"/>
              </w:rPr>
              <w:t>负责该项目内所有环保设施的日常运行管理，保障各环保设施的正常运行，</w:t>
            </w:r>
            <w:r>
              <w:rPr>
                <w:rFonts w:hint="default" w:ascii="Times New Roman" w:hAnsi="Times New Roman" w:eastAsia="宋体" w:cs="Times New Roman"/>
                <w:bCs/>
                <w:color w:val="auto"/>
                <w:sz w:val="24"/>
                <w:szCs w:val="24"/>
                <w:highlight w:val="none"/>
                <w:u w:val="none"/>
              </w:rPr>
              <w:t>制定污染治理操作规程，</w:t>
            </w:r>
            <w:r>
              <w:rPr>
                <w:rFonts w:hint="eastAsia" w:ascii="Times New Roman" w:hAnsi="Times New Roman" w:eastAsia="宋体" w:cs="Times New Roman"/>
                <w:bCs/>
                <w:color w:val="auto"/>
                <w:sz w:val="24"/>
                <w:szCs w:val="24"/>
                <w:highlight w:val="none"/>
                <w:u w:val="none"/>
                <w:lang w:val="en-US" w:eastAsia="zh-CN"/>
              </w:rPr>
              <w:t>设专人管理环保设施运行，</w:t>
            </w:r>
            <w:r>
              <w:rPr>
                <w:rFonts w:hint="default" w:ascii="Times New Roman" w:hAnsi="Times New Roman" w:eastAsia="宋体" w:cs="Times New Roman"/>
                <w:bCs/>
                <w:color w:val="auto"/>
                <w:sz w:val="24"/>
                <w:szCs w:val="24"/>
                <w:highlight w:val="none"/>
                <w:u w:val="none"/>
              </w:rPr>
              <w:t>记录污染治理设施运行及检修情况，确保治理设施常年正常运行</w:t>
            </w:r>
            <w:r>
              <w:rPr>
                <w:rFonts w:hint="eastAsia" w:ascii="Times New Roman" w:hAnsi="Times New Roman" w:eastAsia="宋体" w:cs="Times New Roman"/>
                <w:bCs/>
                <w:color w:val="auto"/>
                <w:sz w:val="24"/>
                <w:szCs w:val="24"/>
                <w:highlight w:val="none"/>
                <w:u w:val="none"/>
                <w:lang w:eastAsia="zh-CN"/>
              </w:rPr>
              <w:t>；污染治理设施运维记录，包括设施是否正常运行、故障原因、维护过程、检查人、检查日期及班次</w:t>
            </w:r>
            <w:r>
              <w:rPr>
                <w:rFonts w:hint="default" w:ascii="Times New Roman" w:hAnsi="Times New Roman" w:cs="Times New Roman"/>
                <w:color w:val="auto"/>
                <w:sz w:val="24"/>
                <w:szCs w:val="22"/>
                <w:highlight w:val="none"/>
                <w:u w:val="none"/>
                <w:lang w:val="zh-CN"/>
              </w:rPr>
              <w:t>。</w:t>
            </w:r>
          </w:p>
          <w:p w14:paraId="4852A77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rPr>
              <w:t>4</w:t>
            </w:r>
            <w:r>
              <w:rPr>
                <w:rFonts w:hint="default" w:ascii="Times New Roman" w:hAnsi="Times New Roman" w:cs="Times New Roman"/>
                <w:color w:val="auto"/>
                <w:sz w:val="24"/>
                <w:szCs w:val="22"/>
                <w:highlight w:val="none"/>
                <w:u w:val="none"/>
                <w:lang w:val="zh-CN"/>
              </w:rPr>
              <w:t>）制订营运期环境监测计划，并负责组织实施。</w:t>
            </w:r>
          </w:p>
          <w:p w14:paraId="0D03458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2"/>
                <w:highlight w:val="none"/>
                <w:u w:val="none"/>
                <w:lang w:val="zh-CN"/>
              </w:rPr>
            </w:pPr>
            <w:r>
              <w:rPr>
                <w:rFonts w:hint="default" w:ascii="Times New Roman" w:hAnsi="Times New Roman" w:cs="Times New Roman"/>
                <w:color w:val="auto"/>
                <w:sz w:val="24"/>
                <w:szCs w:val="22"/>
                <w:highlight w:val="none"/>
                <w:u w:val="none"/>
              </w:rPr>
              <w:t>5</w:t>
            </w:r>
            <w:r>
              <w:rPr>
                <w:rFonts w:hint="default" w:ascii="Times New Roman" w:hAnsi="Times New Roman" w:cs="Times New Roman"/>
                <w:color w:val="auto"/>
                <w:sz w:val="24"/>
                <w:szCs w:val="22"/>
                <w:highlight w:val="none"/>
                <w:u w:val="none"/>
                <w:lang w:val="zh-CN"/>
              </w:rPr>
              <w:t>）环保专职人员应定期对生产设备进行检查、维护、保养、保证设施的正常运行。</w:t>
            </w:r>
          </w:p>
          <w:p w14:paraId="4EFED02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2"/>
                <w:highlight w:val="none"/>
                <w:u w:val="none"/>
                <w:lang w:eastAsia="zh-CN"/>
              </w:rPr>
            </w:pPr>
            <w:r>
              <w:rPr>
                <w:rFonts w:hint="eastAsia" w:ascii="Times New Roman" w:hAnsi="Times New Roman" w:cs="Times New Roman"/>
                <w:color w:val="auto"/>
                <w:sz w:val="24"/>
                <w:szCs w:val="22"/>
                <w:highlight w:val="none"/>
                <w:u w:val="none"/>
              </w:rPr>
              <w:t>6）企业在日常危险废物管理的过程中，须结合自身实际情况，做好危险废物台账的建立、记录以及管理工作</w:t>
            </w:r>
            <w:r>
              <w:rPr>
                <w:rFonts w:hint="eastAsia" w:ascii="Times New Roman" w:hAnsi="Times New Roman" w:cs="Times New Roman"/>
                <w:color w:val="auto"/>
                <w:sz w:val="24"/>
                <w:szCs w:val="22"/>
                <w:highlight w:val="none"/>
                <w:u w:val="none"/>
                <w:lang w:eastAsia="zh-CN"/>
              </w:rPr>
              <w:t>，</w:t>
            </w:r>
            <w:r>
              <w:rPr>
                <w:rFonts w:hint="eastAsia" w:ascii="Times New Roman" w:hAnsi="Times New Roman" w:cs="Times New Roman"/>
                <w:bCs/>
                <w:color w:val="auto"/>
                <w:sz w:val="24"/>
                <w:szCs w:val="24"/>
                <w:highlight w:val="none"/>
                <w:u w:val="none"/>
                <w:lang w:eastAsia="zh-CN"/>
              </w:rPr>
              <w:t>包括危险废物种类、产生量、转移量、处理人员和运输人员等信息</w:t>
            </w:r>
            <w:r>
              <w:rPr>
                <w:rFonts w:hint="eastAsia" w:ascii="Times New Roman" w:hAnsi="Times New Roman" w:cs="Times New Roman"/>
                <w:color w:val="auto"/>
                <w:sz w:val="24"/>
                <w:szCs w:val="22"/>
                <w:highlight w:val="none"/>
                <w:u w:val="none"/>
                <w:lang w:eastAsia="zh-CN"/>
              </w:rPr>
              <w:t>。</w:t>
            </w:r>
          </w:p>
          <w:p w14:paraId="06D3D105">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2"/>
                <w:highlight w:val="none"/>
                <w:u w:val="none"/>
                <w:lang w:val="en-US" w:eastAsia="zh-CN"/>
              </w:rPr>
            </w:pPr>
            <w:r>
              <w:rPr>
                <w:rFonts w:hint="eastAsia" w:ascii="Times New Roman" w:hAnsi="Times New Roman" w:cs="Times New Roman"/>
                <w:color w:val="auto"/>
                <w:sz w:val="24"/>
                <w:szCs w:val="22"/>
                <w:highlight w:val="none"/>
                <w:u w:val="none"/>
                <w:lang w:val="en-US" w:eastAsia="zh-CN"/>
              </w:rPr>
              <w:t>7）</w:t>
            </w:r>
            <w:r>
              <w:rPr>
                <w:rFonts w:hint="eastAsia" w:ascii="Times New Roman" w:hAnsi="Times New Roman" w:cs="Times New Roman"/>
                <w:color w:val="auto"/>
                <w:sz w:val="24"/>
                <w:szCs w:val="22"/>
                <w:highlight w:val="none"/>
                <w:u w:val="none"/>
              </w:rPr>
              <w:t>废气污染防治设施应按照国家和地方规范进行设计；污染防治设施应与产生废气的生产设施同步运行；由于事故或设备维修等原因造成污染防治设施停止运行时，应立即报告当地生态环境主管部门；污染防治设施应在满足设计工况的条件下运行，并根据工艺要求，定期对设备、电气、自控仪表及构筑物进行检查维护，确保污染防治设施可靠运行；污染防治设施正常运行中</w:t>
            </w:r>
            <w:r>
              <w:rPr>
                <w:rFonts w:hint="eastAsia" w:ascii="Times New Roman" w:hAnsi="Times New Roman" w:cs="Times New Roman"/>
                <w:color w:val="auto"/>
                <w:sz w:val="24"/>
                <w:szCs w:val="22"/>
                <w:highlight w:val="none"/>
                <w:u w:val="none"/>
                <w:lang w:val="en-US" w:eastAsia="zh-CN"/>
              </w:rPr>
              <w:t>污染物</w:t>
            </w:r>
            <w:r>
              <w:rPr>
                <w:rFonts w:hint="eastAsia" w:ascii="Times New Roman" w:hAnsi="Times New Roman" w:cs="Times New Roman"/>
                <w:color w:val="auto"/>
                <w:sz w:val="24"/>
                <w:szCs w:val="22"/>
                <w:highlight w:val="none"/>
                <w:u w:val="none"/>
              </w:rPr>
              <w:t>的排放应符合国家和地方污染物排放标准</w:t>
            </w:r>
            <w:r>
              <w:rPr>
                <w:rFonts w:hint="eastAsia" w:ascii="Times New Roman" w:hAnsi="Times New Roman" w:cs="Times New Roman"/>
                <w:color w:val="auto"/>
                <w:sz w:val="24"/>
                <w:szCs w:val="22"/>
                <w:highlight w:val="none"/>
                <w:u w:val="none"/>
                <w:lang w:eastAsia="zh-CN"/>
              </w:rPr>
              <w:t>。</w:t>
            </w:r>
          </w:p>
          <w:p w14:paraId="240E1F92">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color w:val="auto"/>
                <w:sz w:val="24"/>
                <w:szCs w:val="22"/>
                <w:highlight w:val="none"/>
                <w:u w:val="none"/>
                <w:lang w:val="en-US" w:eastAsia="zh-CN"/>
              </w:rPr>
            </w:pPr>
            <w:r>
              <w:rPr>
                <w:rFonts w:hint="eastAsia" w:ascii="Times New Roman" w:hAnsi="Times New Roman" w:cs="Times New Roman"/>
                <w:color w:val="auto"/>
                <w:sz w:val="24"/>
                <w:szCs w:val="22"/>
                <w:highlight w:val="none"/>
                <w:u w:val="none"/>
                <w:lang w:val="en-US" w:eastAsia="zh-CN"/>
              </w:rPr>
              <w:t>8）废水污染防治设施应按照国家和地方规范进行设计；由于事故或设备维修等原因造成污染防治设施停止运行时，应立即报告当地生态环境主管部门；污染防治设施应在满足设计工况的条件下运行，并根据工艺要求，定期对设备、电气、自控仪表及构筑物进行检查维护，确保污染防治设施可靠运行；污染防治设施正常运行中废水的排放应符合国家和地方污染物排放标准。</w:t>
            </w:r>
          </w:p>
          <w:p w14:paraId="29484AE5">
            <w:pPr>
              <w:pStyle w:val="133"/>
              <w:keepNext w:val="0"/>
              <w:keepLines w:val="0"/>
              <w:suppressLineNumbers w:val="0"/>
              <w:spacing w:before="0" w:beforeAutospacing="0" w:after="0" w:afterAutospacing="0" w:line="360" w:lineRule="auto"/>
              <w:ind w:left="0" w:leftChars="0" w:right="0" w:firstLine="0" w:firstLineChars="0"/>
              <w:rPr>
                <w:rFonts w:hint="eastAsia" w:ascii="Times New Roman" w:hAnsi="Times New Roman" w:cs="Times New Roman"/>
                <w:b/>
                <w:bCs/>
                <w:color w:val="000000"/>
                <w:u w:val="none"/>
              </w:rPr>
            </w:pPr>
            <w:r>
              <w:rPr>
                <w:rFonts w:hint="eastAsia" w:ascii="Times New Roman" w:hAnsi="Times New Roman" w:cs="Times New Roman"/>
                <w:b/>
                <w:bCs/>
                <w:color w:val="000000"/>
                <w:u w:val="none"/>
                <w:lang w:val="en-US" w:eastAsia="zh-CN"/>
              </w:rPr>
              <w:t xml:space="preserve">    9</w:t>
            </w:r>
            <w:r>
              <w:rPr>
                <w:rFonts w:hint="eastAsia" w:ascii="Times New Roman" w:hAnsi="Times New Roman" w:cs="Times New Roman"/>
                <w:b/>
                <w:bCs/>
                <w:color w:val="000000"/>
                <w:u w:val="none"/>
              </w:rPr>
              <w:t>、排污口规范化设置</w:t>
            </w:r>
          </w:p>
          <w:p w14:paraId="114D8463">
            <w:pPr>
              <w:pStyle w:val="133"/>
              <w:keepNext w:val="0"/>
              <w:keepLines w:val="0"/>
              <w:suppressLineNumbers w:val="0"/>
              <w:spacing w:before="0" w:beforeAutospacing="0" w:after="0" w:afterAutospacing="0" w:line="360" w:lineRule="auto"/>
              <w:ind w:left="0" w:right="0" w:firstLine="480"/>
              <w:rPr>
                <w:rFonts w:hint="eastAsia" w:ascii="Times New Roman" w:hAnsi="Times New Roman" w:cs="Times New Roman"/>
                <w:color w:val="000000"/>
                <w:u w:val="none"/>
              </w:rPr>
            </w:pPr>
            <w:r>
              <w:rPr>
                <w:rFonts w:hint="eastAsia" w:ascii="Times New Roman" w:hAnsi="Times New Roman" w:cs="Times New Roman"/>
                <w:color w:val="000000"/>
                <w:u w:val="none"/>
              </w:rPr>
              <w:t>本项目的污染物排放口（源）和固体废物贮存、处置场，必须实行规范化整治。按照国家标准《环境保护图形标志》（GB15562.1-1995）</w:t>
            </w:r>
            <w:r>
              <w:rPr>
                <w:rFonts w:hint="eastAsia" w:ascii="Times New Roman" w:hAnsi="Times New Roman" w:cs="Times New Roman"/>
                <w:color w:val="000000"/>
                <w:u w:val="none"/>
                <w:lang w:val="en-US" w:eastAsia="zh-CN"/>
              </w:rPr>
              <w:t>及其修改单</w:t>
            </w:r>
            <w:r>
              <w:rPr>
                <w:rFonts w:hint="eastAsia" w:ascii="Times New Roman" w:hAnsi="Times New Roman" w:cs="Times New Roman"/>
                <w:color w:val="000000"/>
                <w:u w:val="none"/>
              </w:rPr>
              <w:t>及《环境保护图形标志实施细则（试行）》的规定，设置与排污口相应的图形标志牌。根据《环境保护图形标志实施细则》（试行）：第七条 一般性污染物排放口（源）或固体废物贮存（处置）场，设置提示性环境保护图形标志牌，根据现场具体情况，选用立式或平面固定式。排放剧毒、致癌物及对人体有严重危害物质的排放口（源）或危险废物贮存（处置）场，设置警告性环境保护图形标志牌，根据现场具体情况，选用立式或平面固定式。</w:t>
            </w:r>
          </w:p>
          <w:p w14:paraId="78DD3753">
            <w:pPr>
              <w:pStyle w:val="133"/>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u w:val="none"/>
              </w:rPr>
            </w:pPr>
            <w:r>
              <w:rPr>
                <w:rFonts w:hint="eastAsia" w:ascii="Times New Roman" w:hAnsi="Times New Roman" w:cs="Times New Roman"/>
                <w:color w:val="000000"/>
                <w:u w:val="none"/>
              </w:rPr>
              <w:t>环保主管部门和建设单位可分别按以下内容建立排污口管理的专门档案：排污口性质和编号；位置；排放主要污染物种类、数量、浓度；排放去向；达标情况；治理设施运行情况及整改意见。</w:t>
            </w:r>
          </w:p>
          <w:p w14:paraId="50DF48DE">
            <w:pPr>
              <w:pStyle w:val="133"/>
              <w:keepNext w:val="0"/>
              <w:keepLines w:val="0"/>
              <w:suppressLineNumbers w:val="0"/>
              <w:spacing w:before="0" w:beforeAutospacing="0" w:after="0" w:afterAutospacing="0" w:line="360" w:lineRule="auto"/>
              <w:ind w:left="0" w:right="0" w:firstLine="480"/>
              <w:rPr>
                <w:rFonts w:hint="eastAsia" w:ascii="Times New Roman" w:hAnsi="Times New Roman" w:cs="Times New Roman"/>
                <w:color w:val="000000"/>
                <w:u w:val="none"/>
                <w:lang w:val="en-US" w:eastAsia="zh-CN"/>
              </w:rPr>
            </w:pPr>
            <w:r>
              <w:rPr>
                <w:rFonts w:hint="eastAsia" w:ascii="Times New Roman" w:hAnsi="Times New Roman" w:cs="Times New Roman"/>
                <w:color w:val="000000"/>
                <w:u w:val="none"/>
              </w:rPr>
              <w:t>本项目环境保护图形符号具体见</w:t>
            </w:r>
            <w:r>
              <w:rPr>
                <w:rFonts w:hint="eastAsia" w:ascii="Times New Roman" w:hAnsi="Times New Roman" w:cs="Times New Roman"/>
                <w:color w:val="000000"/>
                <w:u w:val="none"/>
                <w:lang w:val="en-US" w:eastAsia="zh-CN"/>
              </w:rPr>
              <w:t>下表：</w:t>
            </w:r>
          </w:p>
          <w:p w14:paraId="54F3E630">
            <w:pPr>
              <w:keepNext w:val="0"/>
              <w:keepLines w:val="0"/>
              <w:suppressLineNumbers w:val="0"/>
              <w:overflowPunct w:val="0"/>
              <w:spacing w:before="0" w:beforeAutospacing="0" w:after="0" w:afterAutospacing="0" w:line="320" w:lineRule="exact"/>
              <w:ind w:left="0" w:right="0"/>
              <w:jc w:val="center"/>
              <w:rPr>
                <w:rFonts w:hint="eastAsia" w:ascii="Times New Roman" w:hAnsi="Times New Roman" w:cs="Times New Roman"/>
                <w:b/>
                <w:color w:val="000000"/>
                <w:szCs w:val="21"/>
                <w:u w:val="none"/>
              </w:rPr>
            </w:pPr>
            <w:r>
              <w:rPr>
                <w:rFonts w:hint="eastAsia" w:ascii="Times New Roman" w:hAnsi="Times New Roman" w:cs="Times New Roman"/>
                <w:b/>
                <w:color w:val="000000"/>
                <w:szCs w:val="21"/>
                <w:u w:val="none"/>
              </w:rPr>
              <w:t>表4-</w:t>
            </w:r>
            <w:r>
              <w:rPr>
                <w:rFonts w:hint="eastAsia" w:ascii="Times New Roman" w:hAnsi="Times New Roman" w:cs="Times New Roman"/>
                <w:b/>
                <w:color w:val="000000"/>
                <w:szCs w:val="21"/>
                <w:u w:val="none"/>
                <w:lang w:val="en-US" w:eastAsia="zh-CN"/>
              </w:rPr>
              <w:t>2</w:t>
            </w:r>
            <w:r>
              <w:rPr>
                <w:rFonts w:hint="eastAsia" w:cs="Times New Roman"/>
                <w:b/>
                <w:color w:val="000000"/>
                <w:szCs w:val="21"/>
                <w:u w:val="none"/>
                <w:lang w:val="en-US" w:eastAsia="zh-CN"/>
              </w:rPr>
              <w:t>5</w:t>
            </w:r>
            <w:r>
              <w:rPr>
                <w:rFonts w:hint="default" w:ascii="Times New Roman" w:hAnsi="Times New Roman" w:cs="Times New Roman"/>
                <w:b/>
                <w:color w:val="000000"/>
                <w:szCs w:val="21"/>
                <w:u w:val="none"/>
              </w:rPr>
              <w:t xml:space="preserve">  </w:t>
            </w:r>
            <w:r>
              <w:rPr>
                <w:rFonts w:hint="eastAsia" w:ascii="Times New Roman" w:hAnsi="Times New Roman" w:cs="Times New Roman"/>
                <w:b/>
                <w:color w:val="000000"/>
                <w:szCs w:val="21"/>
                <w:u w:val="none"/>
              </w:rPr>
              <w:t>排放口图形标志</w:t>
            </w:r>
          </w:p>
          <w:tbl>
            <w:tblPr>
              <w:tblStyle w:val="44"/>
              <w:tblW w:w="482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1482"/>
              <w:gridCol w:w="1988"/>
              <w:gridCol w:w="1397"/>
              <w:gridCol w:w="2973"/>
            </w:tblGrid>
            <w:tr w14:paraId="516D9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blHeader/>
                <w:jc w:val="center"/>
              </w:trPr>
              <w:tc>
                <w:tcPr>
                  <w:tcW w:w="449" w:type="pct"/>
                  <w:tcBorders>
                    <w:tl2br w:val="nil"/>
                    <w:tr2bl w:val="nil"/>
                  </w:tcBorders>
                  <w:noWrap/>
                  <w:vAlign w:val="center"/>
                </w:tcPr>
                <w:p w14:paraId="4C1EE72B">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color w:val="auto"/>
                      <w:sz w:val="21"/>
                      <w:szCs w:val="21"/>
                    </w:rPr>
                  </w:pPr>
                  <w:r>
                    <w:rPr>
                      <w:rFonts w:hint="default" w:hAnsi="Times New Roman" w:cs="Times New Roman"/>
                      <w:b/>
                      <w:color w:val="auto"/>
                      <w:sz w:val="21"/>
                      <w:szCs w:val="21"/>
                    </w:rPr>
                    <w:t>序号</w:t>
                  </w:r>
                </w:p>
              </w:tc>
              <w:tc>
                <w:tcPr>
                  <w:tcW w:w="1077" w:type="pct"/>
                  <w:tcBorders>
                    <w:tl2br w:val="nil"/>
                    <w:tr2bl w:val="nil"/>
                  </w:tcBorders>
                  <w:noWrap/>
                  <w:vAlign w:val="center"/>
                </w:tcPr>
                <w:p w14:paraId="3744033B">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color w:val="auto"/>
                      <w:sz w:val="21"/>
                      <w:szCs w:val="21"/>
                    </w:rPr>
                  </w:pPr>
                  <w:r>
                    <w:rPr>
                      <w:rFonts w:hint="default" w:hAnsi="Times New Roman" w:cs="Times New Roman"/>
                      <w:b/>
                      <w:color w:val="auto"/>
                      <w:sz w:val="21"/>
                      <w:szCs w:val="21"/>
                    </w:rPr>
                    <w:t>提示图形符号</w:t>
                  </w:r>
                </w:p>
              </w:tc>
              <w:tc>
                <w:tcPr>
                  <w:tcW w:w="1354" w:type="pct"/>
                  <w:tcBorders>
                    <w:tl2br w:val="nil"/>
                    <w:tr2bl w:val="nil"/>
                  </w:tcBorders>
                  <w:noWrap/>
                  <w:vAlign w:val="center"/>
                </w:tcPr>
                <w:p w14:paraId="6D14417F">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color w:val="auto"/>
                      <w:sz w:val="21"/>
                      <w:szCs w:val="21"/>
                    </w:rPr>
                  </w:pPr>
                  <w:r>
                    <w:rPr>
                      <w:rFonts w:hint="default" w:hAnsi="Times New Roman" w:cs="Times New Roman"/>
                      <w:b/>
                      <w:color w:val="auto"/>
                      <w:sz w:val="21"/>
                      <w:szCs w:val="21"/>
                    </w:rPr>
                    <w:t>警告图形符号</w:t>
                  </w:r>
                </w:p>
              </w:tc>
              <w:tc>
                <w:tcPr>
                  <w:tcW w:w="950" w:type="pct"/>
                  <w:tcBorders>
                    <w:tl2br w:val="nil"/>
                    <w:tr2bl w:val="nil"/>
                  </w:tcBorders>
                  <w:noWrap/>
                  <w:vAlign w:val="center"/>
                </w:tcPr>
                <w:p w14:paraId="31F1F386">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color w:val="auto"/>
                      <w:sz w:val="21"/>
                      <w:szCs w:val="21"/>
                    </w:rPr>
                  </w:pPr>
                  <w:r>
                    <w:rPr>
                      <w:rFonts w:hint="default" w:hAnsi="Times New Roman" w:cs="Times New Roman"/>
                      <w:b/>
                      <w:color w:val="auto"/>
                      <w:sz w:val="21"/>
                      <w:szCs w:val="21"/>
                    </w:rPr>
                    <w:t>名称</w:t>
                  </w:r>
                </w:p>
              </w:tc>
              <w:tc>
                <w:tcPr>
                  <w:tcW w:w="1168" w:type="pct"/>
                  <w:tcBorders>
                    <w:tl2br w:val="nil"/>
                    <w:tr2bl w:val="nil"/>
                  </w:tcBorders>
                  <w:noWrap/>
                  <w:vAlign w:val="center"/>
                </w:tcPr>
                <w:p w14:paraId="151A4043">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color w:val="auto"/>
                      <w:sz w:val="21"/>
                      <w:szCs w:val="21"/>
                    </w:rPr>
                  </w:pPr>
                  <w:r>
                    <w:rPr>
                      <w:rFonts w:hint="default" w:hAnsi="Times New Roman" w:cs="Times New Roman"/>
                      <w:b/>
                      <w:color w:val="auto"/>
                      <w:sz w:val="21"/>
                      <w:szCs w:val="21"/>
                    </w:rPr>
                    <w:t>功能</w:t>
                  </w:r>
                </w:p>
              </w:tc>
            </w:tr>
            <w:tr w14:paraId="725F6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3E3A6577">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color w:val="auto"/>
                      <w:sz w:val="21"/>
                      <w:szCs w:val="21"/>
                    </w:rPr>
                  </w:pPr>
                  <w:r>
                    <w:rPr>
                      <w:rFonts w:hint="default" w:hAnsi="Times New Roman" w:cs="Times New Roman"/>
                      <w:color w:val="auto"/>
                      <w:sz w:val="21"/>
                      <w:szCs w:val="21"/>
                    </w:rPr>
                    <w:t>1</w:t>
                  </w:r>
                </w:p>
              </w:tc>
              <w:tc>
                <w:tcPr>
                  <w:tcW w:w="1077" w:type="pct"/>
                  <w:tcBorders>
                    <w:tl2br w:val="nil"/>
                    <w:tr2bl w:val="nil"/>
                  </w:tcBorders>
                  <w:noWrap/>
                  <w:vAlign w:val="center"/>
                </w:tcPr>
                <w:p w14:paraId="44B92BFC">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color w:val="auto"/>
                      <w:sz w:val="21"/>
                      <w:szCs w:val="21"/>
                    </w:rPr>
                  </w:pPr>
                  <w:r>
                    <w:rPr>
                      <w:rFonts w:hint="default" w:hAnsi="Times New Roman" w:cs="Times New Roman"/>
                      <w:color w:val="auto"/>
                      <w:sz w:val="21"/>
                      <w:szCs w:val="21"/>
                    </w:rPr>
                    <w:drawing>
                      <wp:inline distT="0" distB="0" distL="114300" distR="114300">
                        <wp:extent cx="848360" cy="857250"/>
                        <wp:effectExtent l="0" t="0" r="8890" b="0"/>
                        <wp:docPr id="9" name="图片 2" descr="说明: 说明: 说明: 1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说明: 说明: 说明: 13001"/>
                                <pic:cNvPicPr>
                                  <a:picLocks noChangeAspect="1"/>
                                </pic:cNvPicPr>
                              </pic:nvPicPr>
                              <pic:blipFill>
                                <a:blip r:embed="rId13"/>
                                <a:stretch>
                                  <a:fillRect/>
                                </a:stretch>
                              </pic:blipFill>
                              <pic:spPr>
                                <a:xfrm>
                                  <a:off x="0" y="0"/>
                                  <a:ext cx="848360" cy="857250"/>
                                </a:xfrm>
                                <a:prstGeom prst="rect">
                                  <a:avLst/>
                                </a:prstGeom>
                                <a:noFill/>
                                <a:ln>
                                  <a:noFill/>
                                </a:ln>
                              </pic:spPr>
                            </pic:pic>
                          </a:graphicData>
                        </a:graphic>
                      </wp:inline>
                    </w:drawing>
                  </w:r>
                </w:p>
              </w:tc>
              <w:tc>
                <w:tcPr>
                  <w:tcW w:w="1354" w:type="pct"/>
                  <w:tcBorders>
                    <w:tl2br w:val="nil"/>
                    <w:tr2bl w:val="nil"/>
                  </w:tcBorders>
                  <w:noWrap/>
                  <w:vAlign w:val="center"/>
                </w:tcPr>
                <w:p w14:paraId="6EEB0107">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color w:val="auto"/>
                      <w:sz w:val="21"/>
                      <w:szCs w:val="21"/>
                    </w:rPr>
                  </w:pPr>
                  <w:r>
                    <w:rPr>
                      <w:rFonts w:hint="default" w:hAnsi="Times New Roman" w:cs="Times New Roman"/>
                      <w:color w:val="auto"/>
                      <w:sz w:val="21"/>
                      <w:szCs w:val="21"/>
                    </w:rPr>
                    <w:drawing>
                      <wp:inline distT="0" distB="0" distL="114300" distR="114300">
                        <wp:extent cx="847090" cy="857250"/>
                        <wp:effectExtent l="0" t="0" r="10160" b="0"/>
                        <wp:docPr id="10" name="图片 3" descr="说明: 说明: 说明: 1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说明: 说明: 说明: 13002"/>
                                <pic:cNvPicPr>
                                  <a:picLocks noChangeAspect="1"/>
                                </pic:cNvPicPr>
                              </pic:nvPicPr>
                              <pic:blipFill>
                                <a:blip r:embed="rId14"/>
                                <a:stretch>
                                  <a:fillRect/>
                                </a:stretch>
                              </pic:blipFill>
                              <pic:spPr>
                                <a:xfrm>
                                  <a:off x="0" y="0"/>
                                  <a:ext cx="847090" cy="857250"/>
                                </a:xfrm>
                                <a:prstGeom prst="rect">
                                  <a:avLst/>
                                </a:prstGeom>
                                <a:noFill/>
                                <a:ln>
                                  <a:noFill/>
                                </a:ln>
                              </pic:spPr>
                            </pic:pic>
                          </a:graphicData>
                        </a:graphic>
                      </wp:inline>
                    </w:drawing>
                  </w:r>
                </w:p>
              </w:tc>
              <w:tc>
                <w:tcPr>
                  <w:tcW w:w="950" w:type="pct"/>
                  <w:tcBorders>
                    <w:tl2br w:val="nil"/>
                    <w:tr2bl w:val="nil"/>
                  </w:tcBorders>
                  <w:noWrap/>
                  <w:vAlign w:val="center"/>
                </w:tcPr>
                <w:p w14:paraId="2C274788">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val="0"/>
                      <w:bCs/>
                      <w:color w:val="auto"/>
                      <w:sz w:val="21"/>
                      <w:szCs w:val="21"/>
                    </w:rPr>
                  </w:pPr>
                  <w:r>
                    <w:rPr>
                      <w:rFonts w:hint="default" w:hAnsi="Times New Roman" w:cs="Times New Roman"/>
                      <w:b w:val="0"/>
                      <w:bCs/>
                      <w:color w:val="auto"/>
                      <w:sz w:val="21"/>
                      <w:szCs w:val="21"/>
                    </w:rPr>
                    <w:t>废水排放口</w:t>
                  </w:r>
                </w:p>
              </w:tc>
              <w:tc>
                <w:tcPr>
                  <w:tcW w:w="1168" w:type="pct"/>
                  <w:tcBorders>
                    <w:tl2br w:val="nil"/>
                    <w:tr2bl w:val="nil"/>
                  </w:tcBorders>
                  <w:noWrap/>
                  <w:vAlign w:val="center"/>
                </w:tcPr>
                <w:p w14:paraId="21C530F8">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val="0"/>
                      <w:bCs/>
                      <w:color w:val="auto"/>
                      <w:sz w:val="21"/>
                      <w:szCs w:val="21"/>
                    </w:rPr>
                  </w:pPr>
                  <w:r>
                    <w:rPr>
                      <w:rFonts w:hint="default" w:hAnsi="Times New Roman" w:cs="Times New Roman"/>
                      <w:b w:val="0"/>
                      <w:bCs/>
                      <w:color w:val="auto"/>
                      <w:sz w:val="21"/>
                      <w:szCs w:val="21"/>
                    </w:rPr>
                    <w:t>表示废水向水体排放</w:t>
                  </w:r>
                </w:p>
              </w:tc>
            </w:tr>
            <w:tr w14:paraId="35BA1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10B4D2AE">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eastAsia" w:hAnsi="Times New Roman" w:eastAsia="宋体" w:cs="Times New Roman"/>
                      <w:color w:val="auto"/>
                      <w:sz w:val="21"/>
                      <w:szCs w:val="21"/>
                      <w:lang w:eastAsia="zh-CN"/>
                    </w:rPr>
                  </w:pPr>
                  <w:r>
                    <w:rPr>
                      <w:rFonts w:hint="eastAsia" w:hAnsi="Times New Roman" w:cs="Times New Roman"/>
                      <w:color w:val="auto"/>
                      <w:sz w:val="21"/>
                      <w:szCs w:val="21"/>
                      <w:lang w:val="en-US" w:eastAsia="zh-CN"/>
                    </w:rPr>
                    <w:t>2</w:t>
                  </w:r>
                </w:p>
              </w:tc>
              <w:tc>
                <w:tcPr>
                  <w:tcW w:w="1077" w:type="pct"/>
                  <w:tcBorders>
                    <w:tl2br w:val="nil"/>
                    <w:tr2bl w:val="nil"/>
                  </w:tcBorders>
                  <w:noWrap/>
                  <w:vAlign w:val="center"/>
                </w:tcPr>
                <w:p w14:paraId="4624AC41">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color w:val="auto"/>
                      <w:sz w:val="21"/>
                      <w:szCs w:val="21"/>
                    </w:rPr>
                  </w:pPr>
                  <w:r>
                    <w:rPr>
                      <w:rFonts w:hint="default" w:hAnsi="Times New Roman" w:cs="Times New Roman"/>
                      <w:color w:val="auto"/>
                      <w:sz w:val="21"/>
                      <w:szCs w:val="21"/>
                    </w:rPr>
                    <w:drawing>
                      <wp:inline distT="0" distB="0" distL="114300" distR="114300">
                        <wp:extent cx="847725" cy="847725"/>
                        <wp:effectExtent l="0" t="0" r="9525" b="9525"/>
                        <wp:docPr id="11" name="图片 6" descr="说明: 说明: 说明: 20060220151804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说明: 说明: 说明: 200602201518049853"/>
                                <pic:cNvPicPr>
                                  <a:picLocks noChangeAspect="1"/>
                                </pic:cNvPicPr>
                              </pic:nvPicPr>
                              <pic:blipFill>
                                <a:blip r:embed="rId15"/>
                                <a:stretch>
                                  <a:fillRect/>
                                </a:stretch>
                              </pic:blipFill>
                              <pic:spPr>
                                <a:xfrm>
                                  <a:off x="0" y="0"/>
                                  <a:ext cx="847725" cy="847725"/>
                                </a:xfrm>
                                <a:prstGeom prst="rect">
                                  <a:avLst/>
                                </a:prstGeom>
                                <a:noFill/>
                                <a:ln>
                                  <a:noFill/>
                                </a:ln>
                              </pic:spPr>
                            </pic:pic>
                          </a:graphicData>
                        </a:graphic>
                      </wp:inline>
                    </w:drawing>
                  </w:r>
                </w:p>
              </w:tc>
              <w:tc>
                <w:tcPr>
                  <w:tcW w:w="1354" w:type="pct"/>
                  <w:tcBorders>
                    <w:tl2br w:val="nil"/>
                    <w:tr2bl w:val="nil"/>
                  </w:tcBorders>
                  <w:noWrap/>
                  <w:vAlign w:val="center"/>
                </w:tcPr>
                <w:p w14:paraId="6EEDD21F">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color w:val="auto"/>
                      <w:sz w:val="21"/>
                      <w:szCs w:val="21"/>
                    </w:rPr>
                  </w:pPr>
                  <w:r>
                    <w:rPr>
                      <w:rFonts w:hint="default" w:hAnsi="Times New Roman" w:cs="Times New Roman"/>
                      <w:color w:val="auto"/>
                      <w:sz w:val="21"/>
                      <w:szCs w:val="21"/>
                    </w:rPr>
                    <w:drawing>
                      <wp:inline distT="0" distB="0" distL="114300" distR="114300">
                        <wp:extent cx="952500" cy="845820"/>
                        <wp:effectExtent l="0" t="0" r="0" b="11430"/>
                        <wp:docPr id="12" name="图片 7" descr="说明: 说明: 说明: 20060220151901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说明: 说明: 说明: 200602201519018631"/>
                                <pic:cNvPicPr>
                                  <a:picLocks noChangeAspect="1"/>
                                </pic:cNvPicPr>
                              </pic:nvPicPr>
                              <pic:blipFill>
                                <a:blip r:embed="rId16"/>
                                <a:stretch>
                                  <a:fillRect/>
                                </a:stretch>
                              </pic:blipFill>
                              <pic:spPr>
                                <a:xfrm>
                                  <a:off x="0" y="0"/>
                                  <a:ext cx="952500" cy="845820"/>
                                </a:xfrm>
                                <a:prstGeom prst="rect">
                                  <a:avLst/>
                                </a:prstGeom>
                                <a:noFill/>
                                <a:ln>
                                  <a:noFill/>
                                </a:ln>
                              </pic:spPr>
                            </pic:pic>
                          </a:graphicData>
                        </a:graphic>
                      </wp:inline>
                    </w:drawing>
                  </w:r>
                </w:p>
              </w:tc>
              <w:tc>
                <w:tcPr>
                  <w:tcW w:w="950" w:type="pct"/>
                  <w:tcBorders>
                    <w:tl2br w:val="nil"/>
                    <w:tr2bl w:val="nil"/>
                  </w:tcBorders>
                  <w:noWrap/>
                  <w:vAlign w:val="center"/>
                </w:tcPr>
                <w:p w14:paraId="5ABE8FAE">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val="0"/>
                      <w:bCs/>
                      <w:color w:val="auto"/>
                      <w:sz w:val="21"/>
                      <w:szCs w:val="21"/>
                    </w:rPr>
                  </w:pPr>
                  <w:r>
                    <w:rPr>
                      <w:rFonts w:hint="default" w:hAnsi="Times New Roman" w:cs="Times New Roman"/>
                      <w:b w:val="0"/>
                      <w:bCs/>
                      <w:color w:val="auto"/>
                      <w:sz w:val="21"/>
                      <w:szCs w:val="21"/>
                    </w:rPr>
                    <w:t>噪声排放源</w:t>
                  </w:r>
                </w:p>
              </w:tc>
              <w:tc>
                <w:tcPr>
                  <w:tcW w:w="1168" w:type="pct"/>
                  <w:tcBorders>
                    <w:tl2br w:val="nil"/>
                    <w:tr2bl w:val="nil"/>
                  </w:tcBorders>
                  <w:noWrap/>
                  <w:vAlign w:val="center"/>
                </w:tcPr>
                <w:p w14:paraId="3C6610A0">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hAnsi="Times New Roman" w:cs="Times New Roman"/>
                      <w:b w:val="0"/>
                      <w:bCs/>
                      <w:color w:val="auto"/>
                      <w:sz w:val="21"/>
                      <w:szCs w:val="21"/>
                    </w:rPr>
                  </w:pPr>
                  <w:r>
                    <w:rPr>
                      <w:rFonts w:hint="default" w:hAnsi="Times New Roman" w:cs="Times New Roman"/>
                      <w:b w:val="0"/>
                      <w:bCs/>
                      <w:color w:val="auto"/>
                      <w:sz w:val="21"/>
                      <w:szCs w:val="21"/>
                    </w:rPr>
                    <w:t>表示噪声向外环境排放</w:t>
                  </w:r>
                </w:p>
              </w:tc>
            </w:tr>
            <w:tr w14:paraId="65B73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1692DE75">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eastAsia="zh-CN"/>
                    </w:rPr>
                    <w:t>3</w:t>
                  </w:r>
                </w:p>
              </w:tc>
              <w:tc>
                <w:tcPr>
                  <w:tcW w:w="1077" w:type="pct"/>
                  <w:tcBorders>
                    <w:tl2br w:val="nil"/>
                    <w:tr2bl w:val="nil"/>
                  </w:tcBorders>
                  <w:noWrap/>
                  <w:vAlign w:val="center"/>
                </w:tcPr>
                <w:p w14:paraId="049FDF3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drawing>
                      <wp:inline distT="0" distB="0" distL="114300" distR="114300">
                        <wp:extent cx="842010" cy="842010"/>
                        <wp:effectExtent l="0" t="0" r="15240" b="1524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7"/>
                                <a:stretch>
                                  <a:fillRect/>
                                </a:stretch>
                              </pic:blipFill>
                              <pic:spPr>
                                <a:xfrm>
                                  <a:off x="0" y="0"/>
                                  <a:ext cx="842010" cy="842010"/>
                                </a:xfrm>
                                <a:prstGeom prst="rect">
                                  <a:avLst/>
                                </a:prstGeom>
                                <a:noFill/>
                                <a:ln>
                                  <a:noFill/>
                                </a:ln>
                              </pic:spPr>
                            </pic:pic>
                          </a:graphicData>
                        </a:graphic>
                      </wp:inline>
                    </w:drawing>
                  </w:r>
                </w:p>
              </w:tc>
              <w:tc>
                <w:tcPr>
                  <w:tcW w:w="1354" w:type="pct"/>
                  <w:tcBorders>
                    <w:tl2br w:val="nil"/>
                    <w:tr2bl w:val="nil"/>
                  </w:tcBorders>
                  <w:noWrap/>
                  <w:vAlign w:val="center"/>
                </w:tcPr>
                <w:p w14:paraId="6B3E1C67">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drawing>
                      <wp:inline distT="0" distB="0" distL="114300" distR="114300">
                        <wp:extent cx="895985" cy="852805"/>
                        <wp:effectExtent l="0" t="0" r="18415" b="4445"/>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8"/>
                                <a:stretch>
                                  <a:fillRect/>
                                </a:stretch>
                              </pic:blipFill>
                              <pic:spPr>
                                <a:xfrm>
                                  <a:off x="0" y="0"/>
                                  <a:ext cx="895985" cy="852805"/>
                                </a:xfrm>
                                <a:prstGeom prst="rect">
                                  <a:avLst/>
                                </a:prstGeom>
                                <a:noFill/>
                                <a:ln>
                                  <a:noFill/>
                                </a:ln>
                              </pic:spPr>
                            </pic:pic>
                          </a:graphicData>
                        </a:graphic>
                      </wp:inline>
                    </w:drawing>
                  </w:r>
                </w:p>
              </w:tc>
              <w:tc>
                <w:tcPr>
                  <w:tcW w:w="950" w:type="pct"/>
                  <w:tcBorders>
                    <w:tl2br w:val="nil"/>
                    <w:tr2bl w:val="nil"/>
                  </w:tcBorders>
                  <w:noWrap/>
                  <w:vAlign w:val="center"/>
                </w:tcPr>
                <w:p w14:paraId="20622AD8">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一般固体废物</w:t>
                  </w:r>
                </w:p>
              </w:tc>
              <w:tc>
                <w:tcPr>
                  <w:tcW w:w="1168" w:type="pct"/>
                  <w:tcBorders>
                    <w:tl2br w:val="nil"/>
                    <w:tr2bl w:val="nil"/>
                  </w:tcBorders>
                  <w:noWrap/>
                  <w:vAlign w:val="center"/>
                </w:tcPr>
                <w:p w14:paraId="2995031F">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表示一般固体废物贮存、处置场</w:t>
                  </w:r>
                </w:p>
              </w:tc>
            </w:tr>
            <w:tr w14:paraId="299F2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449" w:type="pct"/>
                  <w:tcBorders>
                    <w:tl2br w:val="nil"/>
                    <w:tr2bl w:val="nil"/>
                  </w:tcBorders>
                  <w:noWrap/>
                  <w:vAlign w:val="center"/>
                </w:tcPr>
                <w:p w14:paraId="6E01ECA3">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4</w:t>
                  </w:r>
                </w:p>
              </w:tc>
              <w:tc>
                <w:tcPr>
                  <w:tcW w:w="1077" w:type="pct"/>
                  <w:tcBorders>
                    <w:tl2br w:val="nil"/>
                    <w:tr2bl w:val="nil"/>
                  </w:tcBorders>
                  <w:noWrap/>
                  <w:vAlign w:val="center"/>
                </w:tcPr>
                <w:p w14:paraId="7C39A63B">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2"/>
                      <w:sz w:val="21"/>
                      <w:szCs w:val="21"/>
                      <w:lang w:val="en-US" w:eastAsia="zh-CN" w:bidi="ar-SA"/>
                    </w:rPr>
                  </w:pPr>
                </w:p>
              </w:tc>
              <w:tc>
                <w:tcPr>
                  <w:tcW w:w="1354" w:type="pct"/>
                  <w:tcBorders>
                    <w:tl2br w:val="nil"/>
                    <w:tr2bl w:val="nil"/>
                  </w:tcBorders>
                  <w:noWrap/>
                  <w:vAlign w:val="center"/>
                </w:tcPr>
                <w:p w14:paraId="34D0475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drawing>
                      <wp:inline distT="0" distB="0" distL="114300" distR="114300">
                        <wp:extent cx="1199515" cy="1050290"/>
                        <wp:effectExtent l="0" t="0" r="635" b="1651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19"/>
                                <a:stretch>
                                  <a:fillRect/>
                                </a:stretch>
                              </pic:blipFill>
                              <pic:spPr>
                                <a:xfrm>
                                  <a:off x="0" y="0"/>
                                  <a:ext cx="1199515" cy="1050290"/>
                                </a:xfrm>
                                <a:prstGeom prst="rect">
                                  <a:avLst/>
                                </a:prstGeom>
                                <a:noFill/>
                                <a:ln>
                                  <a:noFill/>
                                </a:ln>
                              </pic:spPr>
                            </pic:pic>
                          </a:graphicData>
                        </a:graphic>
                      </wp:inline>
                    </w:drawing>
                  </w:r>
                </w:p>
              </w:tc>
              <w:tc>
                <w:tcPr>
                  <w:tcW w:w="950" w:type="pct"/>
                  <w:tcBorders>
                    <w:tl2br w:val="nil"/>
                    <w:tr2bl w:val="nil"/>
                  </w:tcBorders>
                  <w:noWrap/>
                  <w:vAlign w:val="center"/>
                </w:tcPr>
                <w:p w14:paraId="3F4BEE4A">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危险废物</w:t>
                  </w:r>
                </w:p>
              </w:tc>
              <w:tc>
                <w:tcPr>
                  <w:tcW w:w="1168" w:type="pct"/>
                  <w:tcBorders>
                    <w:tl2br w:val="nil"/>
                    <w:tr2bl w:val="nil"/>
                  </w:tcBorders>
                  <w:noWrap/>
                  <w:vAlign w:val="center"/>
                </w:tcPr>
                <w:p w14:paraId="6A7A110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表示危险废物贮存、处置场</w:t>
                  </w:r>
                </w:p>
              </w:tc>
            </w:tr>
            <w:tr w14:paraId="4E79E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449" w:type="pct"/>
                  <w:tcBorders>
                    <w:tl2br w:val="nil"/>
                    <w:tr2bl w:val="nil"/>
                  </w:tcBorders>
                  <w:noWrap/>
                  <w:vAlign w:val="center"/>
                </w:tcPr>
                <w:p w14:paraId="7B78D786">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w:t>
                  </w:r>
                </w:p>
              </w:tc>
              <w:tc>
                <w:tcPr>
                  <w:tcW w:w="1482" w:type="dxa"/>
                  <w:tcBorders>
                    <w:tl2br w:val="nil"/>
                    <w:tr2bl w:val="nil"/>
                  </w:tcBorders>
                  <w:noWrap/>
                  <w:vAlign w:val="center"/>
                </w:tcPr>
                <w:p w14:paraId="452BBB5C">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color w:val="auto"/>
                      <w:sz w:val="21"/>
                      <w:szCs w:val="21"/>
                    </w:rPr>
                    <w:drawing>
                      <wp:inline distT="0" distB="0" distL="114300" distR="114300">
                        <wp:extent cx="848360" cy="857250"/>
                        <wp:effectExtent l="0" t="0" r="8890" b="0"/>
                        <wp:docPr id="3" name="图片 4" descr="说明: 说明: 说明: 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说明: 说明: 说明: 13003"/>
                                <pic:cNvPicPr>
                                  <a:picLocks noChangeAspect="1"/>
                                </pic:cNvPicPr>
                              </pic:nvPicPr>
                              <pic:blipFill>
                                <a:blip r:embed="rId20"/>
                                <a:stretch>
                                  <a:fillRect/>
                                </a:stretch>
                              </pic:blipFill>
                              <pic:spPr>
                                <a:xfrm>
                                  <a:off x="0" y="0"/>
                                  <a:ext cx="848360" cy="857250"/>
                                </a:xfrm>
                                <a:prstGeom prst="rect">
                                  <a:avLst/>
                                </a:prstGeom>
                                <a:noFill/>
                                <a:ln>
                                  <a:noFill/>
                                </a:ln>
                              </pic:spPr>
                            </pic:pic>
                          </a:graphicData>
                        </a:graphic>
                      </wp:inline>
                    </w:drawing>
                  </w:r>
                </w:p>
              </w:tc>
              <w:tc>
                <w:tcPr>
                  <w:tcW w:w="1988" w:type="dxa"/>
                  <w:tcBorders>
                    <w:tl2br w:val="nil"/>
                    <w:tr2bl w:val="nil"/>
                  </w:tcBorders>
                  <w:noWrap/>
                  <w:vAlign w:val="center"/>
                </w:tcPr>
                <w:p w14:paraId="67853E38">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color w:val="auto"/>
                      <w:sz w:val="21"/>
                      <w:szCs w:val="21"/>
                    </w:rPr>
                    <w:drawing>
                      <wp:inline distT="0" distB="0" distL="114300" distR="114300">
                        <wp:extent cx="885825" cy="886460"/>
                        <wp:effectExtent l="0" t="0" r="9525" b="8890"/>
                        <wp:docPr id="4" name="图片 5" descr="说明: 说明: 说明: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说明: 说明: 说明: 4"/>
                                <pic:cNvPicPr>
                                  <a:picLocks noChangeAspect="1"/>
                                </pic:cNvPicPr>
                              </pic:nvPicPr>
                              <pic:blipFill>
                                <a:blip r:embed="rId21"/>
                                <a:stretch>
                                  <a:fillRect/>
                                </a:stretch>
                              </pic:blipFill>
                              <pic:spPr>
                                <a:xfrm>
                                  <a:off x="0" y="0"/>
                                  <a:ext cx="885825" cy="886460"/>
                                </a:xfrm>
                                <a:prstGeom prst="rect">
                                  <a:avLst/>
                                </a:prstGeom>
                                <a:noFill/>
                                <a:ln>
                                  <a:noFill/>
                                </a:ln>
                              </pic:spPr>
                            </pic:pic>
                          </a:graphicData>
                        </a:graphic>
                      </wp:inline>
                    </w:drawing>
                  </w:r>
                </w:p>
              </w:tc>
              <w:tc>
                <w:tcPr>
                  <w:tcW w:w="1397" w:type="dxa"/>
                  <w:tcBorders>
                    <w:tl2br w:val="nil"/>
                    <w:tr2bl w:val="nil"/>
                  </w:tcBorders>
                  <w:noWrap/>
                  <w:vAlign w:val="center"/>
                </w:tcPr>
                <w:p w14:paraId="544853A7">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b w:val="0"/>
                      <w:bCs/>
                      <w:color w:val="auto"/>
                      <w:sz w:val="21"/>
                      <w:szCs w:val="21"/>
                    </w:rPr>
                    <w:t>废气排放口</w:t>
                  </w:r>
                </w:p>
              </w:tc>
              <w:tc>
                <w:tcPr>
                  <w:tcW w:w="2973" w:type="dxa"/>
                  <w:tcBorders>
                    <w:tl2br w:val="nil"/>
                    <w:tr2bl w:val="nil"/>
                  </w:tcBorders>
                  <w:noWrap/>
                  <w:vAlign w:val="center"/>
                </w:tcPr>
                <w:p w14:paraId="300830C9">
                  <w:pPr>
                    <w:pStyle w:val="148"/>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b w:val="0"/>
                      <w:bCs/>
                      <w:color w:val="auto"/>
                      <w:sz w:val="21"/>
                      <w:szCs w:val="21"/>
                    </w:rPr>
                    <w:t>表示废气向大气环境排放</w:t>
                  </w:r>
                </w:p>
              </w:tc>
            </w:tr>
          </w:tbl>
          <w:p w14:paraId="68CF32B4">
            <w:pPr>
              <w:keepNext w:val="0"/>
              <w:keepLines w:val="0"/>
              <w:suppressLineNumbers w:val="0"/>
              <w:spacing w:before="0" w:beforeAutospacing="0" w:after="0" w:afterAutospacing="0" w:line="360" w:lineRule="auto"/>
              <w:ind w:left="0" w:right="0"/>
              <w:contextualSpacing/>
              <w:rPr>
                <w:rFonts w:hint="eastAsia" w:ascii="Times New Roman" w:hAnsi="Times New Roman" w:eastAsia="宋体" w:cs="Times New Roman"/>
                <w:color w:val="auto"/>
                <w:szCs w:val="21"/>
                <w:highlight w:val="none"/>
                <w:lang w:val="en-US" w:eastAsia="zh-CN"/>
              </w:rPr>
            </w:pPr>
          </w:p>
        </w:tc>
      </w:tr>
    </w:tbl>
    <w:p w14:paraId="7402D6CE">
      <w:pPr>
        <w:jc w:val="center"/>
        <w:rPr>
          <w:rFonts w:hint="default" w:ascii="Times New Roman" w:hAnsi="Times New Roman" w:cs="Times New Roman"/>
          <w:color w:val="auto"/>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961F495">
      <w:pPr>
        <w:pStyle w:val="41"/>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jc w:val="center"/>
        <w:textAlignment w:val="auto"/>
        <w:outlineLvl w:val="0"/>
        <w:rPr>
          <w:rFonts w:hint="default" w:ascii="Times New Roman" w:hAnsi="Times New Roman" w:eastAsia="黑体" w:cs="Times New Roman"/>
          <w:snapToGrid w:val="0"/>
          <w:color w:val="auto"/>
          <w:sz w:val="30"/>
          <w:szCs w:val="30"/>
          <w:highlight w:val="none"/>
        </w:rPr>
      </w:pPr>
      <w:bookmarkStart w:id="6" w:name="_Toc28805"/>
      <w:r>
        <w:rPr>
          <w:rFonts w:hint="default" w:ascii="Times New Roman" w:hAnsi="Times New Roman" w:eastAsia="黑体" w:cs="Times New Roman"/>
          <w:snapToGrid w:val="0"/>
          <w:color w:val="auto"/>
          <w:sz w:val="30"/>
          <w:szCs w:val="30"/>
          <w:highlight w:val="none"/>
        </w:rPr>
        <w:t>五、</w:t>
      </w:r>
      <w:bookmarkStart w:id="7" w:name="_Hlk54167917"/>
      <w:r>
        <w:rPr>
          <w:rFonts w:hint="default" w:ascii="Times New Roman" w:hAnsi="Times New Roman" w:eastAsia="黑体" w:cs="Times New Roman"/>
          <w:snapToGrid w:val="0"/>
          <w:color w:val="auto"/>
          <w:sz w:val="30"/>
          <w:szCs w:val="30"/>
          <w:highlight w:val="none"/>
        </w:rPr>
        <w:t>环境保护措施监督检查清单</w:t>
      </w:r>
      <w:bookmarkEnd w:id="6"/>
      <w:bookmarkEnd w:id="7"/>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1517"/>
        <w:gridCol w:w="1287"/>
        <w:gridCol w:w="2527"/>
        <w:gridCol w:w="1936"/>
      </w:tblGrid>
      <w:tr w14:paraId="4E1CAF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3" w:type="dxa"/>
            <w:tcBorders>
              <w:tl2br w:val="single" w:color="auto" w:sz="4" w:space="0"/>
            </w:tcBorders>
            <w:noWrap w:val="0"/>
            <w:vAlign w:val="top"/>
          </w:tcPr>
          <w:p w14:paraId="19B2E9E3">
            <w:pPr>
              <w:keepNext w:val="0"/>
              <w:keepLines w:val="0"/>
              <w:suppressLineNumbers w:val="0"/>
              <w:adjustRightInd w:val="0"/>
              <w:snapToGrid w:val="0"/>
              <w:spacing w:before="0" w:beforeAutospacing="0" w:after="0" w:afterAutospacing="0"/>
              <w:ind w:left="958" w:leftChars="456" w:right="0" w:firstLine="0" w:firstLineChars="0"/>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内容</w:t>
            </w:r>
          </w:p>
          <w:p w14:paraId="509F10E9">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要素</w:t>
            </w:r>
          </w:p>
        </w:tc>
        <w:tc>
          <w:tcPr>
            <w:tcW w:w="1517" w:type="dxa"/>
            <w:noWrap w:val="0"/>
            <w:vAlign w:val="center"/>
          </w:tcPr>
          <w:p w14:paraId="64FD5C3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排放口(编号、名称)/污染源</w:t>
            </w:r>
          </w:p>
        </w:tc>
        <w:tc>
          <w:tcPr>
            <w:tcW w:w="1287" w:type="dxa"/>
            <w:noWrap w:val="0"/>
            <w:vAlign w:val="center"/>
          </w:tcPr>
          <w:p w14:paraId="173D24E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污染物项目</w:t>
            </w:r>
          </w:p>
        </w:tc>
        <w:tc>
          <w:tcPr>
            <w:tcW w:w="2527" w:type="dxa"/>
            <w:noWrap w:val="0"/>
            <w:vAlign w:val="center"/>
          </w:tcPr>
          <w:p w14:paraId="34DCA25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环境保护措施</w:t>
            </w:r>
          </w:p>
        </w:tc>
        <w:tc>
          <w:tcPr>
            <w:tcW w:w="1936" w:type="dxa"/>
            <w:noWrap w:val="0"/>
            <w:vAlign w:val="center"/>
          </w:tcPr>
          <w:p w14:paraId="11BC3C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highlight w:val="none"/>
                <w:u w:val="none" w:color="auto"/>
              </w:rPr>
            </w:pPr>
            <w:r>
              <w:rPr>
                <w:rFonts w:hint="default" w:ascii="Times New Roman" w:hAnsi="Times New Roman" w:cs="Times New Roman"/>
                <w:b/>
                <w:bCs/>
                <w:color w:val="auto"/>
                <w:sz w:val="24"/>
                <w:szCs w:val="24"/>
                <w:highlight w:val="none"/>
                <w:u w:val="none" w:color="auto"/>
              </w:rPr>
              <w:t>执行标准</w:t>
            </w:r>
          </w:p>
        </w:tc>
      </w:tr>
      <w:tr w14:paraId="3D19F7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92" w:hRule="atLeast"/>
          <w:jc w:val="center"/>
        </w:trPr>
        <w:tc>
          <w:tcPr>
            <w:tcW w:w="1533" w:type="dxa"/>
            <w:vMerge w:val="restart"/>
            <w:noWrap w:val="0"/>
            <w:vAlign w:val="center"/>
          </w:tcPr>
          <w:p w14:paraId="5FE2604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大气环境</w:t>
            </w:r>
          </w:p>
        </w:tc>
        <w:tc>
          <w:tcPr>
            <w:tcW w:w="1517" w:type="dxa"/>
            <w:noWrap w:val="0"/>
            <w:vAlign w:val="center"/>
          </w:tcPr>
          <w:p w14:paraId="228B41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lang w:val="en-US" w:eastAsia="zh-CN"/>
              </w:rPr>
            </w:pPr>
            <w:r>
              <w:rPr>
                <w:rFonts w:hint="default" w:ascii="Times New Roman" w:hAnsi="Times New Roman" w:eastAsia="宋体" w:cs="Times New Roman"/>
                <w:color w:val="auto"/>
                <w:sz w:val="24"/>
                <w:szCs w:val="24"/>
                <w:u w:val="none" w:color="auto"/>
                <w:lang w:val="en-US" w:eastAsia="zh-CN"/>
              </w:rPr>
              <w:t>复合膜生产、铝箔膜生产、PE膜生产、消毒</w:t>
            </w:r>
            <w:r>
              <w:rPr>
                <w:rFonts w:hint="eastAsia" w:cs="Times New Roman"/>
                <w:color w:val="auto"/>
                <w:sz w:val="24"/>
                <w:szCs w:val="24"/>
                <w:u w:val="none" w:color="auto"/>
                <w:lang w:val="en-US" w:eastAsia="zh-CN"/>
              </w:rPr>
              <w:t>等废气排气筒DA001</w:t>
            </w:r>
          </w:p>
        </w:tc>
        <w:tc>
          <w:tcPr>
            <w:tcW w:w="1287" w:type="dxa"/>
            <w:noWrap w:val="0"/>
            <w:vAlign w:val="center"/>
          </w:tcPr>
          <w:p w14:paraId="6F3F30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lang w:val="en-US" w:eastAsia="zh-CN"/>
              </w:rPr>
            </w:pPr>
            <w:r>
              <w:rPr>
                <w:rFonts w:hint="eastAsia" w:cs="Times New Roman"/>
                <w:color w:val="auto"/>
                <w:sz w:val="24"/>
                <w:szCs w:val="24"/>
                <w:u w:val="none" w:color="auto"/>
                <w:lang w:val="en-US" w:eastAsia="zh-CN"/>
              </w:rPr>
              <w:t>NMHC、颗粒物、二氧化硫、氮氧化物</w:t>
            </w:r>
          </w:p>
        </w:tc>
        <w:tc>
          <w:tcPr>
            <w:tcW w:w="2527" w:type="dxa"/>
            <w:noWrap w:val="0"/>
            <w:vAlign w:val="center"/>
          </w:tcPr>
          <w:p w14:paraId="5E714E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封闭厂房+</w:t>
            </w:r>
            <w:r>
              <w:rPr>
                <w:rFonts w:hint="default" w:ascii="Times New Roman" w:hAnsi="Times New Roman" w:eastAsia="宋体" w:cs="Times New Roman"/>
                <w:color w:val="auto"/>
                <w:sz w:val="24"/>
                <w:szCs w:val="24"/>
                <w:u w:val="none" w:color="auto"/>
                <w:lang w:val="en-US" w:eastAsia="zh-CN"/>
              </w:rPr>
              <w:t>沸石转轮浓缩+RTO+15m排气筒</w:t>
            </w:r>
          </w:p>
        </w:tc>
        <w:tc>
          <w:tcPr>
            <w:tcW w:w="1936" w:type="dxa"/>
            <w:vMerge w:val="restart"/>
            <w:noWrap w:val="0"/>
            <w:vAlign w:val="center"/>
          </w:tcPr>
          <w:p w14:paraId="61DE416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u w:val="none" w:color="auto"/>
                <w:lang w:val="en-US" w:eastAsia="zh-CN"/>
              </w:rPr>
            </w:pPr>
            <w:r>
              <w:rPr>
                <w:rFonts w:hint="default" w:ascii="Times New Roman" w:hAnsi="Times New Roman" w:cs="Times New Roman"/>
                <w:color w:val="auto"/>
                <w:sz w:val="24"/>
                <w:szCs w:val="24"/>
                <w:u w:val="none" w:color="auto"/>
                <w:lang w:val="en-US" w:eastAsia="zh-CN"/>
              </w:rPr>
              <w:t>挥发性有机物执行《工业企业挥发性有机物排放标准》（DB43/3550-2026）表 1 中标准限值，颗粒物</w:t>
            </w:r>
            <w:r>
              <w:rPr>
                <w:rFonts w:hint="eastAsia" w:cs="Times New Roman"/>
                <w:color w:val="auto"/>
                <w:sz w:val="24"/>
                <w:szCs w:val="24"/>
                <w:u w:val="none" w:color="auto"/>
                <w:lang w:val="en-US" w:eastAsia="zh-CN"/>
              </w:rPr>
              <w:t>、</w:t>
            </w:r>
            <w:r>
              <w:rPr>
                <w:rFonts w:hint="default" w:ascii="Times New Roman" w:hAnsi="Times New Roman" w:cs="Times New Roman"/>
                <w:color w:val="auto"/>
                <w:sz w:val="24"/>
                <w:szCs w:val="24"/>
                <w:u w:val="none" w:color="auto"/>
                <w:lang w:val="en-US" w:eastAsia="zh-CN"/>
              </w:rPr>
              <w:t>二氧化硫、氮氧化物执行《印刷工业大气污染物排放标准》（GB41616—2022）</w:t>
            </w:r>
          </w:p>
        </w:tc>
      </w:tr>
      <w:tr w14:paraId="06BDD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3" w:type="dxa"/>
            <w:vMerge w:val="continue"/>
            <w:noWrap w:val="0"/>
            <w:vAlign w:val="center"/>
          </w:tcPr>
          <w:p w14:paraId="36120C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p>
        </w:tc>
        <w:tc>
          <w:tcPr>
            <w:tcW w:w="1517" w:type="dxa"/>
            <w:noWrap w:val="0"/>
            <w:vAlign w:val="center"/>
          </w:tcPr>
          <w:p w14:paraId="22F7A1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lang w:val="en-US" w:eastAsia="zh-CN"/>
              </w:rPr>
            </w:pPr>
            <w:r>
              <w:rPr>
                <w:rFonts w:hint="eastAsia" w:cs="Times New Roman"/>
                <w:color w:val="auto"/>
                <w:sz w:val="24"/>
                <w:szCs w:val="24"/>
                <w:u w:val="none" w:color="auto"/>
                <w:lang w:val="en-US" w:eastAsia="zh-CN"/>
              </w:rPr>
              <w:t>厂界无组织</w:t>
            </w:r>
          </w:p>
        </w:tc>
        <w:tc>
          <w:tcPr>
            <w:tcW w:w="1287" w:type="dxa"/>
            <w:noWrap w:val="0"/>
            <w:vAlign w:val="center"/>
          </w:tcPr>
          <w:p w14:paraId="66618F4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4"/>
                <w:szCs w:val="24"/>
                <w:u w:val="none" w:color="auto"/>
                <w:lang w:val="en-US" w:eastAsia="zh-CN"/>
              </w:rPr>
            </w:pPr>
            <w:r>
              <w:rPr>
                <w:rFonts w:hint="eastAsia" w:cs="Times New Roman"/>
                <w:color w:val="auto"/>
                <w:sz w:val="24"/>
                <w:szCs w:val="24"/>
                <w:u w:val="none" w:color="auto"/>
                <w:lang w:val="en-US" w:eastAsia="zh-CN"/>
              </w:rPr>
              <w:t>NMHC</w:t>
            </w:r>
          </w:p>
        </w:tc>
        <w:tc>
          <w:tcPr>
            <w:tcW w:w="2527" w:type="dxa"/>
            <w:noWrap w:val="0"/>
            <w:vAlign w:val="center"/>
          </w:tcPr>
          <w:p w14:paraId="262EC6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封闭厂房+</w:t>
            </w:r>
            <w:r>
              <w:rPr>
                <w:rFonts w:hint="eastAsia" w:cs="Times New Roman"/>
                <w:color w:val="auto"/>
                <w:sz w:val="24"/>
                <w:szCs w:val="24"/>
                <w:u w:val="none" w:color="auto"/>
                <w:lang w:val="en-US" w:eastAsia="zh-CN"/>
              </w:rPr>
              <w:t>周边绿化</w:t>
            </w:r>
          </w:p>
        </w:tc>
        <w:tc>
          <w:tcPr>
            <w:tcW w:w="1936" w:type="dxa"/>
            <w:vMerge w:val="continue"/>
            <w:noWrap w:val="0"/>
            <w:vAlign w:val="center"/>
          </w:tcPr>
          <w:p w14:paraId="43DB01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highlight w:val="none"/>
                <w:u w:val="none" w:color="auto"/>
                <w:lang w:val="en-US" w:eastAsia="zh-CN" w:bidi="ar-SA"/>
              </w:rPr>
            </w:pPr>
          </w:p>
        </w:tc>
      </w:tr>
      <w:tr w14:paraId="78AF7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3" w:type="dxa"/>
            <w:vMerge w:val="restart"/>
            <w:noWrap w:val="0"/>
            <w:vAlign w:val="center"/>
          </w:tcPr>
          <w:p w14:paraId="56D547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地表水环境</w:t>
            </w:r>
          </w:p>
        </w:tc>
        <w:tc>
          <w:tcPr>
            <w:tcW w:w="1517" w:type="dxa"/>
            <w:noWrap w:val="0"/>
            <w:vAlign w:val="center"/>
          </w:tcPr>
          <w:p w14:paraId="7A2DDDA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u w:val="none" w:color="auto"/>
              </w:rPr>
              <w:t>生活废水</w:t>
            </w:r>
          </w:p>
        </w:tc>
        <w:tc>
          <w:tcPr>
            <w:tcW w:w="1287" w:type="dxa"/>
            <w:noWrap w:val="0"/>
            <w:vAlign w:val="center"/>
          </w:tcPr>
          <w:p w14:paraId="02E70E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highlight w:val="none"/>
                <w:u w:val="none" w:color="auto"/>
                <w:lang w:val="en-US" w:eastAsia="zh-CN"/>
              </w:rPr>
            </w:pPr>
            <w:r>
              <w:rPr>
                <w:rFonts w:hint="eastAsia" w:cs="Times New Roman"/>
                <w:color w:val="auto"/>
                <w:sz w:val="24"/>
                <w:szCs w:val="24"/>
                <w:u w:val="none" w:color="auto"/>
                <w:lang w:val="en-US" w:eastAsia="zh-CN"/>
              </w:rPr>
              <w:t>pH、</w:t>
            </w:r>
            <w:r>
              <w:rPr>
                <w:rFonts w:hint="default" w:ascii="Times New Roman" w:hAnsi="Times New Roman" w:eastAsia="宋体" w:cs="Times New Roman"/>
                <w:color w:val="auto"/>
                <w:sz w:val="24"/>
                <w:szCs w:val="24"/>
                <w:u w:val="none" w:color="auto"/>
              </w:rPr>
              <w:t>COD、BOD</w:t>
            </w:r>
            <w:r>
              <w:rPr>
                <w:rFonts w:hint="default" w:ascii="Times New Roman" w:hAnsi="Times New Roman" w:eastAsia="宋体" w:cs="Times New Roman"/>
                <w:color w:val="auto"/>
                <w:sz w:val="24"/>
                <w:szCs w:val="24"/>
                <w:u w:val="none" w:color="auto"/>
                <w:vertAlign w:val="subscript"/>
              </w:rPr>
              <w:t>5</w:t>
            </w:r>
            <w:r>
              <w:rPr>
                <w:rFonts w:hint="default" w:ascii="Times New Roman" w:hAnsi="Times New Roman" w:eastAsia="宋体" w:cs="Times New Roman"/>
                <w:color w:val="auto"/>
                <w:sz w:val="24"/>
                <w:szCs w:val="24"/>
                <w:u w:val="none" w:color="auto"/>
              </w:rPr>
              <w:t>、SS、NH</w:t>
            </w:r>
            <w:r>
              <w:rPr>
                <w:rFonts w:hint="default" w:ascii="Times New Roman" w:hAnsi="Times New Roman" w:eastAsia="宋体" w:cs="Times New Roman"/>
                <w:color w:val="auto"/>
                <w:sz w:val="24"/>
                <w:szCs w:val="24"/>
                <w:u w:val="none" w:color="auto"/>
                <w:vertAlign w:val="subscript"/>
              </w:rPr>
              <w:t>3</w:t>
            </w:r>
            <w:r>
              <w:rPr>
                <w:rFonts w:hint="default" w:ascii="Times New Roman" w:hAnsi="Times New Roman" w:eastAsia="宋体" w:cs="Times New Roman"/>
                <w:color w:val="auto"/>
                <w:sz w:val="24"/>
                <w:szCs w:val="24"/>
                <w:u w:val="none" w:color="auto"/>
              </w:rPr>
              <w:t>-N</w:t>
            </w:r>
            <w:r>
              <w:rPr>
                <w:rFonts w:hint="eastAsia" w:cs="Times New Roman"/>
                <w:color w:val="auto"/>
                <w:sz w:val="24"/>
                <w:szCs w:val="24"/>
                <w:u w:val="none" w:color="auto"/>
                <w:lang w:eastAsia="zh-CN"/>
              </w:rPr>
              <w:t>、</w:t>
            </w:r>
            <w:r>
              <w:rPr>
                <w:rFonts w:hint="eastAsia" w:cs="Times New Roman"/>
                <w:color w:val="auto"/>
                <w:sz w:val="24"/>
                <w:szCs w:val="24"/>
                <w:u w:val="none" w:color="auto"/>
                <w:lang w:val="en-US" w:eastAsia="zh-CN"/>
              </w:rPr>
              <w:t>总磷</w:t>
            </w:r>
          </w:p>
        </w:tc>
        <w:tc>
          <w:tcPr>
            <w:tcW w:w="2527" w:type="dxa"/>
            <w:noWrap w:val="0"/>
            <w:vAlign w:val="center"/>
          </w:tcPr>
          <w:p w14:paraId="3FEDF3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eastAsia="宋体" w:cs="Times New Roman"/>
                <w:color w:val="auto"/>
                <w:sz w:val="24"/>
                <w:szCs w:val="24"/>
                <w:u w:val="none" w:color="auto"/>
              </w:rPr>
              <w:t>化粪池</w:t>
            </w:r>
          </w:p>
        </w:tc>
        <w:tc>
          <w:tcPr>
            <w:tcW w:w="1936" w:type="dxa"/>
            <w:noWrap w:val="0"/>
            <w:vAlign w:val="center"/>
          </w:tcPr>
          <w:p w14:paraId="7B1E02D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highlight w:val="none"/>
                <w:u w:val="none" w:color="auto"/>
                <w:lang w:val="en-US" w:eastAsia="zh-CN"/>
              </w:rPr>
              <w:t>《污水综合排放标准》（GB8978-1996）表4中三级标准，且需满足</w:t>
            </w:r>
            <w:r>
              <w:rPr>
                <w:rFonts w:hint="eastAsia" w:cs="Times New Roman"/>
                <w:color w:val="auto"/>
                <w:sz w:val="24"/>
                <w:szCs w:val="24"/>
                <w:highlight w:val="none"/>
                <w:u w:val="none" w:color="auto"/>
                <w:lang w:val="en-US" w:eastAsia="zh-CN"/>
              </w:rPr>
              <w:t>祁阳白竹污水处理厂</w:t>
            </w:r>
            <w:r>
              <w:rPr>
                <w:rFonts w:hint="eastAsia" w:ascii="Times New Roman" w:hAnsi="Times New Roman" w:eastAsia="宋体" w:cs="Times New Roman"/>
                <w:color w:val="auto"/>
                <w:sz w:val="24"/>
                <w:szCs w:val="24"/>
                <w:highlight w:val="none"/>
                <w:u w:val="none" w:color="auto"/>
                <w:lang w:val="en-US" w:eastAsia="zh-CN"/>
              </w:rPr>
              <w:t>设计进水水质</w:t>
            </w:r>
          </w:p>
        </w:tc>
      </w:tr>
      <w:tr w14:paraId="2A3C6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3" w:type="dxa"/>
            <w:vMerge w:val="continue"/>
            <w:noWrap w:val="0"/>
            <w:vAlign w:val="center"/>
          </w:tcPr>
          <w:p w14:paraId="16CB68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p>
        </w:tc>
        <w:tc>
          <w:tcPr>
            <w:tcW w:w="1517" w:type="dxa"/>
            <w:noWrap w:val="0"/>
            <w:vAlign w:val="center"/>
          </w:tcPr>
          <w:p w14:paraId="102B2031">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szCs w:val="24"/>
                <w:u w:val="none" w:color="auto"/>
                <w:lang w:val="en-US" w:eastAsia="zh-CN"/>
              </w:rPr>
            </w:pPr>
            <w:r>
              <w:rPr>
                <w:rFonts w:hint="eastAsia" w:cs="Times New Roman"/>
                <w:color w:val="auto"/>
                <w:sz w:val="24"/>
                <w:szCs w:val="24"/>
                <w:u w:val="none" w:color="auto"/>
                <w:lang w:val="en-US" w:eastAsia="zh-CN"/>
              </w:rPr>
              <w:t>冷却</w:t>
            </w:r>
            <w:r>
              <w:rPr>
                <w:rFonts w:hint="eastAsia" w:ascii="Times New Roman" w:hAnsi="Times New Roman" w:eastAsia="宋体" w:cs="Times New Roman"/>
                <w:color w:val="auto"/>
                <w:sz w:val="24"/>
                <w:szCs w:val="24"/>
                <w:u w:val="none" w:color="auto"/>
                <w:lang w:val="en-US" w:eastAsia="zh-CN"/>
              </w:rPr>
              <w:t>废水</w:t>
            </w:r>
          </w:p>
        </w:tc>
        <w:tc>
          <w:tcPr>
            <w:tcW w:w="1287" w:type="dxa"/>
            <w:noWrap w:val="0"/>
            <w:vAlign w:val="center"/>
          </w:tcPr>
          <w:p w14:paraId="43F9C0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rPr>
            </w:pPr>
            <w:r>
              <w:rPr>
                <w:rFonts w:hint="default" w:ascii="Times New Roman" w:hAnsi="Times New Roman" w:eastAsia="宋体" w:cs="Times New Roman"/>
                <w:color w:val="auto"/>
                <w:sz w:val="24"/>
                <w:szCs w:val="24"/>
                <w:u w:val="none" w:color="auto"/>
              </w:rPr>
              <w:t>COD、SS</w:t>
            </w:r>
          </w:p>
        </w:tc>
        <w:tc>
          <w:tcPr>
            <w:tcW w:w="2527" w:type="dxa"/>
            <w:noWrap w:val="0"/>
            <w:vAlign w:val="center"/>
          </w:tcPr>
          <w:p w14:paraId="0775EF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u w:val="none" w:color="auto"/>
              </w:rPr>
            </w:pPr>
            <w:r>
              <w:rPr>
                <w:rFonts w:hint="eastAsia" w:ascii="Times New Roman" w:hAnsi="Times New Roman" w:eastAsia="宋体" w:cs="Times New Roman"/>
                <w:color w:val="auto"/>
                <w:sz w:val="24"/>
                <w:szCs w:val="24"/>
                <w:u w:val="none" w:color="auto"/>
              </w:rPr>
              <w:t>循环使用，不外排</w:t>
            </w:r>
          </w:p>
        </w:tc>
        <w:tc>
          <w:tcPr>
            <w:tcW w:w="1936" w:type="dxa"/>
            <w:noWrap w:val="0"/>
            <w:vAlign w:val="center"/>
          </w:tcPr>
          <w:p w14:paraId="2787925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u w:val="none" w:color="auto"/>
                <w:lang w:val="en-US" w:eastAsia="zh-CN"/>
              </w:rPr>
            </w:pPr>
            <w:r>
              <w:rPr>
                <w:rFonts w:hint="eastAsia" w:ascii="Times New Roman" w:hAnsi="Times New Roman" w:eastAsia="宋体" w:cs="Times New Roman"/>
                <w:color w:val="auto"/>
                <w:sz w:val="24"/>
                <w:szCs w:val="24"/>
                <w:u w:val="none" w:color="auto"/>
              </w:rPr>
              <w:t>不外排</w:t>
            </w:r>
          </w:p>
        </w:tc>
      </w:tr>
      <w:tr w14:paraId="73AB08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3" w:type="dxa"/>
            <w:noWrap w:val="0"/>
            <w:vAlign w:val="center"/>
          </w:tcPr>
          <w:p w14:paraId="73B6EC0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声环境</w:t>
            </w:r>
          </w:p>
        </w:tc>
        <w:tc>
          <w:tcPr>
            <w:tcW w:w="1517" w:type="dxa"/>
            <w:noWrap w:val="0"/>
            <w:vAlign w:val="center"/>
          </w:tcPr>
          <w:p w14:paraId="29AECE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lang w:val="en-US" w:eastAsia="zh-CN"/>
              </w:rPr>
              <w:t>设备噪声</w:t>
            </w:r>
          </w:p>
        </w:tc>
        <w:tc>
          <w:tcPr>
            <w:tcW w:w="1287" w:type="dxa"/>
            <w:noWrap w:val="0"/>
            <w:vAlign w:val="center"/>
          </w:tcPr>
          <w:p w14:paraId="431C2DA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等效连续A声级</w:t>
            </w:r>
          </w:p>
        </w:tc>
        <w:tc>
          <w:tcPr>
            <w:tcW w:w="2527" w:type="dxa"/>
            <w:noWrap w:val="0"/>
            <w:vAlign w:val="center"/>
          </w:tcPr>
          <w:p w14:paraId="50AAE1CA">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szCs w:val="24"/>
                <w:highlight w:val="none"/>
                <w:u w:val="none" w:color="auto"/>
                <w:lang w:eastAsia="zh-CN"/>
              </w:rPr>
            </w:pPr>
            <w:r>
              <w:rPr>
                <w:rFonts w:hint="default" w:ascii="Times New Roman" w:hAnsi="Times New Roman" w:cs="Times New Roman"/>
                <w:color w:val="auto"/>
                <w:sz w:val="24"/>
                <w:szCs w:val="24"/>
                <w:highlight w:val="none"/>
                <w:u w:val="none" w:color="auto"/>
                <w:lang w:val="en-US" w:eastAsia="zh-CN"/>
              </w:rPr>
              <w:t>优先</w:t>
            </w:r>
            <w:r>
              <w:rPr>
                <w:rFonts w:hint="default" w:ascii="Times New Roman" w:hAnsi="Times New Roman" w:cs="Times New Roman"/>
                <w:color w:val="auto"/>
                <w:sz w:val="24"/>
                <w:szCs w:val="24"/>
                <w:highlight w:val="none"/>
                <w:u w:val="none" w:color="auto"/>
              </w:rPr>
              <w:t>选用低噪声设备</w:t>
            </w:r>
            <w:r>
              <w:rPr>
                <w:rFonts w:hint="default" w:ascii="Times New Roman" w:hAnsi="Times New Roman"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lang w:val="en-US" w:eastAsia="zh-CN"/>
              </w:rPr>
              <w:t>合理布局高噪声设备，对高噪声设备采取基础减振、厂房隔声、隔声间等</w:t>
            </w:r>
            <w:r>
              <w:rPr>
                <w:rFonts w:hint="default" w:ascii="Times New Roman" w:hAnsi="Times New Roman" w:cs="Times New Roman"/>
                <w:color w:val="auto"/>
                <w:sz w:val="24"/>
                <w:szCs w:val="24"/>
                <w:highlight w:val="none"/>
                <w:u w:val="none" w:color="auto"/>
              </w:rPr>
              <w:t>降噪措施</w:t>
            </w:r>
            <w:r>
              <w:rPr>
                <w:rFonts w:hint="default" w:ascii="Times New Roman" w:hAnsi="Times New Roman" w:cs="Times New Roman"/>
                <w:color w:val="auto"/>
                <w:sz w:val="24"/>
                <w:szCs w:val="24"/>
                <w:highlight w:val="none"/>
                <w:u w:val="none" w:color="auto"/>
                <w:lang w:eastAsia="zh-CN"/>
              </w:rPr>
              <w:t>。</w:t>
            </w:r>
          </w:p>
        </w:tc>
        <w:tc>
          <w:tcPr>
            <w:tcW w:w="1936" w:type="dxa"/>
            <w:noWrap w:val="0"/>
            <w:vAlign w:val="center"/>
          </w:tcPr>
          <w:p w14:paraId="48E2207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《工业企业厂界环境噪声排放标准》（GB12348-2008）中的</w:t>
            </w:r>
            <w:r>
              <w:rPr>
                <w:rFonts w:hint="eastAsia" w:ascii="Times New Roman" w:hAnsi="Times New Roman" w:cs="Times New Roman"/>
                <w:color w:val="auto"/>
                <w:sz w:val="24"/>
                <w:szCs w:val="24"/>
                <w:highlight w:val="none"/>
                <w:u w:val="none" w:color="auto"/>
                <w:lang w:val="en-US" w:eastAsia="zh-CN"/>
              </w:rPr>
              <w:t>3</w:t>
            </w:r>
            <w:r>
              <w:rPr>
                <w:rFonts w:hint="default" w:ascii="Times New Roman" w:hAnsi="Times New Roman" w:cs="Times New Roman"/>
                <w:color w:val="auto"/>
                <w:sz w:val="24"/>
                <w:szCs w:val="24"/>
                <w:highlight w:val="none"/>
                <w:u w:val="none" w:color="auto"/>
              </w:rPr>
              <w:t>类标准</w:t>
            </w:r>
          </w:p>
        </w:tc>
      </w:tr>
      <w:tr w14:paraId="68419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533" w:type="dxa"/>
            <w:noWrap w:val="0"/>
            <w:vAlign w:val="center"/>
          </w:tcPr>
          <w:p w14:paraId="4AA09B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电磁辐射</w:t>
            </w:r>
          </w:p>
        </w:tc>
        <w:tc>
          <w:tcPr>
            <w:tcW w:w="7267" w:type="dxa"/>
            <w:gridSpan w:val="4"/>
            <w:noWrap w:val="0"/>
            <w:vAlign w:val="center"/>
          </w:tcPr>
          <w:p w14:paraId="25516F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eastAsia="zh-CN"/>
              </w:rPr>
            </w:pPr>
            <w:r>
              <w:rPr>
                <w:rFonts w:hint="eastAsia" w:ascii="Times New Roman" w:hAnsi="Times New Roman" w:cs="Times New Roman"/>
                <w:color w:val="auto"/>
                <w:sz w:val="24"/>
                <w:szCs w:val="24"/>
                <w:highlight w:val="none"/>
                <w:u w:val="none" w:color="auto"/>
                <w:lang w:val="en-US" w:eastAsia="zh-CN"/>
              </w:rPr>
              <w:t>/</w:t>
            </w:r>
          </w:p>
        </w:tc>
      </w:tr>
      <w:tr w14:paraId="5B0FA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533" w:type="dxa"/>
            <w:noWrap w:val="0"/>
            <w:vAlign w:val="center"/>
          </w:tcPr>
          <w:p w14:paraId="1EA7A58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固体废物</w:t>
            </w:r>
          </w:p>
        </w:tc>
        <w:tc>
          <w:tcPr>
            <w:tcW w:w="7267" w:type="dxa"/>
            <w:gridSpan w:val="4"/>
            <w:noWrap w:val="0"/>
            <w:vAlign w:val="center"/>
          </w:tcPr>
          <w:p w14:paraId="73E69751">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rPr>
              <w:t>厂内</w:t>
            </w:r>
            <w:r>
              <w:rPr>
                <w:rFonts w:hint="default" w:ascii="Times New Roman" w:hAnsi="Times New Roman" w:eastAsia="宋体" w:cs="Times New Roman"/>
                <w:color w:val="auto"/>
                <w:sz w:val="24"/>
                <w:szCs w:val="24"/>
                <w:highlight w:val="none"/>
                <w:u w:val="none" w:color="auto"/>
                <w:lang w:eastAsia="zh-CN"/>
              </w:rPr>
              <w:t>建</w:t>
            </w:r>
            <w:r>
              <w:rPr>
                <w:rFonts w:hint="default" w:ascii="Times New Roman" w:hAnsi="Times New Roman" w:eastAsia="宋体" w:cs="Times New Roman"/>
                <w:color w:val="auto"/>
                <w:sz w:val="24"/>
                <w:szCs w:val="24"/>
                <w:highlight w:val="none"/>
                <w:u w:val="none" w:color="auto"/>
              </w:rPr>
              <w:t>一般工业固废暂存间</w:t>
            </w:r>
            <w:r>
              <w:rPr>
                <w:rFonts w:hint="eastAsia" w:ascii="Times New Roman" w:hAnsi="Times New Roman" w:eastAsia="宋体" w:cs="Times New Roman"/>
                <w:color w:val="auto"/>
                <w:sz w:val="24"/>
                <w:szCs w:val="24"/>
                <w:highlight w:val="none"/>
                <w:u w:val="none" w:color="auto"/>
                <w:lang w:val="en-US" w:eastAsia="zh-CN"/>
              </w:rPr>
              <w:t>1</w:t>
            </w:r>
            <w:r>
              <w:rPr>
                <w:rFonts w:hint="default" w:ascii="Times New Roman" w:hAnsi="Times New Roman" w:eastAsia="宋体" w:cs="Times New Roman"/>
                <w:color w:val="auto"/>
                <w:sz w:val="24"/>
                <w:szCs w:val="24"/>
                <w:highlight w:val="none"/>
                <w:u w:val="none" w:color="auto"/>
              </w:rPr>
              <w:t>座，</w:t>
            </w:r>
            <w:r>
              <w:rPr>
                <w:rFonts w:hint="default" w:ascii="Times New Roman" w:hAnsi="Times New Roman" w:eastAsia="宋体" w:cs="Times New Roman"/>
                <w:color w:val="auto"/>
                <w:sz w:val="24"/>
                <w:szCs w:val="24"/>
                <w:highlight w:val="none"/>
                <w:u w:val="none" w:color="auto"/>
                <w:lang w:eastAsia="zh-CN"/>
              </w:rPr>
              <w:t>总</w:t>
            </w:r>
            <w:r>
              <w:rPr>
                <w:rFonts w:hint="default" w:ascii="Times New Roman" w:hAnsi="Times New Roman" w:eastAsia="宋体" w:cs="Times New Roman"/>
                <w:color w:val="auto"/>
                <w:sz w:val="24"/>
                <w:szCs w:val="24"/>
                <w:highlight w:val="none"/>
                <w:u w:val="none" w:color="auto"/>
              </w:rPr>
              <w:t>占地面积</w:t>
            </w:r>
            <w:r>
              <w:rPr>
                <w:rFonts w:hint="eastAsia" w:cs="Times New Roman"/>
                <w:color w:val="auto"/>
                <w:sz w:val="24"/>
                <w:szCs w:val="24"/>
                <w:highlight w:val="none"/>
                <w:u w:val="none" w:color="auto"/>
                <w:lang w:val="en-US" w:eastAsia="zh-CN"/>
              </w:rPr>
              <w:t>5</w:t>
            </w:r>
            <w:r>
              <w:rPr>
                <w:rFonts w:hint="eastAsia" w:ascii="Times New Roman" w:hAnsi="Times New Roman" w:eastAsia="宋体" w:cs="Times New Roman"/>
                <w:color w:val="auto"/>
                <w:sz w:val="24"/>
                <w:szCs w:val="24"/>
                <w:highlight w:val="none"/>
                <w:u w:val="none" w:color="auto"/>
                <w:lang w:val="en-US" w:eastAsia="zh-CN"/>
              </w:rPr>
              <w:t>0</w:t>
            </w:r>
            <w:r>
              <w:rPr>
                <w:rFonts w:hint="default" w:ascii="Times New Roman" w:hAnsi="Times New Roman" w:eastAsia="宋体" w:cs="Times New Roman"/>
                <w:color w:val="auto"/>
                <w:sz w:val="24"/>
                <w:szCs w:val="24"/>
                <w:highlight w:val="none"/>
                <w:u w:val="none" w:color="auto"/>
              </w:rPr>
              <w:t>m</w:t>
            </w:r>
            <w:r>
              <w:rPr>
                <w:rFonts w:hint="default" w:ascii="Times New Roman" w:hAnsi="Times New Roman" w:eastAsia="宋体" w:cs="Times New Roman"/>
                <w:color w:val="auto"/>
                <w:sz w:val="24"/>
                <w:szCs w:val="24"/>
                <w:highlight w:val="none"/>
                <w:u w:val="none" w:color="auto"/>
                <w:vertAlign w:val="superscript"/>
              </w:rPr>
              <w:t>2</w:t>
            </w:r>
            <w:r>
              <w:rPr>
                <w:rFonts w:hint="default" w:ascii="Times New Roman" w:hAnsi="Times New Roman" w:eastAsia="宋体" w:cs="Times New Roman"/>
                <w:color w:val="auto"/>
                <w:sz w:val="24"/>
                <w:szCs w:val="24"/>
                <w:highlight w:val="none"/>
                <w:u w:val="none" w:color="auto"/>
              </w:rPr>
              <w:t>。</w:t>
            </w:r>
            <w:r>
              <w:rPr>
                <w:rFonts w:hint="eastAsia" w:ascii="Times New Roman" w:hAnsi="Times New Roman" w:eastAsia="宋体" w:cs="Times New Roman"/>
                <w:color w:val="auto"/>
                <w:sz w:val="24"/>
                <w:szCs w:val="24"/>
                <w:highlight w:val="none"/>
                <w:u w:val="none" w:color="auto"/>
                <w:lang w:val="en-US" w:eastAsia="zh-CN"/>
              </w:rPr>
              <w:t>沉渣</w:t>
            </w:r>
            <w:r>
              <w:rPr>
                <w:rFonts w:hint="default" w:ascii="Times New Roman" w:hAnsi="Times New Roman" w:eastAsia="宋体" w:cs="Times New Roman"/>
                <w:color w:val="auto"/>
                <w:sz w:val="24"/>
                <w:szCs w:val="24"/>
                <w:highlight w:val="none"/>
                <w:u w:val="none" w:color="auto"/>
              </w:rPr>
              <w:t>暂存区采用钢架顶棚和四周围挡；地面水泥硬化，做好防渗漏、防雨淋、防扬散措施；一般工业固废暂存区的建设符合《一般工业固体废物贮存和填埋污染控制标准》（GB18599-2020）中相关要求。</w:t>
            </w:r>
          </w:p>
          <w:p w14:paraId="5EF1C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u w:val="none" w:color="auto"/>
              </w:rPr>
            </w:pPr>
            <w:r>
              <w:rPr>
                <w:rFonts w:hint="eastAsia" w:ascii="Times New Roman" w:hAnsi="Times New Roman" w:cs="Times New Roman"/>
                <w:color w:val="auto"/>
                <w:sz w:val="24"/>
                <w:szCs w:val="24"/>
                <w:u w:val="none" w:color="auto"/>
                <w:lang w:eastAsia="zh-CN"/>
              </w:rPr>
              <w:t>（</w:t>
            </w:r>
            <w:r>
              <w:rPr>
                <w:rFonts w:hint="eastAsia" w:ascii="Times New Roman" w:hAnsi="Times New Roman" w:cs="Times New Roman"/>
                <w:color w:val="auto"/>
                <w:sz w:val="24"/>
                <w:szCs w:val="24"/>
                <w:u w:val="none" w:color="auto"/>
                <w:lang w:val="en-US" w:eastAsia="zh-CN"/>
              </w:rPr>
              <w:t>2</w:t>
            </w:r>
            <w:r>
              <w:rPr>
                <w:rFonts w:hint="eastAsia" w:ascii="Times New Roman" w:hAnsi="Times New Roman" w:cs="Times New Roman"/>
                <w:color w:val="auto"/>
                <w:sz w:val="24"/>
                <w:szCs w:val="24"/>
                <w:u w:val="none" w:color="auto"/>
                <w:lang w:eastAsia="zh-CN"/>
              </w:rPr>
              <w:t>）</w:t>
            </w:r>
            <w:r>
              <w:rPr>
                <w:rFonts w:hint="default" w:ascii="Times New Roman" w:hAnsi="Times New Roman" w:cs="Times New Roman"/>
                <w:color w:val="auto"/>
                <w:sz w:val="24"/>
                <w:szCs w:val="24"/>
                <w:u w:val="none" w:color="auto"/>
              </w:rPr>
              <w:t>危险废物设一处危废暂存间，收集后委托有资质单位处置，危险废物暂存暂存间满足七防（防风、防雨、防晒、防雷、防扬散、防流失、防渗漏），满足《危险废物贮存污染控制标准》 （GB18597-20</w:t>
            </w:r>
            <w:r>
              <w:rPr>
                <w:rFonts w:hint="eastAsia" w:ascii="Times New Roman" w:hAnsi="Times New Roman" w:cs="Times New Roman"/>
                <w:color w:val="auto"/>
                <w:sz w:val="24"/>
                <w:szCs w:val="24"/>
                <w:u w:val="none" w:color="auto"/>
                <w:lang w:val="en-US" w:eastAsia="zh-CN"/>
              </w:rPr>
              <w:t>23</w:t>
            </w:r>
            <w:r>
              <w:rPr>
                <w:rFonts w:hint="default" w:ascii="Times New Roman" w:hAnsi="Times New Roman" w:cs="Times New Roman"/>
                <w:color w:val="auto"/>
                <w:sz w:val="24"/>
                <w:szCs w:val="24"/>
                <w:u w:val="none" w:color="auto"/>
              </w:rPr>
              <w:t>）及修改单要求；</w:t>
            </w:r>
          </w:p>
          <w:p w14:paraId="29C7D7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u w:val="none" w:color="auto"/>
                <w:lang w:val="en-US" w:eastAsia="zh-CN"/>
              </w:rPr>
            </w:pPr>
            <w:r>
              <w:rPr>
                <w:rFonts w:hint="default" w:ascii="Times New Roman" w:hAnsi="Times New Roman" w:eastAsia="宋体" w:cs="Times New Roman"/>
                <w:color w:val="auto"/>
                <w:sz w:val="24"/>
                <w:szCs w:val="24"/>
                <w:highlight w:val="none"/>
                <w:u w:val="none" w:color="auto"/>
              </w:rPr>
              <w:t>（</w:t>
            </w:r>
            <w:r>
              <w:rPr>
                <w:rFonts w:hint="eastAsia" w:ascii="Times New Roman" w:hAnsi="Times New Roman" w:eastAsia="宋体" w:cs="Times New Roman"/>
                <w:color w:val="auto"/>
                <w:sz w:val="24"/>
                <w:szCs w:val="24"/>
                <w:highlight w:val="none"/>
                <w:u w:val="none" w:color="auto"/>
                <w:lang w:val="en-US" w:eastAsia="zh-CN"/>
              </w:rPr>
              <w:t>3</w:t>
            </w:r>
            <w:r>
              <w:rPr>
                <w:rFonts w:hint="default" w:ascii="Times New Roman" w:hAnsi="Times New Roman" w:eastAsia="宋体" w:cs="Times New Roman"/>
                <w:color w:val="auto"/>
                <w:sz w:val="24"/>
                <w:szCs w:val="24"/>
                <w:highlight w:val="none"/>
                <w:u w:val="none" w:color="auto"/>
              </w:rPr>
              <w:t>）厂</w:t>
            </w:r>
            <w:r>
              <w:rPr>
                <w:rFonts w:hint="default" w:ascii="Times New Roman" w:hAnsi="Times New Roman" w:eastAsia="宋体" w:cs="Times New Roman"/>
                <w:color w:val="auto"/>
                <w:sz w:val="24"/>
                <w:szCs w:val="24"/>
                <w:highlight w:val="none"/>
                <w:u w:val="none" w:color="auto"/>
                <w:lang w:val="en-US" w:eastAsia="zh-CN"/>
              </w:rPr>
              <w:t>内</w:t>
            </w:r>
            <w:r>
              <w:rPr>
                <w:rFonts w:hint="default" w:ascii="Times New Roman" w:hAnsi="Times New Roman" w:eastAsia="宋体" w:cs="Times New Roman"/>
                <w:color w:val="auto"/>
                <w:sz w:val="24"/>
                <w:szCs w:val="24"/>
                <w:highlight w:val="none"/>
                <w:u w:val="none" w:color="auto"/>
              </w:rPr>
              <w:t>设置</w:t>
            </w:r>
            <w:r>
              <w:rPr>
                <w:rFonts w:hint="default" w:ascii="Times New Roman" w:hAnsi="Times New Roman" w:eastAsia="宋体" w:cs="Times New Roman"/>
                <w:color w:val="auto"/>
                <w:sz w:val="24"/>
                <w:szCs w:val="24"/>
                <w:highlight w:val="none"/>
                <w:u w:val="none" w:color="auto"/>
                <w:lang w:val="en-US" w:eastAsia="zh-CN"/>
              </w:rPr>
              <w:t>一定数量的</w:t>
            </w:r>
            <w:r>
              <w:rPr>
                <w:rFonts w:hint="default" w:ascii="Times New Roman" w:hAnsi="Times New Roman" w:eastAsia="宋体" w:cs="Times New Roman"/>
                <w:color w:val="auto"/>
                <w:sz w:val="24"/>
                <w:szCs w:val="24"/>
                <w:highlight w:val="none"/>
                <w:u w:val="none" w:color="auto"/>
              </w:rPr>
              <w:t>垃圾桶，对生活垃圾进行分类收集</w:t>
            </w:r>
            <w:r>
              <w:rPr>
                <w:rFonts w:hint="default" w:ascii="Times New Roman" w:hAnsi="Times New Roman" w:eastAsia="宋体"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val="en-US" w:eastAsia="zh-CN"/>
              </w:rPr>
              <w:t>生活垃圾委托环卫部门进行统一清运处置，同时</w:t>
            </w:r>
            <w:r>
              <w:rPr>
                <w:rFonts w:hint="default" w:ascii="Times New Roman" w:hAnsi="Times New Roman" w:eastAsia="宋体" w:cs="Times New Roman"/>
                <w:color w:val="auto"/>
                <w:sz w:val="24"/>
                <w:szCs w:val="24"/>
                <w:highlight w:val="none"/>
                <w:u w:val="none" w:color="auto"/>
              </w:rPr>
              <w:t>做到日产日清。</w:t>
            </w:r>
          </w:p>
        </w:tc>
      </w:tr>
      <w:tr w14:paraId="5E7EA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533" w:type="dxa"/>
            <w:noWrap w:val="0"/>
            <w:vAlign w:val="center"/>
          </w:tcPr>
          <w:p w14:paraId="3630ADF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土壤及地下水污染防治措施</w:t>
            </w:r>
          </w:p>
        </w:tc>
        <w:tc>
          <w:tcPr>
            <w:tcW w:w="7267" w:type="dxa"/>
            <w:gridSpan w:val="4"/>
            <w:noWrap w:val="0"/>
            <w:vAlign w:val="center"/>
          </w:tcPr>
          <w:p w14:paraId="603AC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eastAsia" w:ascii="Times New Roman" w:hAnsi="Times New Roman" w:eastAsia="宋体" w:cs="Times New Roman"/>
                <w:color w:val="auto"/>
                <w:sz w:val="24"/>
                <w:szCs w:val="24"/>
                <w:highlight w:val="none"/>
                <w:u w:val="none" w:color="auto"/>
                <w:lang w:val="en-US" w:eastAsia="zh-CN"/>
              </w:rPr>
            </w:pPr>
            <w:r>
              <w:rPr>
                <w:rFonts w:hint="default" w:ascii="宋体" w:hAnsi="宋体" w:eastAsia="宋体" w:cs="宋体"/>
                <w:color w:val="auto"/>
                <w:spacing w:val="-2"/>
                <w:sz w:val="24"/>
                <w:szCs w:val="24"/>
                <w:u w:val="none" w:color="auto"/>
              </w:rPr>
              <w:t>采取分区防控措施，项目将按简单防渗区、一般防渗区、重点防渗区设计，</w:t>
            </w:r>
            <w:r>
              <w:rPr>
                <w:rFonts w:hint="default" w:ascii="宋体" w:hAnsi="宋体" w:eastAsia="宋体" w:cs="宋体"/>
                <w:color w:val="auto"/>
                <w:spacing w:val="4"/>
                <w:sz w:val="24"/>
                <w:szCs w:val="24"/>
                <w:u w:val="none" w:color="auto"/>
              </w:rPr>
              <w:t xml:space="preserve"> </w:t>
            </w:r>
            <w:r>
              <w:rPr>
                <w:rFonts w:hint="default" w:ascii="宋体" w:hAnsi="宋体" w:eastAsia="宋体" w:cs="宋体"/>
                <w:color w:val="auto"/>
                <w:spacing w:val="-1"/>
                <w:sz w:val="24"/>
                <w:szCs w:val="24"/>
                <w:u w:val="none" w:color="auto"/>
              </w:rPr>
              <w:t>考虑了相应的控制措施，采取不同等级的防渗措施</w:t>
            </w:r>
            <w:r>
              <w:rPr>
                <w:rFonts w:hint="eastAsia" w:ascii="宋体" w:hAnsi="宋体" w:eastAsia="宋体" w:cs="宋体"/>
                <w:color w:val="auto"/>
                <w:spacing w:val="-1"/>
                <w:sz w:val="24"/>
                <w:szCs w:val="24"/>
                <w:u w:val="none" w:color="auto"/>
                <w:lang w:eastAsia="zh-CN"/>
              </w:rPr>
              <w:t>。</w:t>
            </w:r>
          </w:p>
        </w:tc>
      </w:tr>
      <w:tr w14:paraId="2B39A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533" w:type="dxa"/>
            <w:noWrap w:val="0"/>
            <w:vAlign w:val="center"/>
          </w:tcPr>
          <w:p w14:paraId="121563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rPr>
            </w:pPr>
            <w:r>
              <w:rPr>
                <w:rFonts w:hint="default" w:ascii="Times New Roman" w:hAnsi="Times New Roman" w:cs="Times New Roman"/>
                <w:color w:val="auto"/>
                <w:sz w:val="24"/>
                <w:szCs w:val="24"/>
                <w:highlight w:val="none"/>
                <w:u w:val="none" w:color="auto"/>
              </w:rPr>
              <w:t>生态保护措施</w:t>
            </w:r>
          </w:p>
        </w:tc>
        <w:tc>
          <w:tcPr>
            <w:tcW w:w="7267" w:type="dxa"/>
            <w:gridSpan w:val="4"/>
            <w:noWrap w:val="0"/>
            <w:vAlign w:val="center"/>
          </w:tcPr>
          <w:p w14:paraId="7836CC5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eastAsia" w:ascii="Times New Roman" w:hAnsi="Times New Roman" w:eastAsia="宋体" w:cs="Times New Roman"/>
                <w:color w:val="auto"/>
                <w:sz w:val="24"/>
                <w:szCs w:val="24"/>
                <w:highlight w:val="none"/>
                <w:u w:val="none" w:color="auto"/>
                <w:lang w:eastAsia="zh-CN"/>
              </w:rPr>
            </w:pPr>
            <w:r>
              <w:rPr>
                <w:rFonts w:hint="eastAsia" w:ascii="Times New Roman" w:hAnsi="Times New Roman" w:cs="Times New Roman"/>
                <w:color w:val="auto"/>
                <w:sz w:val="24"/>
                <w:szCs w:val="24"/>
                <w:highlight w:val="none"/>
                <w:u w:val="none" w:color="auto"/>
                <w:lang w:val="en-US" w:eastAsia="zh-CN"/>
              </w:rPr>
              <w:t>/</w:t>
            </w:r>
          </w:p>
        </w:tc>
      </w:tr>
      <w:tr w14:paraId="4E1EA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33" w:type="dxa"/>
            <w:noWrap w:val="0"/>
            <w:vAlign w:val="center"/>
          </w:tcPr>
          <w:p w14:paraId="09BCDF9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highlight w:val="none"/>
                <w:u w:val="none" w:color="auto"/>
              </w:rPr>
            </w:pPr>
            <w:r>
              <w:rPr>
                <w:rFonts w:hint="default" w:ascii="Times New Roman" w:hAnsi="Times New Roman" w:cs="Times New Roman"/>
                <w:color w:val="auto"/>
                <w:spacing w:val="-8"/>
                <w:sz w:val="24"/>
                <w:szCs w:val="24"/>
                <w:highlight w:val="none"/>
                <w:u w:val="none" w:color="auto"/>
              </w:rPr>
              <w:t>环境风险</w:t>
            </w:r>
          </w:p>
          <w:p w14:paraId="6FA6F1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highlight w:val="none"/>
                <w:u w:val="none" w:color="auto"/>
              </w:rPr>
            </w:pPr>
            <w:r>
              <w:rPr>
                <w:rFonts w:hint="default" w:ascii="Times New Roman" w:hAnsi="Times New Roman" w:cs="Times New Roman"/>
                <w:color w:val="auto"/>
                <w:spacing w:val="-8"/>
                <w:sz w:val="24"/>
                <w:szCs w:val="24"/>
                <w:highlight w:val="none"/>
                <w:u w:val="none" w:color="auto"/>
              </w:rPr>
              <w:t>防范措施</w:t>
            </w:r>
          </w:p>
        </w:tc>
        <w:tc>
          <w:tcPr>
            <w:tcW w:w="7267" w:type="dxa"/>
            <w:gridSpan w:val="4"/>
            <w:noWrap w:val="0"/>
            <w:vAlign w:val="center"/>
          </w:tcPr>
          <w:p w14:paraId="470D57E9">
            <w:pPr>
              <w:pStyle w:val="133"/>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textAlignment w:val="auto"/>
              <w:rPr>
                <w:rFonts w:hint="eastAsia" w:ascii="Times New Roman" w:hAnsi="Times New Roman" w:cs="Times New Roman"/>
                <w:color w:val="000000"/>
                <w:sz w:val="24"/>
                <w:szCs w:val="24"/>
                <w:u w:val="none"/>
              </w:rPr>
            </w:pPr>
            <w:r>
              <w:rPr>
                <w:rFonts w:hint="eastAsia" w:ascii="Times New Roman" w:hAnsi="Times New Roman" w:cs="Times New Roman"/>
                <w:color w:val="000000"/>
                <w:sz w:val="24"/>
                <w:szCs w:val="24"/>
                <w:u w:val="none"/>
              </w:rPr>
              <w:t>（1）生产过程的防范措施：①生产厂房必须按照《建筑设计防火规范》及其它安全规范建设、生产、管理。②建立安全生产岗位责任制。③仓库、危废间、原辅料区、生产车间等均设置专人管理，设置明显的警示标志；专人负责项目的环境风险事故排查，每日定期对仓库、危废仓库等风险源进行排查，及时发现事故风险隐患，预防火灾。④建立预警机制，定期组织相关人员进行事故防范演习。</w:t>
            </w:r>
          </w:p>
          <w:p w14:paraId="72C915B4">
            <w:pPr>
              <w:pStyle w:val="133"/>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textAlignment w:val="auto"/>
              <w:rPr>
                <w:rFonts w:hint="eastAsia" w:ascii="Times New Roman" w:hAnsi="Times New Roman" w:cs="Times New Roman"/>
                <w:color w:val="000000"/>
                <w:sz w:val="24"/>
                <w:szCs w:val="24"/>
                <w:u w:val="none"/>
              </w:rPr>
            </w:pPr>
            <w:r>
              <w:rPr>
                <w:rFonts w:hint="eastAsia" w:ascii="Times New Roman" w:hAnsi="Times New Roman" w:cs="Times New Roman"/>
                <w:color w:val="000000"/>
                <w:sz w:val="24"/>
                <w:szCs w:val="24"/>
                <w:u w:val="none"/>
              </w:rPr>
              <w:t>（2）</w:t>
            </w:r>
            <w:r>
              <w:rPr>
                <w:rFonts w:hint="eastAsia" w:ascii="Times New Roman" w:hAnsi="Times New Roman" w:cs="Times New Roman"/>
                <w:color w:val="000000"/>
                <w:sz w:val="24"/>
                <w:szCs w:val="24"/>
                <w:u w:val="none"/>
                <w:lang w:val="en-US" w:eastAsia="zh-CN"/>
              </w:rPr>
              <w:t>机油</w:t>
            </w:r>
            <w:r>
              <w:rPr>
                <w:rFonts w:hint="eastAsia" w:ascii="Times New Roman" w:hAnsi="Times New Roman" w:cs="Times New Roman"/>
                <w:color w:val="000000"/>
                <w:sz w:val="24"/>
                <w:szCs w:val="24"/>
                <w:u w:val="none"/>
              </w:rPr>
              <w:t>泄漏的防范措施：①仓库地面采取防渗、防腐措施；②仓库储存范围内地面设地沟和收集槽，配置一定的吸附物质；③设置禁火标志及防静电措施等。</w:t>
            </w:r>
          </w:p>
          <w:p w14:paraId="4BBCC436">
            <w:pPr>
              <w:pStyle w:val="133"/>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textAlignment w:val="auto"/>
              <w:rPr>
                <w:rFonts w:hint="eastAsia" w:ascii="Times New Roman" w:hAnsi="Times New Roman" w:cs="Times New Roman"/>
                <w:color w:val="000000"/>
                <w:sz w:val="24"/>
                <w:szCs w:val="24"/>
                <w:u w:val="none"/>
              </w:rPr>
            </w:pPr>
            <w:r>
              <w:rPr>
                <w:rFonts w:hint="eastAsia" w:ascii="Times New Roman" w:hAnsi="Times New Roman" w:cs="Times New Roman"/>
                <w:color w:val="000000"/>
                <w:sz w:val="24"/>
                <w:szCs w:val="24"/>
                <w:u w:val="none"/>
              </w:rPr>
              <w:t>（3）火灾的防范措施：①设备的安全管理定期对设备进行安全检测。②车间应保证废气处理装置正常稳定运行，同时车间通风换气，防止火灾爆炸的危险。③危化品储存场所必须保持干燥并有相应的防火安全措施。④严禁火源进入生产厂房和仓库内。</w:t>
            </w:r>
          </w:p>
          <w:p w14:paraId="43AFC798">
            <w:pPr>
              <w:pStyle w:val="133"/>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textAlignment w:val="auto"/>
              <w:rPr>
                <w:rFonts w:hint="eastAsia" w:ascii="Times New Roman" w:hAnsi="Times New Roman" w:eastAsia="宋体" w:cs="Times New Roman"/>
                <w:color w:val="000000"/>
                <w:sz w:val="24"/>
                <w:szCs w:val="24"/>
                <w:u w:val="none"/>
              </w:rPr>
            </w:pPr>
            <w:r>
              <w:rPr>
                <w:rFonts w:hint="eastAsia" w:ascii="Times New Roman" w:hAnsi="Times New Roman" w:cs="Times New Roman"/>
                <w:color w:val="000000"/>
                <w:sz w:val="24"/>
                <w:szCs w:val="24"/>
                <w:u w:val="none"/>
              </w:rPr>
              <w:t>（4）危险废物管理与防范措施：①加强操作人员环保意识，了解危废种类、收容要求及环境危害；②建立健全危废台账制度，严格管理，责</w:t>
            </w:r>
            <w:r>
              <w:rPr>
                <w:rFonts w:hint="eastAsia" w:ascii="Times New Roman" w:hAnsi="Times New Roman" w:eastAsia="宋体" w:cs="Times New Roman"/>
                <w:color w:val="000000"/>
                <w:sz w:val="24"/>
                <w:szCs w:val="24"/>
                <w:u w:val="none"/>
              </w:rPr>
              <w:t>任到人；③各种危废上贴有标签，分类储存；专人看管负责，每日巡查。</w:t>
            </w:r>
          </w:p>
          <w:p w14:paraId="11450947">
            <w:pPr>
              <w:pStyle w:val="133"/>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color w:val="000000"/>
                <w:sz w:val="24"/>
                <w:szCs w:val="24"/>
                <w:u w:val="none"/>
                <w:lang w:eastAsia="zh-CN"/>
              </w:rPr>
              <w:t>（</w:t>
            </w:r>
            <w:r>
              <w:rPr>
                <w:rFonts w:hint="eastAsia" w:ascii="Times New Roman" w:hAnsi="Times New Roman" w:eastAsia="宋体" w:cs="Times New Roman"/>
                <w:color w:val="000000"/>
                <w:sz w:val="24"/>
                <w:szCs w:val="24"/>
                <w:u w:val="none"/>
                <w:lang w:val="en-US" w:eastAsia="zh-CN"/>
              </w:rPr>
              <w:t>5</w:t>
            </w:r>
            <w:r>
              <w:rPr>
                <w:rFonts w:hint="eastAsia" w:ascii="Times New Roman" w:hAnsi="Times New Roman" w:eastAsia="宋体" w:cs="Times New Roman"/>
                <w:color w:val="000000"/>
                <w:sz w:val="24"/>
                <w:szCs w:val="24"/>
                <w:u w:val="none"/>
                <w:lang w:eastAsia="zh-CN"/>
              </w:rPr>
              <w:t>）当出现事故造成</w:t>
            </w:r>
            <w:r>
              <w:rPr>
                <w:rFonts w:hint="eastAsia" w:cs="Times New Roman"/>
                <w:color w:val="000000"/>
                <w:sz w:val="24"/>
                <w:szCs w:val="24"/>
                <w:u w:val="none"/>
                <w:lang w:val="en-US" w:eastAsia="zh-CN"/>
              </w:rPr>
              <w:t>废气事故排放</w:t>
            </w:r>
            <w:r>
              <w:rPr>
                <w:rFonts w:hint="eastAsia" w:ascii="Times New Roman" w:hAnsi="Times New Roman" w:eastAsia="宋体" w:cs="Times New Roman"/>
                <w:color w:val="000000"/>
                <w:sz w:val="24"/>
                <w:szCs w:val="24"/>
                <w:u w:val="none"/>
                <w:lang w:eastAsia="zh-CN"/>
              </w:rPr>
              <w:t>时，应立即停产，及时查明事故性排放原因，控制污染源，解决事故问题。</w:t>
            </w:r>
          </w:p>
        </w:tc>
      </w:tr>
      <w:tr w14:paraId="6A297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33" w:type="dxa"/>
            <w:noWrap w:val="0"/>
            <w:vAlign w:val="center"/>
          </w:tcPr>
          <w:p w14:paraId="2E7240C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highlight w:val="none"/>
                <w:u w:val="none" w:color="auto"/>
              </w:rPr>
            </w:pPr>
            <w:r>
              <w:rPr>
                <w:rFonts w:hint="default" w:ascii="Times New Roman" w:hAnsi="Times New Roman" w:cs="Times New Roman"/>
                <w:color w:val="auto"/>
                <w:spacing w:val="-8"/>
                <w:sz w:val="24"/>
                <w:szCs w:val="24"/>
                <w:highlight w:val="none"/>
                <w:u w:val="none" w:color="auto"/>
              </w:rPr>
              <w:t>其他环境</w:t>
            </w:r>
          </w:p>
          <w:p w14:paraId="3C9D2E1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highlight w:val="none"/>
                <w:u w:val="none" w:color="auto"/>
              </w:rPr>
            </w:pPr>
            <w:r>
              <w:rPr>
                <w:rFonts w:hint="default" w:ascii="Times New Roman" w:hAnsi="Times New Roman" w:cs="Times New Roman"/>
                <w:color w:val="auto"/>
                <w:spacing w:val="-8"/>
                <w:sz w:val="24"/>
                <w:szCs w:val="24"/>
                <w:highlight w:val="none"/>
                <w:u w:val="none" w:color="auto"/>
              </w:rPr>
              <w:t>管理要求</w:t>
            </w:r>
          </w:p>
        </w:tc>
        <w:tc>
          <w:tcPr>
            <w:tcW w:w="7267" w:type="dxa"/>
            <w:gridSpan w:val="4"/>
            <w:noWrap w:val="0"/>
            <w:vAlign w:val="center"/>
          </w:tcPr>
          <w:p w14:paraId="00202D89">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Times New Roman" w:hAnsi="Times New Roman" w:eastAsia="宋体" w:cs="Times New Roman"/>
                <w:b/>
                <w:bCs/>
                <w:color w:val="auto"/>
                <w:kern w:val="0"/>
                <w:sz w:val="24"/>
                <w:szCs w:val="24"/>
                <w:highlight w:val="none"/>
                <w:u w:val="none" w:color="auto"/>
                <w:lang w:val="en-US" w:eastAsia="zh-CN" w:bidi="ar-SA"/>
              </w:rPr>
            </w:pPr>
            <w:r>
              <w:rPr>
                <w:rFonts w:hint="default" w:ascii="Times New Roman" w:hAnsi="Times New Roman" w:eastAsia="宋体" w:cs="Times New Roman"/>
                <w:b/>
                <w:bCs/>
                <w:color w:val="auto"/>
                <w:kern w:val="0"/>
                <w:sz w:val="24"/>
                <w:szCs w:val="24"/>
                <w:highlight w:val="none"/>
                <w:u w:val="none" w:color="auto"/>
                <w:lang w:val="en-US" w:eastAsia="zh-CN" w:bidi="ar-SA"/>
              </w:rPr>
              <w:t>1、日常管理</w:t>
            </w:r>
          </w:p>
          <w:p w14:paraId="2777DC2B">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 xml:space="preserve">①制定各环保设施操作规程，定期维修制度，使各项环保设施在生产过程中处于良好的运行状态，如环保设施出现故障，应立即停产检修，严禁非正常排放。 </w:t>
            </w:r>
          </w:p>
          <w:p w14:paraId="06CB033F">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 xml:space="preserve">②加强环境监测工作，重点是各污染源的监测，注意做好记录，不弄虚作假。 </w:t>
            </w:r>
          </w:p>
          <w:p w14:paraId="32611E23">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③建立污染事故报告制度。当污染事故发生时，必须在事故发生二十四小时内，向区环境主管部门作出事故发生的时间、地点、类型和排放污染物的数量、经济损失等情 况的初步报告，事故查清后，向区环境主管部门报告事故的原因，采取的措施，处理结果，并附有关证明。若发生污染事故，则有责任排除危害，同时对直接受到损害的单位或个人赔偿损失。</w:t>
            </w:r>
          </w:p>
          <w:p w14:paraId="7797B71D">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kern w:val="0"/>
                <w:sz w:val="24"/>
                <w:szCs w:val="24"/>
                <w:highlight w:val="none"/>
                <w:u w:val="none" w:color="auto"/>
                <w:lang w:val="en-US" w:eastAsia="zh-CN" w:bidi="ar-SA"/>
              </w:rPr>
            </w:pPr>
            <w:r>
              <w:rPr>
                <w:rFonts w:hint="default" w:ascii="Times New Roman" w:hAnsi="Times New Roman" w:eastAsia="宋体" w:cs="Times New Roman"/>
                <w:b w:val="0"/>
                <w:bCs w:val="0"/>
                <w:color w:val="auto"/>
                <w:kern w:val="0"/>
                <w:sz w:val="24"/>
                <w:szCs w:val="24"/>
                <w:highlight w:val="none"/>
                <w:u w:val="none" w:color="auto"/>
                <w:lang w:val="en-US" w:eastAsia="zh-CN" w:bidi="ar-SA"/>
              </w:rPr>
              <w:t>④企业应将监测数据和报告存档，作为编制排污许可执行报告基础材料。监测数据应长期保存，并定期接受当地环保主管部门的考核。</w:t>
            </w:r>
          </w:p>
          <w:p w14:paraId="71D730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bottom"/>
              <w:rPr>
                <w:rFonts w:hint="default" w:ascii="Times New Roman" w:hAnsi="Times New Roman" w:eastAsia="宋体" w:cs="Times New Roman"/>
                <w:b/>
                <w:bCs/>
                <w:color w:val="auto"/>
                <w:kern w:val="0"/>
                <w:sz w:val="24"/>
                <w:szCs w:val="24"/>
                <w:highlight w:val="none"/>
                <w:u w:val="none" w:color="auto"/>
                <w:lang w:val="en-US" w:eastAsia="zh-CN" w:bidi="ar-SA"/>
              </w:rPr>
            </w:pPr>
            <w:r>
              <w:rPr>
                <w:rFonts w:hint="default" w:ascii="Times New Roman" w:hAnsi="Times New Roman" w:eastAsia="宋体" w:cs="Times New Roman"/>
                <w:b/>
                <w:bCs/>
                <w:color w:val="auto"/>
                <w:kern w:val="0"/>
                <w:sz w:val="24"/>
                <w:szCs w:val="24"/>
                <w:highlight w:val="none"/>
                <w:u w:val="none" w:color="auto"/>
                <w:lang w:val="en-US" w:eastAsia="zh-CN" w:bidi="ar-SA"/>
              </w:rPr>
              <w:t>2、排污许可证申领</w:t>
            </w:r>
          </w:p>
          <w:p w14:paraId="7ED67C37">
            <w:pPr>
              <w:keepNext w:val="0"/>
              <w:keepLines w:val="0"/>
              <w:widowControl/>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i w:val="0"/>
                <w:iCs w:val="0"/>
                <w:caps w:val="0"/>
                <w:color w:val="auto"/>
                <w:spacing w:val="0"/>
                <w:sz w:val="24"/>
                <w:szCs w:val="22"/>
                <w:highlight w:val="none"/>
                <w:u w:val="none"/>
                <w:shd w:val="clear" w:color="auto" w:fill="FFFFFF"/>
                <w:lang w:val="en-US" w:eastAsia="zh-CN"/>
              </w:rPr>
            </w:pPr>
            <w:r>
              <w:rPr>
                <w:rFonts w:hint="eastAsia" w:ascii="Times New Roman" w:hAnsi="Times New Roman" w:eastAsia="宋体" w:cs="Times New Roman"/>
                <w:i w:val="0"/>
                <w:iCs w:val="0"/>
                <w:caps w:val="0"/>
                <w:color w:val="auto"/>
                <w:spacing w:val="0"/>
                <w:sz w:val="24"/>
                <w:szCs w:val="22"/>
                <w:highlight w:val="none"/>
                <w:u w:val="none"/>
                <w:shd w:val="clear" w:color="auto" w:fill="FFFFFF"/>
                <w:lang w:val="en-US" w:eastAsia="zh-CN"/>
              </w:rPr>
              <w:t xml:space="preserve">本项目建成后，需按照国家《排污许可管理办法》的规定，申请并取得排污许可证。 </w:t>
            </w:r>
          </w:p>
          <w:p w14:paraId="73CE4D79">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kern w:val="0"/>
                <w:sz w:val="24"/>
                <w:szCs w:val="24"/>
                <w:highlight w:val="none"/>
                <w:u w:val="none" w:color="auto"/>
                <w:lang w:val="en-US" w:eastAsia="zh-CN" w:bidi="ar-SA"/>
              </w:rPr>
            </w:pPr>
            <w:r>
              <w:rPr>
                <w:rFonts w:hint="eastAsia" w:ascii="Times New Roman" w:hAnsi="Times New Roman" w:eastAsia="宋体" w:cs="Times New Roman"/>
                <w:i w:val="0"/>
                <w:iCs w:val="0"/>
                <w:caps w:val="0"/>
                <w:color w:val="auto"/>
                <w:spacing w:val="0"/>
                <w:sz w:val="24"/>
                <w:szCs w:val="22"/>
                <w:highlight w:val="none"/>
                <w:u w:val="none"/>
                <w:shd w:val="clear" w:color="auto" w:fill="FFFFFF"/>
                <w:lang w:val="en-US" w:eastAsia="zh-CN"/>
              </w:rPr>
              <w:t>本次评价要求建设单位依法办理排污许可手续，并按照排污许可相关规定排放污染物，落实规定的环境管理要求，按照自行监测技术指南，编制自行监测方案，并纳入排污许可中。在日常经营管理中，建设单位应严格落实自行监测方案内容并实施自行监测，做好台账记录，接受环境主管部门的检查</w:t>
            </w:r>
            <w:r>
              <w:rPr>
                <w:rFonts w:hint="default" w:ascii="Times New Roman" w:hAnsi="Times New Roman" w:eastAsia="宋体" w:cs="Times New Roman"/>
                <w:color w:val="auto"/>
                <w:kern w:val="0"/>
                <w:sz w:val="24"/>
                <w:szCs w:val="24"/>
                <w:highlight w:val="none"/>
                <w:u w:val="none" w:color="auto"/>
                <w:lang w:val="zh-CN" w:eastAsia="zh-CN" w:bidi="ar-SA"/>
              </w:rPr>
              <w:t>。</w:t>
            </w:r>
          </w:p>
          <w:p w14:paraId="44754B7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bottom"/>
              <w:rPr>
                <w:rFonts w:hint="default" w:ascii="Times New Roman" w:hAnsi="Times New Roman" w:eastAsia="宋体" w:cs="Times New Roman"/>
                <w:b/>
                <w:bCs/>
                <w:color w:val="auto"/>
                <w:kern w:val="0"/>
                <w:sz w:val="24"/>
                <w:szCs w:val="24"/>
                <w:highlight w:val="none"/>
                <w:u w:val="none" w:color="auto"/>
                <w:lang w:val="en-US" w:eastAsia="zh-CN" w:bidi="ar-SA"/>
              </w:rPr>
            </w:pPr>
            <w:r>
              <w:rPr>
                <w:rFonts w:hint="default" w:ascii="Times New Roman" w:hAnsi="Times New Roman" w:eastAsia="宋体" w:cs="Times New Roman"/>
                <w:b/>
                <w:bCs/>
                <w:color w:val="auto"/>
                <w:kern w:val="0"/>
                <w:sz w:val="24"/>
                <w:szCs w:val="24"/>
                <w:highlight w:val="none"/>
                <w:u w:val="none" w:color="auto"/>
                <w:lang w:val="en-US" w:eastAsia="zh-CN" w:bidi="ar-SA"/>
              </w:rPr>
              <w:t>3、竣工环境保护验收</w:t>
            </w:r>
          </w:p>
          <w:p w14:paraId="5AB94A16">
            <w:pPr>
              <w:pStyle w:val="1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cs="Times New Roman"/>
                <w:lang w:val="en-US" w:eastAsia="zh-CN"/>
              </w:rPr>
            </w:pPr>
            <w:r>
              <w:rPr>
                <w:rFonts w:hint="default" w:ascii="Times New Roman" w:hAnsi="Times New Roman" w:eastAsia="宋体" w:cs="Times New Roman"/>
                <w:color w:val="auto"/>
                <w:kern w:val="0"/>
                <w:sz w:val="24"/>
                <w:szCs w:val="24"/>
                <w:highlight w:val="none"/>
                <w:u w:val="none" w:color="auto"/>
                <w:lang w:val="en-US" w:eastAsia="zh-CN" w:bidi="ar-SA"/>
              </w:rPr>
              <w:t>建设单位是建设项目竣工环境保护验收的责任主体，应当按照《建设项目竣工环境保护验收暂行办法》的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建设项目配套建设的环境保护设施经验收合格后，其主体工程方可投入生产或者使用；未经验收或者验收不合格的，不得投入生产或者使用。</w:t>
            </w:r>
          </w:p>
        </w:tc>
      </w:tr>
    </w:tbl>
    <w:p w14:paraId="73BC959B">
      <w:pPr>
        <w:pStyle w:val="4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sz w:val="21"/>
          <w:szCs w:val="16"/>
          <w:highlight w:val="none"/>
        </w:rPr>
        <w:br w:type="page"/>
      </w:r>
      <w:bookmarkStart w:id="8" w:name="_Toc25015"/>
      <w:r>
        <w:rPr>
          <w:rFonts w:hint="default" w:ascii="Times New Roman" w:hAnsi="Times New Roman" w:eastAsia="黑体" w:cs="Times New Roman"/>
          <w:snapToGrid w:val="0"/>
          <w:color w:val="auto"/>
          <w:sz w:val="30"/>
          <w:szCs w:val="30"/>
          <w:highlight w:val="none"/>
        </w:rPr>
        <w:t>六、结论</w:t>
      </w:r>
      <w:bookmarkEnd w:id="8"/>
    </w:p>
    <w:tbl>
      <w:tblPr>
        <w:tblStyle w:val="4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7304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4F5C98ED">
            <w:pPr>
              <w:keepNext w:val="0"/>
              <w:keepLines w:val="0"/>
              <w:suppressLineNumbers w:val="0"/>
              <w:spacing w:before="120" w:beforeLines="50" w:beforeAutospacing="0" w:after="0" w:afterAutospacing="0" w:line="360" w:lineRule="auto"/>
              <w:ind w:left="0" w:right="0" w:firstLine="480" w:firstLineChars="200"/>
              <w:jc w:val="both"/>
              <w:rPr>
                <w:rFonts w:hint="default" w:ascii="Times New Roman" w:hAnsi="Times New Roman" w:cs="Times New Roman"/>
                <w:color w:val="auto"/>
                <w:highlight w:val="none"/>
              </w:rPr>
            </w:pPr>
            <w:r>
              <w:rPr>
                <w:rFonts w:hint="eastAsia" w:ascii="Times New Roman" w:hAnsi="Times New Roman" w:cs="Times New Roman"/>
                <w:bCs/>
                <w:color w:val="auto"/>
                <w:sz w:val="24"/>
                <w:lang w:val="en-US" w:eastAsia="zh-CN"/>
              </w:rPr>
              <w:t>本</w:t>
            </w:r>
            <w:r>
              <w:rPr>
                <w:rFonts w:hint="eastAsia" w:ascii="Times New Roman" w:hAnsi="Times New Roman" w:cs="Times New Roman"/>
                <w:color w:val="auto"/>
                <w:sz w:val="24"/>
                <w:lang w:val="en-US" w:eastAsia="zh-CN"/>
              </w:rPr>
              <w:t>项目</w:t>
            </w:r>
            <w:r>
              <w:rPr>
                <w:rFonts w:hint="default" w:ascii="Times New Roman" w:hAnsi="Times New Roman" w:cs="Times New Roman"/>
                <w:b w:val="0"/>
                <w:bCs/>
                <w:color w:val="auto"/>
                <w:sz w:val="24"/>
              </w:rPr>
              <w:t>的建设符合国家及地方产业政策等相关要求；项目排放的各类污染物均可以做到稳定达标排放，对周边环境影响较小，不会造成区域环境功能的改变；项目环境风险可控。从环保角度分析，建设单位在认真落实本报告提出的各项污染防治措施、风险防范措施以及加强环境管理的基础上，项目的建设是可行的。</w:t>
            </w:r>
          </w:p>
        </w:tc>
      </w:tr>
    </w:tbl>
    <w:p w14:paraId="69CE726C">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A2A4614">
      <w:pPr>
        <w:pStyle w:val="41"/>
        <w:keepNext w:val="0"/>
        <w:keepLines w:val="0"/>
        <w:pageBreakBefore w:val="0"/>
        <w:widowControl/>
        <w:kinsoku/>
        <w:wordWrap/>
        <w:overflowPunct/>
        <w:topLinePunct w:val="0"/>
        <w:autoSpaceDE/>
        <w:autoSpaceDN/>
        <w:bidi w:val="0"/>
        <w:adjustRightInd w:val="0"/>
        <w:snapToGrid/>
        <w:spacing w:before="0" w:beforeAutospacing="0" w:after="0" w:afterAutospacing="0"/>
        <w:textAlignment w:val="auto"/>
        <w:outlineLvl w:val="9"/>
        <w:rPr>
          <w:rFonts w:hint="default" w:ascii="Times New Roman" w:hAnsi="Times New Roman" w:eastAsia="黑体" w:cs="Times New Roman"/>
          <w:snapToGrid w:val="0"/>
          <w:color w:val="auto"/>
          <w:sz w:val="28"/>
          <w:szCs w:val="28"/>
          <w:highlight w:val="none"/>
        </w:rPr>
      </w:pPr>
      <w:r>
        <w:rPr>
          <w:rFonts w:hint="default" w:ascii="Times New Roman" w:hAnsi="Times New Roman" w:eastAsia="黑体" w:cs="Times New Roman"/>
          <w:snapToGrid w:val="0"/>
          <w:color w:val="auto"/>
          <w:sz w:val="28"/>
          <w:szCs w:val="28"/>
          <w:highlight w:val="none"/>
        </w:rPr>
        <w:t>附表</w:t>
      </w:r>
    </w:p>
    <w:p w14:paraId="6D313117">
      <w:pPr>
        <w:pStyle w:val="41"/>
        <w:keepNext w:val="0"/>
        <w:keepLines w:val="0"/>
        <w:pageBreakBefore w:val="0"/>
        <w:widowControl/>
        <w:kinsoku/>
        <w:wordWrap/>
        <w:overflowPunct/>
        <w:topLinePunct w:val="0"/>
        <w:autoSpaceDE/>
        <w:autoSpaceDN/>
        <w:bidi w:val="0"/>
        <w:adjustRightInd w:val="0"/>
        <w:snapToGrid/>
        <w:spacing w:before="0" w:beforeAutospacing="0" w:after="0" w:afterAutospacing="0"/>
        <w:jc w:val="center"/>
        <w:textAlignment w:val="auto"/>
        <w:rPr>
          <w:rFonts w:hint="default" w:ascii="Times New Roman" w:hAnsi="Times New Roman" w:eastAsia="方正小标宋_GBK" w:cs="Times New Roman"/>
          <w:snapToGrid w:val="0"/>
          <w:color w:val="auto"/>
          <w:sz w:val="21"/>
          <w:szCs w:val="21"/>
          <w:highlight w:val="none"/>
          <w:lang w:val="en-US" w:eastAsia="zh-CN"/>
        </w:rPr>
      </w:pPr>
      <w:r>
        <w:rPr>
          <w:rFonts w:hint="default" w:ascii="Times New Roman" w:hAnsi="Times New Roman" w:eastAsia="方正小标宋_GBK" w:cs="Times New Roman"/>
          <w:snapToGrid w:val="0"/>
          <w:color w:val="auto"/>
          <w:sz w:val="28"/>
          <w:szCs w:val="28"/>
          <w:highlight w:val="none"/>
        </w:rPr>
        <w:t>建设项目污染物排放量汇总表</w:t>
      </w:r>
      <w:r>
        <w:rPr>
          <w:rFonts w:hint="default" w:ascii="Times New Roman" w:hAnsi="Times New Roman" w:eastAsia="方正小标宋_GBK" w:cs="Times New Roman"/>
          <w:snapToGrid w:val="0"/>
          <w:color w:val="auto"/>
          <w:sz w:val="28"/>
          <w:szCs w:val="28"/>
          <w:highlight w:val="none"/>
          <w:lang w:val="en-US" w:eastAsia="zh-CN"/>
        </w:rPr>
        <w:t xml:space="preserve">      单位：t/a</w:t>
      </w:r>
    </w:p>
    <w:tbl>
      <w:tblPr>
        <w:tblStyle w:val="4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2153"/>
        <w:gridCol w:w="1630"/>
        <w:gridCol w:w="1382"/>
        <w:gridCol w:w="1619"/>
        <w:gridCol w:w="1602"/>
        <w:gridCol w:w="1667"/>
        <w:gridCol w:w="1774"/>
        <w:gridCol w:w="1122"/>
      </w:tblGrid>
      <w:tr w14:paraId="68A35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tcBorders>
              <w:tl2br w:val="single" w:color="auto" w:sz="4" w:space="0"/>
            </w:tcBorders>
            <w:noWrap w:val="0"/>
            <w:tcMar>
              <w:left w:w="28" w:type="dxa"/>
              <w:right w:w="28" w:type="dxa"/>
            </w:tcMar>
            <w:vAlign w:val="center"/>
          </w:tcPr>
          <w:p w14:paraId="3719F063">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right"/>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项目</w:t>
            </w:r>
          </w:p>
          <w:p w14:paraId="3282AAA0">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left"/>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分类</w:t>
            </w:r>
          </w:p>
        </w:tc>
        <w:tc>
          <w:tcPr>
            <w:tcW w:w="2153" w:type="dxa"/>
            <w:noWrap w:val="0"/>
            <w:tcMar>
              <w:left w:w="28" w:type="dxa"/>
              <w:right w:w="28" w:type="dxa"/>
            </w:tcMar>
            <w:vAlign w:val="center"/>
          </w:tcPr>
          <w:p w14:paraId="33FF104C">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污染物名称</w:t>
            </w:r>
          </w:p>
        </w:tc>
        <w:tc>
          <w:tcPr>
            <w:tcW w:w="1630" w:type="dxa"/>
            <w:noWrap w:val="0"/>
            <w:tcMar>
              <w:left w:w="28" w:type="dxa"/>
              <w:right w:w="28" w:type="dxa"/>
            </w:tcMar>
            <w:vAlign w:val="center"/>
          </w:tcPr>
          <w:p w14:paraId="51CA404C">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现有工程</w:t>
            </w:r>
          </w:p>
          <w:p w14:paraId="32383BB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排放量（固体废物产生量）</w:t>
            </w:r>
            <w:r>
              <w:rPr>
                <w:rFonts w:hint="default" w:ascii="Times New Roman" w:hAnsi="Times New Roman" w:eastAsia="宋体" w:cs="Times New Roman"/>
                <w:b/>
                <w:bCs/>
                <w:snapToGrid w:val="0"/>
                <w:color w:val="auto"/>
                <w:spacing w:val="-6"/>
                <w:kern w:val="21"/>
                <w:sz w:val="21"/>
                <w:szCs w:val="21"/>
                <w:highlight w:val="none"/>
              </w:rPr>
              <w:fldChar w:fldCharType="begin"/>
            </w:r>
            <w:r>
              <w:rPr>
                <w:rFonts w:hint="default" w:ascii="Times New Roman" w:hAnsi="Times New Roman" w:eastAsia="宋体" w:cs="Times New Roman"/>
                <w:b/>
                <w:bCs/>
                <w:snapToGrid w:val="0"/>
                <w:color w:val="auto"/>
                <w:spacing w:val="-6"/>
                <w:kern w:val="21"/>
                <w:sz w:val="21"/>
                <w:szCs w:val="21"/>
                <w:highlight w:val="none"/>
              </w:rPr>
              <w:instrText xml:space="preserve"> = 1 \* GB3 \* MERGEFORMAT </w:instrText>
            </w:r>
            <w:r>
              <w:rPr>
                <w:rFonts w:hint="default" w:ascii="Times New Roman" w:hAnsi="Times New Roman" w:eastAsia="宋体" w:cs="Times New Roman"/>
                <w:b/>
                <w:bCs/>
                <w:snapToGrid w:val="0"/>
                <w:color w:val="auto"/>
                <w:spacing w:val="-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①</w:t>
            </w:r>
            <w:r>
              <w:rPr>
                <w:rFonts w:hint="default" w:ascii="Times New Roman" w:hAnsi="Times New Roman" w:eastAsia="宋体" w:cs="Times New Roman"/>
                <w:b/>
                <w:bCs/>
                <w:snapToGrid w:val="0"/>
                <w:color w:val="auto"/>
                <w:spacing w:val="-6"/>
                <w:kern w:val="21"/>
                <w:sz w:val="21"/>
                <w:szCs w:val="21"/>
                <w:highlight w:val="none"/>
              </w:rPr>
              <w:fldChar w:fldCharType="end"/>
            </w:r>
          </w:p>
        </w:tc>
        <w:tc>
          <w:tcPr>
            <w:tcW w:w="1382" w:type="dxa"/>
            <w:noWrap w:val="0"/>
            <w:tcMar>
              <w:left w:w="28" w:type="dxa"/>
              <w:right w:w="28" w:type="dxa"/>
            </w:tcMar>
            <w:vAlign w:val="center"/>
          </w:tcPr>
          <w:p w14:paraId="2C62918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现有工程</w:t>
            </w:r>
          </w:p>
          <w:p w14:paraId="17ADF254">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许可排放量</w:t>
            </w:r>
            <w:r>
              <w:rPr>
                <w:rFonts w:hint="default" w:ascii="Times New Roman" w:hAnsi="Times New Roman" w:eastAsia="宋体" w:cs="Times New Roman"/>
                <w:b/>
                <w:bCs/>
                <w:snapToGrid w:val="0"/>
                <w:color w:val="auto"/>
                <w:spacing w:val="-6"/>
                <w:kern w:val="21"/>
                <w:sz w:val="21"/>
                <w:szCs w:val="21"/>
                <w:highlight w:val="none"/>
              </w:rPr>
              <w:fldChar w:fldCharType="begin"/>
            </w:r>
            <w:r>
              <w:rPr>
                <w:rFonts w:hint="default" w:ascii="Times New Roman" w:hAnsi="Times New Roman" w:eastAsia="宋体" w:cs="Times New Roman"/>
                <w:b/>
                <w:bCs/>
                <w:snapToGrid w:val="0"/>
                <w:color w:val="auto"/>
                <w:spacing w:val="-6"/>
                <w:kern w:val="21"/>
                <w:sz w:val="21"/>
                <w:szCs w:val="21"/>
                <w:highlight w:val="none"/>
              </w:rPr>
              <w:instrText xml:space="preserve"> = 2 \* GB3 \* MERGEFORMAT </w:instrText>
            </w:r>
            <w:r>
              <w:rPr>
                <w:rFonts w:hint="default" w:ascii="Times New Roman" w:hAnsi="Times New Roman" w:eastAsia="宋体" w:cs="Times New Roman"/>
                <w:b/>
                <w:bCs/>
                <w:snapToGrid w:val="0"/>
                <w:color w:val="auto"/>
                <w:spacing w:val="-6"/>
                <w:kern w:val="21"/>
                <w:sz w:val="21"/>
                <w:szCs w:val="21"/>
                <w:highlight w:val="none"/>
              </w:rPr>
              <w:fldChar w:fldCharType="separate"/>
            </w:r>
            <w:r>
              <w:rPr>
                <w:rFonts w:hint="default" w:ascii="Times New Roman" w:hAnsi="Times New Roman" w:eastAsia="宋体" w:cs="Times New Roman"/>
                <w:b/>
                <w:bCs/>
                <w:snapToGrid w:val="0"/>
                <w:color w:val="auto"/>
                <w:spacing w:val="-6"/>
                <w:kern w:val="21"/>
                <w:sz w:val="21"/>
                <w:szCs w:val="21"/>
                <w:highlight w:val="none"/>
              </w:rPr>
              <w:t>②</w:t>
            </w:r>
            <w:r>
              <w:rPr>
                <w:rFonts w:hint="default" w:ascii="Times New Roman" w:hAnsi="Times New Roman" w:eastAsia="宋体" w:cs="Times New Roman"/>
                <w:b/>
                <w:bCs/>
                <w:snapToGrid w:val="0"/>
                <w:color w:val="auto"/>
                <w:spacing w:val="-6"/>
                <w:kern w:val="21"/>
                <w:sz w:val="21"/>
                <w:szCs w:val="21"/>
                <w:highlight w:val="none"/>
              </w:rPr>
              <w:fldChar w:fldCharType="end"/>
            </w:r>
          </w:p>
        </w:tc>
        <w:tc>
          <w:tcPr>
            <w:tcW w:w="1619" w:type="dxa"/>
            <w:noWrap w:val="0"/>
            <w:tcMar>
              <w:left w:w="28" w:type="dxa"/>
              <w:right w:w="28" w:type="dxa"/>
            </w:tcMar>
            <w:vAlign w:val="center"/>
          </w:tcPr>
          <w:p w14:paraId="69CD6F1B">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在建工程</w:t>
            </w:r>
          </w:p>
          <w:p w14:paraId="5A88F2A6">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排放量（固体废物产生量）</w:t>
            </w:r>
            <w:r>
              <w:rPr>
                <w:rFonts w:hint="default" w:ascii="Times New Roman" w:hAnsi="Times New Roman" w:eastAsia="宋体" w:cs="Times New Roman"/>
                <w:b/>
                <w:bCs/>
                <w:snapToGrid w:val="0"/>
                <w:color w:val="auto"/>
                <w:spacing w:val="-6"/>
                <w:kern w:val="21"/>
                <w:sz w:val="21"/>
                <w:szCs w:val="21"/>
                <w:highlight w:val="none"/>
              </w:rPr>
              <w:fldChar w:fldCharType="begin"/>
            </w:r>
            <w:r>
              <w:rPr>
                <w:rFonts w:hint="default" w:ascii="Times New Roman" w:hAnsi="Times New Roman" w:eastAsia="宋体" w:cs="Times New Roman"/>
                <w:b/>
                <w:bCs/>
                <w:snapToGrid w:val="0"/>
                <w:color w:val="auto"/>
                <w:spacing w:val="-6"/>
                <w:kern w:val="21"/>
                <w:sz w:val="21"/>
                <w:szCs w:val="21"/>
                <w:highlight w:val="none"/>
              </w:rPr>
              <w:instrText xml:space="preserve"> = 3 \* GB3 \* MERGEFORMAT </w:instrText>
            </w:r>
            <w:r>
              <w:rPr>
                <w:rFonts w:hint="default" w:ascii="Times New Roman" w:hAnsi="Times New Roman" w:eastAsia="宋体" w:cs="Times New Roman"/>
                <w:b/>
                <w:bCs/>
                <w:snapToGrid w:val="0"/>
                <w:color w:val="auto"/>
                <w:spacing w:val="-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③</w:t>
            </w:r>
            <w:r>
              <w:rPr>
                <w:rFonts w:hint="default" w:ascii="Times New Roman" w:hAnsi="Times New Roman" w:eastAsia="宋体" w:cs="Times New Roman"/>
                <w:b/>
                <w:bCs/>
                <w:snapToGrid w:val="0"/>
                <w:color w:val="auto"/>
                <w:spacing w:val="-6"/>
                <w:kern w:val="21"/>
                <w:sz w:val="21"/>
                <w:szCs w:val="21"/>
                <w:highlight w:val="none"/>
              </w:rPr>
              <w:fldChar w:fldCharType="end"/>
            </w:r>
          </w:p>
        </w:tc>
        <w:tc>
          <w:tcPr>
            <w:tcW w:w="1602" w:type="dxa"/>
            <w:noWrap w:val="0"/>
            <w:tcMar>
              <w:left w:w="28" w:type="dxa"/>
              <w:right w:w="28" w:type="dxa"/>
            </w:tcMar>
            <w:vAlign w:val="center"/>
          </w:tcPr>
          <w:p w14:paraId="102A8410">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本项目</w:t>
            </w:r>
          </w:p>
          <w:p w14:paraId="44E52957">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排放量（固体废物产生量）</w:t>
            </w:r>
            <w:r>
              <w:rPr>
                <w:rFonts w:hint="default" w:ascii="Times New Roman" w:hAnsi="Times New Roman" w:eastAsia="宋体" w:cs="Times New Roman"/>
                <w:b/>
                <w:bCs/>
                <w:snapToGrid w:val="0"/>
                <w:color w:val="auto"/>
                <w:spacing w:val="-6"/>
                <w:kern w:val="21"/>
                <w:sz w:val="21"/>
                <w:szCs w:val="21"/>
                <w:highlight w:val="none"/>
              </w:rPr>
              <w:fldChar w:fldCharType="begin"/>
            </w:r>
            <w:r>
              <w:rPr>
                <w:rFonts w:hint="default" w:ascii="Times New Roman" w:hAnsi="Times New Roman" w:eastAsia="宋体" w:cs="Times New Roman"/>
                <w:b/>
                <w:bCs/>
                <w:snapToGrid w:val="0"/>
                <w:color w:val="auto"/>
                <w:spacing w:val="-6"/>
                <w:kern w:val="21"/>
                <w:sz w:val="21"/>
                <w:szCs w:val="21"/>
                <w:highlight w:val="none"/>
              </w:rPr>
              <w:instrText xml:space="preserve"> = 4 \* GB3 \* MERGEFORMAT </w:instrText>
            </w:r>
            <w:r>
              <w:rPr>
                <w:rFonts w:hint="default" w:ascii="Times New Roman" w:hAnsi="Times New Roman" w:eastAsia="宋体" w:cs="Times New Roman"/>
                <w:b/>
                <w:bCs/>
                <w:snapToGrid w:val="0"/>
                <w:color w:val="auto"/>
                <w:spacing w:val="-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④</w:t>
            </w:r>
            <w:r>
              <w:rPr>
                <w:rFonts w:hint="default" w:ascii="Times New Roman" w:hAnsi="Times New Roman" w:eastAsia="宋体" w:cs="Times New Roman"/>
                <w:b/>
                <w:bCs/>
                <w:snapToGrid w:val="0"/>
                <w:color w:val="auto"/>
                <w:spacing w:val="-6"/>
                <w:kern w:val="21"/>
                <w:sz w:val="21"/>
                <w:szCs w:val="21"/>
                <w:highlight w:val="none"/>
              </w:rPr>
              <w:fldChar w:fldCharType="end"/>
            </w:r>
          </w:p>
        </w:tc>
        <w:tc>
          <w:tcPr>
            <w:tcW w:w="1667" w:type="dxa"/>
            <w:noWrap w:val="0"/>
            <w:tcMar>
              <w:left w:w="28" w:type="dxa"/>
              <w:right w:w="28" w:type="dxa"/>
            </w:tcMar>
            <w:vAlign w:val="center"/>
          </w:tcPr>
          <w:p w14:paraId="2FE2DB67">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16"/>
                <w:kern w:val="21"/>
                <w:sz w:val="21"/>
                <w:szCs w:val="21"/>
                <w:highlight w:val="none"/>
              </w:rPr>
              <w:t>以新带老削减量</w:t>
            </w:r>
          </w:p>
          <w:p w14:paraId="44148B1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16"/>
                <w:kern w:val="21"/>
                <w:sz w:val="21"/>
                <w:szCs w:val="21"/>
                <w:highlight w:val="none"/>
              </w:rPr>
              <w:t>（新建项目不填）</w:t>
            </w:r>
            <w:r>
              <w:rPr>
                <w:rFonts w:hint="default" w:ascii="Times New Roman" w:hAnsi="Times New Roman" w:eastAsia="宋体" w:cs="Times New Roman"/>
                <w:b/>
                <w:bCs/>
                <w:snapToGrid w:val="0"/>
                <w:color w:val="auto"/>
                <w:spacing w:val="-16"/>
                <w:kern w:val="21"/>
                <w:sz w:val="21"/>
                <w:szCs w:val="21"/>
                <w:highlight w:val="none"/>
              </w:rPr>
              <w:fldChar w:fldCharType="begin"/>
            </w:r>
            <w:r>
              <w:rPr>
                <w:rFonts w:hint="default" w:ascii="Times New Roman" w:hAnsi="Times New Roman" w:eastAsia="宋体" w:cs="Times New Roman"/>
                <w:b/>
                <w:bCs/>
                <w:snapToGrid w:val="0"/>
                <w:color w:val="auto"/>
                <w:spacing w:val="-16"/>
                <w:kern w:val="21"/>
                <w:sz w:val="21"/>
                <w:szCs w:val="21"/>
                <w:highlight w:val="none"/>
              </w:rPr>
              <w:instrText xml:space="preserve"> = 5 \* GB3 \* MERGEFORMAT </w:instrText>
            </w:r>
            <w:r>
              <w:rPr>
                <w:rFonts w:hint="default" w:ascii="Times New Roman" w:hAnsi="Times New Roman" w:eastAsia="宋体" w:cs="Times New Roman"/>
                <w:b/>
                <w:bCs/>
                <w:snapToGrid w:val="0"/>
                <w:color w:val="auto"/>
                <w:spacing w:val="-1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⑤</w:t>
            </w:r>
            <w:r>
              <w:rPr>
                <w:rFonts w:hint="default" w:ascii="Times New Roman" w:hAnsi="Times New Roman" w:eastAsia="宋体" w:cs="Times New Roman"/>
                <w:b/>
                <w:bCs/>
                <w:snapToGrid w:val="0"/>
                <w:color w:val="auto"/>
                <w:spacing w:val="-16"/>
                <w:kern w:val="21"/>
                <w:sz w:val="21"/>
                <w:szCs w:val="21"/>
                <w:highlight w:val="none"/>
              </w:rPr>
              <w:fldChar w:fldCharType="end"/>
            </w:r>
          </w:p>
        </w:tc>
        <w:tc>
          <w:tcPr>
            <w:tcW w:w="1774" w:type="dxa"/>
            <w:noWrap w:val="0"/>
            <w:tcMar>
              <w:left w:w="28" w:type="dxa"/>
              <w:right w:w="28" w:type="dxa"/>
            </w:tcMar>
            <w:vAlign w:val="center"/>
          </w:tcPr>
          <w:p w14:paraId="3F2F0051">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16"/>
                <w:kern w:val="21"/>
                <w:sz w:val="21"/>
                <w:szCs w:val="21"/>
                <w:highlight w:val="none"/>
              </w:rPr>
              <w:t>本项目建成后</w:t>
            </w:r>
          </w:p>
          <w:p w14:paraId="34D59667">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16"/>
                <w:kern w:val="21"/>
                <w:sz w:val="21"/>
                <w:szCs w:val="21"/>
                <w:highlight w:val="none"/>
              </w:rPr>
              <w:t>全厂排放量（固体废物产生量）</w:t>
            </w:r>
            <w:r>
              <w:rPr>
                <w:rFonts w:hint="default" w:ascii="Times New Roman" w:hAnsi="Times New Roman" w:eastAsia="宋体" w:cs="Times New Roman"/>
                <w:b/>
                <w:bCs/>
                <w:snapToGrid w:val="0"/>
                <w:color w:val="auto"/>
                <w:spacing w:val="-16"/>
                <w:kern w:val="21"/>
                <w:sz w:val="21"/>
                <w:szCs w:val="21"/>
                <w:highlight w:val="none"/>
              </w:rPr>
              <w:fldChar w:fldCharType="begin"/>
            </w:r>
            <w:r>
              <w:rPr>
                <w:rFonts w:hint="default" w:ascii="Times New Roman" w:hAnsi="Times New Roman" w:eastAsia="宋体" w:cs="Times New Roman"/>
                <w:b/>
                <w:bCs/>
                <w:snapToGrid w:val="0"/>
                <w:color w:val="auto"/>
                <w:spacing w:val="-16"/>
                <w:kern w:val="21"/>
                <w:sz w:val="21"/>
                <w:szCs w:val="21"/>
                <w:highlight w:val="none"/>
              </w:rPr>
              <w:instrText xml:space="preserve"> = 6 \* GB3 \* MERGEFORMAT </w:instrText>
            </w:r>
            <w:r>
              <w:rPr>
                <w:rFonts w:hint="default" w:ascii="Times New Roman" w:hAnsi="Times New Roman" w:eastAsia="宋体" w:cs="Times New Roman"/>
                <w:b/>
                <w:bCs/>
                <w:snapToGrid w:val="0"/>
                <w:color w:val="auto"/>
                <w:spacing w:val="-1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⑥</w:t>
            </w:r>
            <w:r>
              <w:rPr>
                <w:rFonts w:hint="default" w:ascii="Times New Roman" w:hAnsi="Times New Roman" w:eastAsia="宋体" w:cs="Times New Roman"/>
                <w:b/>
                <w:bCs/>
                <w:snapToGrid w:val="0"/>
                <w:color w:val="auto"/>
                <w:spacing w:val="-16"/>
                <w:kern w:val="21"/>
                <w:sz w:val="21"/>
                <w:szCs w:val="21"/>
                <w:highlight w:val="none"/>
              </w:rPr>
              <w:fldChar w:fldCharType="end"/>
            </w:r>
          </w:p>
        </w:tc>
        <w:tc>
          <w:tcPr>
            <w:tcW w:w="1122" w:type="dxa"/>
            <w:noWrap w:val="0"/>
            <w:tcMar>
              <w:left w:w="28" w:type="dxa"/>
              <w:right w:w="28" w:type="dxa"/>
            </w:tcMar>
            <w:vAlign w:val="center"/>
          </w:tcPr>
          <w:p w14:paraId="6336C656">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变化量</w:t>
            </w:r>
          </w:p>
          <w:p w14:paraId="748BF677">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fldChar w:fldCharType="begin"/>
            </w:r>
            <w:r>
              <w:rPr>
                <w:rFonts w:hint="default" w:ascii="Times New Roman" w:hAnsi="Times New Roman" w:eastAsia="宋体" w:cs="Times New Roman"/>
                <w:b/>
                <w:bCs/>
                <w:snapToGrid w:val="0"/>
                <w:color w:val="auto"/>
                <w:spacing w:val="-6"/>
                <w:kern w:val="21"/>
                <w:sz w:val="21"/>
                <w:szCs w:val="21"/>
                <w:highlight w:val="none"/>
              </w:rPr>
              <w:instrText xml:space="preserve"> = 7 \* GB3 \* MERGEFORMAT </w:instrText>
            </w:r>
            <w:r>
              <w:rPr>
                <w:rFonts w:hint="default" w:ascii="Times New Roman" w:hAnsi="Times New Roman" w:eastAsia="宋体" w:cs="Times New Roman"/>
                <w:b/>
                <w:bCs/>
                <w:snapToGrid w:val="0"/>
                <w:color w:val="auto"/>
                <w:spacing w:val="-6"/>
                <w:kern w:val="21"/>
                <w:sz w:val="21"/>
                <w:szCs w:val="21"/>
                <w:highlight w:val="none"/>
              </w:rPr>
              <w:fldChar w:fldCharType="separate"/>
            </w:r>
            <w:r>
              <w:rPr>
                <w:rFonts w:hint="default" w:ascii="Times New Roman" w:hAnsi="Times New Roman" w:eastAsia="宋体" w:cs="Times New Roman"/>
                <w:b/>
                <w:bCs/>
                <w:color w:val="auto"/>
                <w:kern w:val="2"/>
                <w:sz w:val="21"/>
                <w:szCs w:val="21"/>
                <w:highlight w:val="none"/>
              </w:rPr>
              <w:t>⑦</w:t>
            </w:r>
            <w:r>
              <w:rPr>
                <w:rFonts w:hint="default" w:ascii="Times New Roman" w:hAnsi="Times New Roman" w:eastAsia="宋体" w:cs="Times New Roman"/>
                <w:b/>
                <w:bCs/>
                <w:snapToGrid w:val="0"/>
                <w:color w:val="auto"/>
                <w:spacing w:val="-6"/>
                <w:kern w:val="21"/>
                <w:sz w:val="21"/>
                <w:szCs w:val="21"/>
                <w:highlight w:val="none"/>
              </w:rPr>
              <w:fldChar w:fldCharType="end"/>
            </w:r>
          </w:p>
        </w:tc>
      </w:tr>
      <w:tr w14:paraId="6E885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restart"/>
            <w:noWrap w:val="0"/>
            <w:vAlign w:val="center"/>
          </w:tcPr>
          <w:p w14:paraId="31C4873A">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rPr>
              <w:t>废气</w:t>
            </w:r>
          </w:p>
        </w:tc>
        <w:tc>
          <w:tcPr>
            <w:tcW w:w="2153" w:type="dxa"/>
            <w:shd w:val="clear" w:color="auto" w:fill="auto"/>
            <w:noWrap w:val="0"/>
            <w:vAlign w:val="center"/>
          </w:tcPr>
          <w:p w14:paraId="184A38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bidi="ar"/>
              </w:rPr>
              <w:t>非甲烷总烃</w:t>
            </w:r>
          </w:p>
        </w:tc>
        <w:tc>
          <w:tcPr>
            <w:tcW w:w="1630" w:type="dxa"/>
            <w:shd w:val="clear" w:color="auto" w:fill="auto"/>
            <w:noWrap w:val="0"/>
            <w:vAlign w:val="center"/>
          </w:tcPr>
          <w:p w14:paraId="43CC298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shd w:val="clear" w:color="auto" w:fill="auto"/>
            <w:noWrap w:val="0"/>
            <w:vAlign w:val="center"/>
          </w:tcPr>
          <w:p w14:paraId="0B2EB68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w:t>
            </w:r>
          </w:p>
        </w:tc>
        <w:tc>
          <w:tcPr>
            <w:tcW w:w="1619" w:type="dxa"/>
            <w:shd w:val="clear" w:color="auto" w:fill="auto"/>
            <w:noWrap w:val="0"/>
            <w:vAlign w:val="center"/>
          </w:tcPr>
          <w:p w14:paraId="0F383E8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w:t>
            </w:r>
          </w:p>
        </w:tc>
        <w:tc>
          <w:tcPr>
            <w:tcW w:w="1602" w:type="dxa"/>
            <w:shd w:val="clear" w:color="auto" w:fill="auto"/>
            <w:noWrap w:val="0"/>
            <w:vAlign w:val="center"/>
          </w:tcPr>
          <w:p w14:paraId="26EA02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kern w:val="2"/>
                <w:sz w:val="21"/>
                <w:szCs w:val="21"/>
                <w:lang w:val="en-US" w:eastAsia="zh-CN" w:bidi="ar-SA"/>
              </w:rPr>
              <w:t>0.871</w:t>
            </w:r>
          </w:p>
        </w:tc>
        <w:tc>
          <w:tcPr>
            <w:tcW w:w="1667" w:type="dxa"/>
            <w:shd w:val="clear" w:color="auto" w:fill="auto"/>
            <w:noWrap w:val="0"/>
            <w:vAlign w:val="center"/>
          </w:tcPr>
          <w:p w14:paraId="1DAA9BE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20082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kern w:val="2"/>
                <w:sz w:val="21"/>
                <w:szCs w:val="21"/>
                <w:lang w:val="en-US" w:eastAsia="zh-CN" w:bidi="ar-SA"/>
              </w:rPr>
              <w:t>0.871</w:t>
            </w:r>
          </w:p>
        </w:tc>
        <w:tc>
          <w:tcPr>
            <w:tcW w:w="1122" w:type="dxa"/>
            <w:shd w:val="clear" w:color="auto" w:fill="auto"/>
            <w:noWrap w:val="0"/>
            <w:vAlign w:val="center"/>
          </w:tcPr>
          <w:p w14:paraId="4ED8B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Cs/>
                <w:kern w:val="2"/>
                <w:sz w:val="21"/>
                <w:szCs w:val="21"/>
                <w:lang w:val="en-US" w:eastAsia="zh-CN" w:bidi="ar-SA"/>
              </w:rPr>
            </w:pPr>
            <w:r>
              <w:rPr>
                <w:rFonts w:hint="eastAsia" w:cs="Times New Roman"/>
                <w:bCs/>
                <w:kern w:val="2"/>
                <w:sz w:val="21"/>
                <w:szCs w:val="21"/>
                <w:lang w:val="en-US" w:eastAsia="zh-CN" w:bidi="ar-SA"/>
              </w:rPr>
              <w:t>+0.871</w:t>
            </w:r>
          </w:p>
        </w:tc>
      </w:tr>
      <w:tr w14:paraId="13E45D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528483EC">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shd w:val="clear" w:color="auto" w:fill="auto"/>
            <w:noWrap w:val="0"/>
            <w:vAlign w:val="center"/>
          </w:tcPr>
          <w:p w14:paraId="1E74C8A6">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颗粒物</w:t>
            </w:r>
          </w:p>
        </w:tc>
        <w:tc>
          <w:tcPr>
            <w:tcW w:w="1630" w:type="dxa"/>
            <w:shd w:val="clear" w:color="auto" w:fill="auto"/>
            <w:noWrap w:val="0"/>
            <w:vAlign w:val="center"/>
          </w:tcPr>
          <w:p w14:paraId="7C28A0C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shd w:val="clear" w:color="auto" w:fill="auto"/>
            <w:noWrap w:val="0"/>
            <w:vAlign w:val="center"/>
          </w:tcPr>
          <w:p w14:paraId="29B90139">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19" w:type="dxa"/>
            <w:shd w:val="clear" w:color="auto" w:fill="auto"/>
            <w:noWrap w:val="0"/>
            <w:vAlign w:val="center"/>
          </w:tcPr>
          <w:p w14:paraId="67D3230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02" w:type="dxa"/>
            <w:shd w:val="clear" w:color="auto" w:fill="auto"/>
            <w:noWrap w:val="0"/>
            <w:vAlign w:val="center"/>
          </w:tcPr>
          <w:p w14:paraId="08B1A78A">
            <w:pPr>
              <w:keepNext w:val="0"/>
              <w:keepLines w:val="0"/>
              <w:suppressLineNumbers w:val="0"/>
              <w:spacing w:before="0" w:beforeAutospacing="0" w:after="0" w:afterAutospacing="0"/>
              <w:ind w:left="0" w:leftChars="0" w:right="0" w:rightChars="0"/>
              <w:jc w:val="center"/>
              <w:rPr>
                <w:rFonts w:hint="eastAsia" w:cs="Times New Roman"/>
                <w:bCs/>
                <w:kern w:val="2"/>
                <w:sz w:val="21"/>
                <w:szCs w:val="21"/>
                <w:lang w:val="en-US" w:eastAsia="zh-CN" w:bidi="ar-SA"/>
              </w:rPr>
            </w:pPr>
            <w:r>
              <w:rPr>
                <w:rFonts w:hint="eastAsia" w:cs="Times New Roman"/>
                <w:kern w:val="2"/>
                <w:sz w:val="21"/>
                <w:szCs w:val="21"/>
                <w:u w:val="none"/>
                <w:lang w:val="en-US" w:eastAsia="zh-CN" w:bidi="ar-SA"/>
              </w:rPr>
              <w:t>0.005</w:t>
            </w:r>
          </w:p>
        </w:tc>
        <w:tc>
          <w:tcPr>
            <w:tcW w:w="1667" w:type="dxa"/>
            <w:shd w:val="clear" w:color="auto" w:fill="auto"/>
            <w:noWrap w:val="0"/>
            <w:vAlign w:val="center"/>
          </w:tcPr>
          <w:p w14:paraId="3C9B6A2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3F34A74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0.005</w:t>
            </w:r>
          </w:p>
        </w:tc>
        <w:tc>
          <w:tcPr>
            <w:tcW w:w="1122" w:type="dxa"/>
            <w:shd w:val="clear" w:color="auto" w:fill="auto"/>
            <w:noWrap w:val="0"/>
            <w:vAlign w:val="center"/>
          </w:tcPr>
          <w:p w14:paraId="5BD179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+0.005</w:t>
            </w:r>
          </w:p>
        </w:tc>
      </w:tr>
      <w:tr w14:paraId="23BFB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2BFD6153">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shd w:val="clear" w:color="auto" w:fill="auto"/>
            <w:noWrap w:val="0"/>
            <w:vAlign w:val="center"/>
          </w:tcPr>
          <w:p w14:paraId="31B4B855">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SO</w:t>
            </w:r>
            <w:r>
              <w:rPr>
                <w:rFonts w:hint="eastAsia" w:cs="Times New Roman"/>
                <w:bCs/>
                <w:sz w:val="21"/>
                <w:szCs w:val="21"/>
                <w:u w:val="none"/>
                <w:vertAlign w:val="subscript"/>
                <w:lang w:val="en-US" w:eastAsia="zh-CN"/>
              </w:rPr>
              <w:t>2</w:t>
            </w:r>
          </w:p>
        </w:tc>
        <w:tc>
          <w:tcPr>
            <w:tcW w:w="1630" w:type="dxa"/>
            <w:shd w:val="clear" w:color="auto" w:fill="auto"/>
            <w:noWrap w:val="0"/>
            <w:vAlign w:val="center"/>
          </w:tcPr>
          <w:p w14:paraId="3467013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shd w:val="clear" w:color="auto" w:fill="auto"/>
            <w:noWrap w:val="0"/>
            <w:vAlign w:val="center"/>
          </w:tcPr>
          <w:p w14:paraId="6166A8E1">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19" w:type="dxa"/>
            <w:shd w:val="clear" w:color="auto" w:fill="auto"/>
            <w:noWrap w:val="0"/>
            <w:vAlign w:val="center"/>
          </w:tcPr>
          <w:p w14:paraId="232DF1D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02" w:type="dxa"/>
            <w:shd w:val="clear" w:color="auto" w:fill="auto"/>
            <w:noWrap w:val="0"/>
            <w:vAlign w:val="center"/>
          </w:tcPr>
          <w:p w14:paraId="7A89DCDB">
            <w:pPr>
              <w:keepNext w:val="0"/>
              <w:keepLines w:val="0"/>
              <w:suppressLineNumbers w:val="0"/>
              <w:spacing w:before="0" w:beforeAutospacing="0" w:after="0" w:afterAutospacing="0"/>
              <w:ind w:left="0" w:leftChars="0" w:right="0" w:rightChars="0"/>
              <w:jc w:val="center"/>
              <w:rPr>
                <w:rFonts w:hint="eastAsia" w:cs="Times New Roman"/>
                <w:bCs/>
                <w:kern w:val="2"/>
                <w:sz w:val="21"/>
                <w:szCs w:val="21"/>
                <w:lang w:val="en-US" w:eastAsia="zh-CN" w:bidi="ar-SA"/>
              </w:rPr>
            </w:pPr>
            <w:r>
              <w:rPr>
                <w:rFonts w:hint="eastAsia" w:cs="Times New Roman"/>
                <w:kern w:val="2"/>
                <w:sz w:val="21"/>
                <w:szCs w:val="21"/>
                <w:u w:val="none"/>
                <w:lang w:val="en-US" w:eastAsia="zh-CN" w:bidi="ar-SA"/>
              </w:rPr>
              <w:t>0.005</w:t>
            </w:r>
          </w:p>
        </w:tc>
        <w:tc>
          <w:tcPr>
            <w:tcW w:w="1667" w:type="dxa"/>
            <w:shd w:val="clear" w:color="auto" w:fill="auto"/>
            <w:noWrap w:val="0"/>
            <w:vAlign w:val="center"/>
          </w:tcPr>
          <w:p w14:paraId="6BEA3603">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28D781D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0.005</w:t>
            </w:r>
          </w:p>
        </w:tc>
        <w:tc>
          <w:tcPr>
            <w:tcW w:w="1122" w:type="dxa"/>
            <w:shd w:val="clear" w:color="auto" w:fill="auto"/>
            <w:noWrap w:val="0"/>
            <w:vAlign w:val="center"/>
          </w:tcPr>
          <w:p w14:paraId="7BCBE86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+0.005</w:t>
            </w:r>
          </w:p>
        </w:tc>
      </w:tr>
      <w:tr w14:paraId="4678B2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3B8A684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shd w:val="clear" w:color="auto" w:fill="auto"/>
            <w:noWrap w:val="0"/>
            <w:vAlign w:val="center"/>
          </w:tcPr>
          <w:p w14:paraId="68EF9B7C">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Cs/>
                <w:kern w:val="2"/>
                <w:sz w:val="21"/>
                <w:szCs w:val="21"/>
                <w:u w:val="none"/>
                <w:lang w:val="en-US" w:eastAsia="zh-CN" w:bidi="ar-SA"/>
              </w:rPr>
            </w:pPr>
            <w:r>
              <w:rPr>
                <w:rFonts w:hint="eastAsia" w:cs="Times New Roman"/>
                <w:bCs/>
                <w:sz w:val="21"/>
                <w:szCs w:val="21"/>
                <w:u w:val="none"/>
                <w:lang w:val="en-US" w:eastAsia="zh-CN"/>
              </w:rPr>
              <w:t>NO</w:t>
            </w:r>
            <w:r>
              <w:rPr>
                <w:rFonts w:hint="eastAsia" w:cs="Times New Roman"/>
                <w:bCs/>
                <w:sz w:val="21"/>
                <w:szCs w:val="21"/>
                <w:u w:val="none"/>
                <w:vertAlign w:val="subscript"/>
                <w:lang w:val="en-US" w:eastAsia="zh-CN"/>
              </w:rPr>
              <w:t>X</w:t>
            </w:r>
          </w:p>
        </w:tc>
        <w:tc>
          <w:tcPr>
            <w:tcW w:w="1630" w:type="dxa"/>
            <w:shd w:val="clear" w:color="auto" w:fill="auto"/>
            <w:noWrap w:val="0"/>
            <w:vAlign w:val="center"/>
          </w:tcPr>
          <w:p w14:paraId="1930E3F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shd w:val="clear" w:color="auto" w:fill="auto"/>
            <w:noWrap w:val="0"/>
            <w:vAlign w:val="center"/>
          </w:tcPr>
          <w:p w14:paraId="7B3508D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19" w:type="dxa"/>
            <w:shd w:val="clear" w:color="auto" w:fill="auto"/>
            <w:noWrap w:val="0"/>
            <w:vAlign w:val="center"/>
          </w:tcPr>
          <w:p w14:paraId="2C96F6B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602" w:type="dxa"/>
            <w:shd w:val="clear" w:color="auto" w:fill="auto"/>
            <w:noWrap w:val="0"/>
            <w:vAlign w:val="center"/>
          </w:tcPr>
          <w:p w14:paraId="2CF0295F">
            <w:pPr>
              <w:keepNext w:val="0"/>
              <w:keepLines w:val="0"/>
              <w:suppressLineNumbers w:val="0"/>
              <w:spacing w:before="0" w:beforeAutospacing="0" w:after="0" w:afterAutospacing="0"/>
              <w:ind w:left="0" w:leftChars="0" w:right="0" w:rightChars="0"/>
              <w:jc w:val="center"/>
              <w:rPr>
                <w:rFonts w:hint="eastAsia" w:cs="Times New Roman"/>
                <w:bCs/>
                <w:kern w:val="2"/>
                <w:sz w:val="21"/>
                <w:szCs w:val="21"/>
                <w:lang w:val="en-US" w:eastAsia="zh-CN" w:bidi="ar-SA"/>
              </w:rPr>
            </w:pPr>
            <w:r>
              <w:rPr>
                <w:rFonts w:hint="eastAsia" w:cs="Times New Roman"/>
                <w:kern w:val="2"/>
                <w:sz w:val="21"/>
                <w:szCs w:val="21"/>
                <w:u w:val="none"/>
                <w:lang w:val="en-US" w:eastAsia="zh-CN" w:bidi="ar-SA"/>
              </w:rPr>
              <w:t>0.077</w:t>
            </w:r>
          </w:p>
        </w:tc>
        <w:tc>
          <w:tcPr>
            <w:tcW w:w="1667" w:type="dxa"/>
            <w:shd w:val="clear" w:color="auto" w:fill="auto"/>
            <w:noWrap w:val="0"/>
            <w:vAlign w:val="center"/>
          </w:tcPr>
          <w:p w14:paraId="1E2C2E6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25A742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0.077</w:t>
            </w:r>
          </w:p>
        </w:tc>
        <w:tc>
          <w:tcPr>
            <w:tcW w:w="1122" w:type="dxa"/>
            <w:shd w:val="clear" w:color="auto" w:fill="auto"/>
            <w:noWrap w:val="0"/>
            <w:vAlign w:val="center"/>
          </w:tcPr>
          <w:p w14:paraId="00A119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kern w:val="2"/>
                <w:sz w:val="21"/>
                <w:szCs w:val="21"/>
                <w:lang w:val="en-US" w:eastAsia="zh-CN" w:bidi="ar-SA"/>
              </w:rPr>
            </w:pPr>
            <w:r>
              <w:rPr>
                <w:rFonts w:hint="eastAsia" w:cs="Times New Roman"/>
                <w:kern w:val="2"/>
                <w:sz w:val="21"/>
                <w:szCs w:val="21"/>
                <w:u w:val="none"/>
                <w:lang w:val="en-US" w:eastAsia="zh-CN" w:bidi="ar-SA"/>
              </w:rPr>
              <w:t>+0.077</w:t>
            </w:r>
          </w:p>
        </w:tc>
      </w:tr>
      <w:tr w14:paraId="479B8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restart"/>
            <w:noWrap w:val="0"/>
            <w:vAlign w:val="center"/>
          </w:tcPr>
          <w:p w14:paraId="482D842C">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废水</w:t>
            </w:r>
          </w:p>
        </w:tc>
        <w:tc>
          <w:tcPr>
            <w:tcW w:w="2153" w:type="dxa"/>
            <w:noWrap w:val="0"/>
            <w:vAlign w:val="center"/>
          </w:tcPr>
          <w:p w14:paraId="789F5C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废水量</w:t>
            </w:r>
          </w:p>
        </w:tc>
        <w:tc>
          <w:tcPr>
            <w:tcW w:w="1630" w:type="dxa"/>
            <w:noWrap w:val="0"/>
            <w:vAlign w:val="center"/>
          </w:tcPr>
          <w:p w14:paraId="3C5B228E">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54D5E171">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48928640">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3E644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2128</w:t>
            </w:r>
          </w:p>
        </w:tc>
        <w:tc>
          <w:tcPr>
            <w:tcW w:w="1667" w:type="dxa"/>
            <w:noWrap w:val="0"/>
            <w:vAlign w:val="center"/>
          </w:tcPr>
          <w:p w14:paraId="6137A44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7355F4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2128</w:t>
            </w:r>
          </w:p>
        </w:tc>
        <w:tc>
          <w:tcPr>
            <w:tcW w:w="1122" w:type="dxa"/>
            <w:shd w:val="clear" w:color="auto" w:fill="auto"/>
            <w:noWrap w:val="0"/>
            <w:vAlign w:val="center"/>
          </w:tcPr>
          <w:p w14:paraId="3D005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+2128</w:t>
            </w:r>
          </w:p>
        </w:tc>
      </w:tr>
      <w:tr w14:paraId="533D3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52D6F72B">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316ED29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cs="Times New Roman"/>
                <w:color w:val="auto"/>
                <w:szCs w:val="21"/>
                <w:u w:val="none"/>
              </w:rPr>
              <w:t>CODcr</w:t>
            </w:r>
          </w:p>
        </w:tc>
        <w:tc>
          <w:tcPr>
            <w:tcW w:w="1630" w:type="dxa"/>
            <w:noWrap w:val="0"/>
            <w:vAlign w:val="center"/>
          </w:tcPr>
          <w:p w14:paraId="58742255">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1E1F02A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1D251776">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5A24DDD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0.426</w:t>
            </w:r>
          </w:p>
        </w:tc>
        <w:tc>
          <w:tcPr>
            <w:tcW w:w="1667" w:type="dxa"/>
            <w:noWrap w:val="0"/>
            <w:vAlign w:val="center"/>
          </w:tcPr>
          <w:p w14:paraId="1A092372">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698BFC1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0.426</w:t>
            </w:r>
          </w:p>
        </w:tc>
        <w:tc>
          <w:tcPr>
            <w:tcW w:w="1122" w:type="dxa"/>
            <w:shd w:val="clear" w:color="auto" w:fill="auto"/>
            <w:noWrap w:val="0"/>
            <w:vAlign w:val="center"/>
          </w:tcPr>
          <w:p w14:paraId="47BF1D0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+0.426</w:t>
            </w:r>
          </w:p>
        </w:tc>
      </w:tr>
      <w:tr w14:paraId="0EC44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121E9041">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5CB87AE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cs="Times New Roman"/>
                <w:color w:val="auto"/>
                <w:szCs w:val="21"/>
                <w:u w:val="none"/>
              </w:rPr>
              <w:t>BOD</w:t>
            </w:r>
            <w:r>
              <w:rPr>
                <w:rFonts w:hint="default" w:ascii="Times New Roman" w:hAnsi="Times New Roman" w:cs="Times New Roman"/>
                <w:color w:val="auto"/>
                <w:szCs w:val="21"/>
                <w:u w:val="none"/>
                <w:vertAlign w:val="subscript"/>
              </w:rPr>
              <w:t>5</w:t>
            </w:r>
          </w:p>
        </w:tc>
        <w:tc>
          <w:tcPr>
            <w:tcW w:w="1630" w:type="dxa"/>
            <w:noWrap w:val="0"/>
            <w:vAlign w:val="center"/>
          </w:tcPr>
          <w:p w14:paraId="6D1CE428">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0FEB6808">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63B74FE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3179214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0.255</w:t>
            </w:r>
          </w:p>
        </w:tc>
        <w:tc>
          <w:tcPr>
            <w:tcW w:w="1667" w:type="dxa"/>
            <w:noWrap w:val="0"/>
            <w:vAlign w:val="center"/>
          </w:tcPr>
          <w:p w14:paraId="5A0146E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23748EF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0.255</w:t>
            </w:r>
          </w:p>
        </w:tc>
        <w:tc>
          <w:tcPr>
            <w:tcW w:w="1122" w:type="dxa"/>
            <w:shd w:val="clear" w:color="auto" w:fill="auto"/>
            <w:noWrap w:val="0"/>
            <w:vAlign w:val="center"/>
          </w:tcPr>
          <w:p w14:paraId="3AE626A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+0.255</w:t>
            </w:r>
          </w:p>
        </w:tc>
      </w:tr>
      <w:tr w14:paraId="74C83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655DFC2D">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1D55BC8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cs="Times New Roman"/>
                <w:color w:val="auto"/>
                <w:szCs w:val="21"/>
                <w:u w:val="none"/>
              </w:rPr>
              <w:t>SS</w:t>
            </w:r>
          </w:p>
        </w:tc>
        <w:tc>
          <w:tcPr>
            <w:tcW w:w="1630" w:type="dxa"/>
            <w:noWrap w:val="0"/>
            <w:vAlign w:val="center"/>
          </w:tcPr>
          <w:p w14:paraId="311BB3FA">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7CF1D669">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25657B22">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678896A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0.426</w:t>
            </w:r>
          </w:p>
        </w:tc>
        <w:tc>
          <w:tcPr>
            <w:tcW w:w="1667" w:type="dxa"/>
            <w:noWrap w:val="0"/>
            <w:vAlign w:val="center"/>
          </w:tcPr>
          <w:p w14:paraId="5BACBFF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0644661D">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0.426</w:t>
            </w:r>
          </w:p>
        </w:tc>
        <w:tc>
          <w:tcPr>
            <w:tcW w:w="1122" w:type="dxa"/>
            <w:shd w:val="clear" w:color="auto" w:fill="auto"/>
            <w:noWrap w:val="0"/>
            <w:vAlign w:val="center"/>
          </w:tcPr>
          <w:p w14:paraId="22A6E0E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+0.426</w:t>
            </w:r>
          </w:p>
        </w:tc>
      </w:tr>
      <w:tr w14:paraId="0B8CE4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7E6371E8">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155B3CC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cs="Times New Roman"/>
                <w:color w:val="auto"/>
                <w:szCs w:val="21"/>
                <w:u w:val="none"/>
              </w:rPr>
              <w:t>氨氮</w:t>
            </w:r>
          </w:p>
        </w:tc>
        <w:tc>
          <w:tcPr>
            <w:tcW w:w="1630" w:type="dxa"/>
            <w:noWrap w:val="0"/>
            <w:vAlign w:val="center"/>
          </w:tcPr>
          <w:p w14:paraId="742A8D3B">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19DED31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5C5E772F">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6B015CC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0.043</w:t>
            </w:r>
          </w:p>
        </w:tc>
        <w:tc>
          <w:tcPr>
            <w:tcW w:w="1667" w:type="dxa"/>
            <w:noWrap w:val="0"/>
            <w:vAlign w:val="center"/>
          </w:tcPr>
          <w:p w14:paraId="56E6B9A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53351A37">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0.043</w:t>
            </w:r>
          </w:p>
        </w:tc>
        <w:tc>
          <w:tcPr>
            <w:tcW w:w="1122" w:type="dxa"/>
            <w:shd w:val="clear" w:color="auto" w:fill="auto"/>
            <w:noWrap w:val="0"/>
            <w:vAlign w:val="center"/>
          </w:tcPr>
          <w:p w14:paraId="19EBC5D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+0.043</w:t>
            </w:r>
          </w:p>
        </w:tc>
      </w:tr>
      <w:tr w14:paraId="2881E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restart"/>
            <w:noWrap w:val="0"/>
            <w:vAlign w:val="center"/>
          </w:tcPr>
          <w:p w14:paraId="682DB8EA">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一般工业</w:t>
            </w:r>
          </w:p>
          <w:p w14:paraId="207DEAFB">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固体废物</w:t>
            </w:r>
          </w:p>
        </w:tc>
        <w:tc>
          <w:tcPr>
            <w:tcW w:w="2153" w:type="dxa"/>
            <w:noWrap w:val="0"/>
            <w:vAlign w:val="center"/>
          </w:tcPr>
          <w:p w14:paraId="0141C5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rPr>
                <w:rFonts w:hint="default" w:ascii="Times New Roman" w:hAnsi="Times New Roman" w:eastAsia="宋体" w:cs="Times New Roman"/>
                <w:color w:val="auto"/>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bidi="ar"/>
              </w:rPr>
              <w:t>生活垃圾</w:t>
            </w:r>
          </w:p>
        </w:tc>
        <w:tc>
          <w:tcPr>
            <w:tcW w:w="1630" w:type="dxa"/>
            <w:noWrap w:val="0"/>
            <w:vAlign w:val="center"/>
          </w:tcPr>
          <w:p w14:paraId="12F94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32DFE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63B3F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6E7A235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u w:val="none"/>
                <w:lang w:val="en-US" w:eastAsia="zh-CN"/>
              </w:rPr>
              <w:t>10.92</w:t>
            </w:r>
          </w:p>
        </w:tc>
        <w:tc>
          <w:tcPr>
            <w:tcW w:w="1667" w:type="dxa"/>
            <w:noWrap w:val="0"/>
            <w:vAlign w:val="center"/>
          </w:tcPr>
          <w:p w14:paraId="436991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3AD37E5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u w:val="none"/>
                <w:lang w:val="en-US" w:eastAsia="zh-CN"/>
              </w:rPr>
              <w:t>10.92</w:t>
            </w:r>
          </w:p>
        </w:tc>
        <w:tc>
          <w:tcPr>
            <w:tcW w:w="1122" w:type="dxa"/>
            <w:shd w:val="clear" w:color="auto" w:fill="auto"/>
            <w:noWrap w:val="0"/>
            <w:vAlign w:val="center"/>
          </w:tcPr>
          <w:p w14:paraId="3EC17A5E">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u w:val="none"/>
                <w:lang w:val="en-US" w:eastAsia="zh-CN"/>
              </w:rPr>
              <w:t>+10.92</w:t>
            </w:r>
          </w:p>
        </w:tc>
      </w:tr>
      <w:tr w14:paraId="58FE5C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7BA3087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4A4330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000000"/>
                <w:szCs w:val="21"/>
                <w:u w:val="none"/>
                <w:lang w:val="en-US" w:eastAsia="zh-CN"/>
              </w:rPr>
              <w:t>废版辊</w:t>
            </w:r>
          </w:p>
        </w:tc>
        <w:tc>
          <w:tcPr>
            <w:tcW w:w="1630" w:type="dxa"/>
            <w:noWrap w:val="0"/>
            <w:vAlign w:val="center"/>
          </w:tcPr>
          <w:p w14:paraId="1358C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469183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29B04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42DBC55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u w:val="none"/>
                <w:lang w:val="en-US" w:eastAsia="zh-CN"/>
              </w:rPr>
            </w:pPr>
            <w:r>
              <w:rPr>
                <w:rFonts w:hint="eastAsia" w:ascii="Times New Roman" w:hAnsi="Times New Roman" w:cs="Times New Roman"/>
                <w:snapToGrid w:val="0"/>
                <w:color w:val="000000"/>
                <w:szCs w:val="21"/>
                <w:u w:val="none"/>
                <w:lang w:val="en-US" w:eastAsia="zh-CN"/>
              </w:rPr>
              <w:t>2</w:t>
            </w:r>
          </w:p>
        </w:tc>
        <w:tc>
          <w:tcPr>
            <w:tcW w:w="1667" w:type="dxa"/>
            <w:noWrap w:val="0"/>
            <w:vAlign w:val="center"/>
          </w:tcPr>
          <w:p w14:paraId="5D232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694FC13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cs="Times New Roman"/>
                <w:snapToGrid w:val="0"/>
                <w:color w:val="000000"/>
                <w:szCs w:val="21"/>
                <w:u w:val="none"/>
                <w:lang w:val="en-US" w:eastAsia="zh-CN"/>
              </w:rPr>
              <w:t>2</w:t>
            </w:r>
          </w:p>
        </w:tc>
        <w:tc>
          <w:tcPr>
            <w:tcW w:w="1122" w:type="dxa"/>
            <w:shd w:val="clear" w:color="auto" w:fill="auto"/>
            <w:noWrap w:val="0"/>
            <w:vAlign w:val="center"/>
          </w:tcPr>
          <w:p w14:paraId="74D543B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snapToGrid w:val="0"/>
                <w:color w:val="000000"/>
                <w:szCs w:val="21"/>
                <w:u w:val="none"/>
                <w:lang w:val="en-US" w:eastAsia="zh-CN"/>
              </w:rPr>
              <w:t>+</w:t>
            </w:r>
            <w:r>
              <w:rPr>
                <w:rFonts w:hint="eastAsia" w:ascii="Times New Roman" w:hAnsi="Times New Roman" w:cs="Times New Roman"/>
                <w:snapToGrid w:val="0"/>
                <w:color w:val="000000"/>
                <w:szCs w:val="21"/>
                <w:u w:val="none"/>
                <w:lang w:val="en-US" w:eastAsia="zh-CN"/>
              </w:rPr>
              <w:t>2</w:t>
            </w:r>
          </w:p>
        </w:tc>
      </w:tr>
      <w:tr w14:paraId="6226B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00192E0D">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5C92844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000000"/>
                <w:szCs w:val="21"/>
                <w:u w:val="none"/>
                <w:lang w:val="en-US" w:eastAsia="zh-CN"/>
              </w:rPr>
              <w:t>废边角料、不合格品</w:t>
            </w:r>
          </w:p>
        </w:tc>
        <w:tc>
          <w:tcPr>
            <w:tcW w:w="1630" w:type="dxa"/>
            <w:noWrap w:val="0"/>
            <w:vAlign w:val="center"/>
          </w:tcPr>
          <w:p w14:paraId="65A9406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349EC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783B5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7DA6F2E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u w:val="none"/>
                <w:lang w:val="en-US" w:eastAsia="zh-CN"/>
              </w:rPr>
            </w:pPr>
            <w:r>
              <w:rPr>
                <w:rFonts w:hint="eastAsia" w:cs="Times New Roman"/>
                <w:snapToGrid w:val="0"/>
                <w:color w:val="000000"/>
                <w:szCs w:val="21"/>
                <w:u w:val="none"/>
                <w:lang w:val="en-US" w:eastAsia="zh-CN"/>
              </w:rPr>
              <w:t>18.4</w:t>
            </w:r>
          </w:p>
        </w:tc>
        <w:tc>
          <w:tcPr>
            <w:tcW w:w="1667" w:type="dxa"/>
            <w:noWrap w:val="0"/>
            <w:vAlign w:val="center"/>
          </w:tcPr>
          <w:p w14:paraId="185F12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1822C87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snapToGrid w:val="0"/>
                <w:color w:val="000000"/>
                <w:szCs w:val="21"/>
                <w:u w:val="none"/>
                <w:lang w:val="en-US" w:eastAsia="zh-CN"/>
              </w:rPr>
              <w:t>18.4</w:t>
            </w:r>
          </w:p>
        </w:tc>
        <w:tc>
          <w:tcPr>
            <w:tcW w:w="1122" w:type="dxa"/>
            <w:shd w:val="clear" w:color="auto" w:fill="auto"/>
            <w:noWrap w:val="0"/>
            <w:vAlign w:val="center"/>
          </w:tcPr>
          <w:p w14:paraId="7646E8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u w:val="none"/>
                <w:lang w:val="en-US" w:eastAsia="zh-CN" w:bidi="ar-SA"/>
              </w:rPr>
            </w:pPr>
            <w:r>
              <w:rPr>
                <w:rFonts w:hint="eastAsia" w:cs="Times New Roman"/>
                <w:snapToGrid w:val="0"/>
                <w:color w:val="000000"/>
                <w:szCs w:val="21"/>
                <w:u w:val="none"/>
                <w:lang w:val="en-US" w:eastAsia="zh-CN"/>
              </w:rPr>
              <w:t>+18.4</w:t>
            </w:r>
          </w:p>
        </w:tc>
      </w:tr>
      <w:tr w14:paraId="5D56E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6B5ED396">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default" w:ascii="Times New Roman" w:hAnsi="Times New Roman" w:eastAsia="宋体" w:cs="Times New Roman"/>
                <w:snapToGrid w:val="0"/>
                <w:color w:val="auto"/>
                <w:kern w:val="21"/>
                <w:sz w:val="21"/>
                <w:szCs w:val="21"/>
                <w:highlight w:val="none"/>
              </w:rPr>
            </w:pPr>
          </w:p>
        </w:tc>
        <w:tc>
          <w:tcPr>
            <w:tcW w:w="2153" w:type="dxa"/>
            <w:noWrap w:val="0"/>
            <w:vAlign w:val="center"/>
          </w:tcPr>
          <w:p w14:paraId="5A075A1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000000"/>
                <w:szCs w:val="21"/>
                <w:u w:val="none"/>
                <w:lang w:val="en-US" w:eastAsia="zh-CN"/>
              </w:rPr>
              <w:t>废包装袋</w:t>
            </w:r>
          </w:p>
        </w:tc>
        <w:tc>
          <w:tcPr>
            <w:tcW w:w="1630" w:type="dxa"/>
            <w:noWrap w:val="0"/>
            <w:vAlign w:val="center"/>
          </w:tcPr>
          <w:p w14:paraId="741C521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396AE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74726B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41508FCA">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u w:val="none"/>
                <w:lang w:val="en-US" w:eastAsia="zh-CN"/>
              </w:rPr>
            </w:pPr>
            <w:r>
              <w:rPr>
                <w:rFonts w:hint="eastAsia" w:cs="Times New Roman"/>
                <w:snapToGrid w:val="0"/>
                <w:color w:val="000000"/>
                <w:szCs w:val="21"/>
                <w:u w:val="none"/>
                <w:lang w:val="en-US" w:eastAsia="zh-CN"/>
              </w:rPr>
              <w:t>1.2</w:t>
            </w:r>
          </w:p>
        </w:tc>
        <w:tc>
          <w:tcPr>
            <w:tcW w:w="1667" w:type="dxa"/>
            <w:noWrap w:val="0"/>
            <w:vAlign w:val="center"/>
          </w:tcPr>
          <w:p w14:paraId="5A8D61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76BA914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snapToGrid w:val="0"/>
                <w:color w:val="000000"/>
                <w:szCs w:val="21"/>
                <w:u w:val="none"/>
                <w:lang w:val="en-US" w:eastAsia="zh-CN"/>
              </w:rPr>
              <w:t>1.2</w:t>
            </w:r>
          </w:p>
        </w:tc>
        <w:tc>
          <w:tcPr>
            <w:tcW w:w="1122" w:type="dxa"/>
            <w:shd w:val="clear" w:color="auto" w:fill="auto"/>
            <w:noWrap w:val="0"/>
            <w:vAlign w:val="center"/>
          </w:tcPr>
          <w:p w14:paraId="40A8198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u w:val="none"/>
                <w:lang w:val="en-US" w:eastAsia="zh-CN" w:bidi="ar-SA"/>
              </w:rPr>
            </w:pPr>
            <w:r>
              <w:rPr>
                <w:rFonts w:hint="eastAsia" w:cs="Times New Roman"/>
                <w:snapToGrid w:val="0"/>
                <w:color w:val="000000"/>
                <w:szCs w:val="21"/>
                <w:u w:val="none"/>
                <w:lang w:val="en-US" w:eastAsia="zh-CN"/>
              </w:rPr>
              <w:t>+1.2</w:t>
            </w:r>
          </w:p>
        </w:tc>
      </w:tr>
      <w:tr w14:paraId="45BBE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restart"/>
            <w:noWrap w:val="0"/>
            <w:vAlign w:val="center"/>
          </w:tcPr>
          <w:p w14:paraId="2F8121E2">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危险废物</w:t>
            </w:r>
          </w:p>
        </w:tc>
        <w:tc>
          <w:tcPr>
            <w:tcW w:w="2153" w:type="dxa"/>
            <w:noWrap w:val="0"/>
            <w:vAlign w:val="center"/>
          </w:tcPr>
          <w:p w14:paraId="3B73F2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snapToGrid w:val="0"/>
                <w:color w:val="000000"/>
                <w:szCs w:val="21"/>
                <w:u w:val="none"/>
              </w:rPr>
              <w:t>废</w:t>
            </w:r>
            <w:r>
              <w:rPr>
                <w:rFonts w:hint="eastAsia" w:cs="Times New Roman"/>
                <w:snapToGrid w:val="0"/>
                <w:color w:val="000000"/>
                <w:szCs w:val="21"/>
                <w:u w:val="none"/>
                <w:lang w:val="en-US" w:eastAsia="zh-CN"/>
              </w:rPr>
              <w:t>矿物</w:t>
            </w:r>
            <w:r>
              <w:rPr>
                <w:rFonts w:hint="default" w:ascii="Times New Roman" w:hAnsi="Times New Roman" w:cs="Times New Roman"/>
                <w:snapToGrid w:val="0"/>
                <w:color w:val="000000"/>
                <w:szCs w:val="21"/>
                <w:u w:val="none"/>
              </w:rPr>
              <w:t>油</w:t>
            </w:r>
          </w:p>
        </w:tc>
        <w:tc>
          <w:tcPr>
            <w:tcW w:w="1630" w:type="dxa"/>
            <w:noWrap w:val="0"/>
            <w:vAlign w:val="center"/>
          </w:tcPr>
          <w:p w14:paraId="00D230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52357E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6FF99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5F9040E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Cs/>
                <w:color w:val="auto"/>
                <w:spacing w:val="-10"/>
                <w:sz w:val="21"/>
                <w:szCs w:val="21"/>
                <w:lang w:val="en-US" w:eastAsia="zh-CN"/>
              </w:rPr>
            </w:pPr>
            <w:r>
              <w:rPr>
                <w:rFonts w:hint="eastAsia" w:ascii="Times New Roman" w:hAnsi="Times New Roman" w:cs="Times New Roman"/>
                <w:snapToGrid w:val="0"/>
                <w:color w:val="000000"/>
                <w:szCs w:val="21"/>
                <w:u w:val="none"/>
                <w:lang w:val="en-US" w:eastAsia="zh-CN"/>
              </w:rPr>
              <w:t>0.1</w:t>
            </w:r>
          </w:p>
        </w:tc>
        <w:tc>
          <w:tcPr>
            <w:tcW w:w="1667" w:type="dxa"/>
            <w:noWrap w:val="0"/>
            <w:vAlign w:val="center"/>
          </w:tcPr>
          <w:p w14:paraId="55BE7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0084B4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pacing w:val="-10"/>
                <w:kern w:val="2"/>
                <w:sz w:val="21"/>
                <w:szCs w:val="21"/>
                <w:lang w:val="en-US" w:eastAsia="zh-CN" w:bidi="ar-SA"/>
              </w:rPr>
            </w:pPr>
            <w:r>
              <w:rPr>
                <w:rFonts w:hint="eastAsia" w:ascii="Times New Roman" w:hAnsi="Times New Roman" w:cs="Times New Roman"/>
                <w:snapToGrid w:val="0"/>
                <w:color w:val="000000"/>
                <w:szCs w:val="21"/>
                <w:u w:val="none"/>
                <w:lang w:val="en-US" w:eastAsia="zh-CN"/>
              </w:rPr>
              <w:t>0.1</w:t>
            </w:r>
          </w:p>
        </w:tc>
        <w:tc>
          <w:tcPr>
            <w:tcW w:w="1122" w:type="dxa"/>
            <w:shd w:val="clear" w:color="auto" w:fill="auto"/>
            <w:noWrap w:val="0"/>
            <w:vAlign w:val="center"/>
          </w:tcPr>
          <w:p w14:paraId="11948C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w:t>
            </w:r>
            <w:r>
              <w:rPr>
                <w:rFonts w:hint="eastAsia" w:ascii="Times New Roman" w:hAnsi="Times New Roman" w:cs="Times New Roman"/>
                <w:snapToGrid w:val="0"/>
                <w:color w:val="000000"/>
                <w:szCs w:val="21"/>
                <w:u w:val="none"/>
                <w:lang w:val="en-US" w:eastAsia="zh-CN"/>
              </w:rPr>
              <w:t>0.1</w:t>
            </w:r>
          </w:p>
        </w:tc>
      </w:tr>
      <w:tr w14:paraId="31759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086E684A">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p>
        </w:tc>
        <w:tc>
          <w:tcPr>
            <w:tcW w:w="2153" w:type="dxa"/>
            <w:noWrap w:val="0"/>
            <w:vAlign w:val="center"/>
          </w:tcPr>
          <w:p w14:paraId="477BC3B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bidi="ar"/>
              </w:rPr>
            </w:pPr>
            <w:r>
              <w:rPr>
                <w:rFonts w:hint="default" w:ascii="Times New Roman" w:hAnsi="Times New Roman" w:cs="Times New Roman"/>
                <w:snapToGrid w:val="0"/>
                <w:color w:val="000000"/>
                <w:szCs w:val="21"/>
                <w:u w:val="none"/>
              </w:rPr>
              <w:t>废包装桶</w:t>
            </w:r>
          </w:p>
        </w:tc>
        <w:tc>
          <w:tcPr>
            <w:tcW w:w="1630" w:type="dxa"/>
            <w:noWrap w:val="0"/>
            <w:vAlign w:val="center"/>
          </w:tcPr>
          <w:p w14:paraId="7E07E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3E7AB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48F0F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468764CB">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color w:val="auto"/>
                <w:spacing w:val="-10"/>
                <w:sz w:val="21"/>
                <w:szCs w:val="21"/>
              </w:rPr>
            </w:pPr>
            <w:r>
              <w:rPr>
                <w:rFonts w:hint="eastAsia" w:cs="Times New Roman"/>
                <w:snapToGrid w:val="0"/>
                <w:color w:val="000000"/>
                <w:szCs w:val="21"/>
                <w:u w:val="none"/>
                <w:lang w:val="en-US" w:eastAsia="zh-CN"/>
              </w:rPr>
              <w:t>0.763</w:t>
            </w:r>
          </w:p>
        </w:tc>
        <w:tc>
          <w:tcPr>
            <w:tcW w:w="1667" w:type="dxa"/>
            <w:noWrap w:val="0"/>
            <w:vAlign w:val="center"/>
          </w:tcPr>
          <w:p w14:paraId="08036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14DAC26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0.763</w:t>
            </w:r>
          </w:p>
        </w:tc>
        <w:tc>
          <w:tcPr>
            <w:tcW w:w="1122" w:type="dxa"/>
            <w:shd w:val="clear" w:color="auto" w:fill="auto"/>
            <w:noWrap w:val="0"/>
            <w:vAlign w:val="center"/>
          </w:tcPr>
          <w:p w14:paraId="7BC4C5D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+0.763</w:t>
            </w:r>
          </w:p>
        </w:tc>
      </w:tr>
      <w:tr w14:paraId="13280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11B5AA64">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p>
        </w:tc>
        <w:tc>
          <w:tcPr>
            <w:tcW w:w="2153" w:type="dxa"/>
            <w:noWrap w:val="0"/>
            <w:vAlign w:val="center"/>
          </w:tcPr>
          <w:p w14:paraId="75C8B26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bidi="ar"/>
              </w:rPr>
            </w:pPr>
            <w:r>
              <w:rPr>
                <w:rFonts w:hint="eastAsia" w:ascii="Times New Roman" w:hAnsi="Times New Roman" w:cs="Times New Roman"/>
                <w:color w:val="000000"/>
                <w:szCs w:val="21"/>
                <w:u w:val="none"/>
              </w:rPr>
              <w:t>沾有油墨的废膜</w:t>
            </w:r>
          </w:p>
        </w:tc>
        <w:tc>
          <w:tcPr>
            <w:tcW w:w="1630" w:type="dxa"/>
            <w:noWrap w:val="0"/>
            <w:vAlign w:val="center"/>
          </w:tcPr>
          <w:p w14:paraId="753890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51760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25FF9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7BE66E1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color w:val="auto"/>
                <w:spacing w:val="-10"/>
                <w:sz w:val="21"/>
                <w:szCs w:val="21"/>
              </w:rPr>
            </w:pPr>
            <w:r>
              <w:rPr>
                <w:rFonts w:hint="eastAsia" w:cs="Times New Roman"/>
                <w:snapToGrid w:val="0"/>
                <w:color w:val="000000"/>
                <w:szCs w:val="21"/>
                <w:u w:val="none"/>
                <w:lang w:val="en-US" w:eastAsia="zh-CN"/>
              </w:rPr>
              <w:t>0.1</w:t>
            </w:r>
          </w:p>
        </w:tc>
        <w:tc>
          <w:tcPr>
            <w:tcW w:w="1667" w:type="dxa"/>
            <w:noWrap w:val="0"/>
            <w:vAlign w:val="center"/>
          </w:tcPr>
          <w:p w14:paraId="31DF7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21BB43F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0.1</w:t>
            </w:r>
          </w:p>
        </w:tc>
        <w:tc>
          <w:tcPr>
            <w:tcW w:w="1122" w:type="dxa"/>
            <w:shd w:val="clear" w:color="auto" w:fill="auto"/>
            <w:noWrap w:val="0"/>
            <w:vAlign w:val="center"/>
          </w:tcPr>
          <w:p w14:paraId="1471189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+0.1</w:t>
            </w:r>
          </w:p>
        </w:tc>
      </w:tr>
      <w:tr w14:paraId="579C7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26CBE0F5">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p>
        </w:tc>
        <w:tc>
          <w:tcPr>
            <w:tcW w:w="2153" w:type="dxa"/>
            <w:noWrap w:val="0"/>
            <w:vAlign w:val="center"/>
          </w:tcPr>
          <w:p w14:paraId="0EF622A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bidi="ar"/>
              </w:rPr>
            </w:pPr>
            <w:r>
              <w:rPr>
                <w:rFonts w:hint="eastAsia" w:ascii="Times New Roman" w:hAnsi="Times New Roman" w:cs="Times New Roman"/>
                <w:color w:val="000000"/>
                <w:szCs w:val="21"/>
                <w:u w:val="none"/>
              </w:rPr>
              <w:t>沾染有机溶剂</w:t>
            </w:r>
            <w:r>
              <w:rPr>
                <w:rFonts w:hint="eastAsia" w:cs="Times New Roman"/>
                <w:color w:val="000000"/>
                <w:szCs w:val="21"/>
                <w:u w:val="none"/>
                <w:lang w:eastAsia="zh-CN"/>
              </w:rPr>
              <w:t>、</w:t>
            </w:r>
            <w:r>
              <w:rPr>
                <w:rFonts w:hint="eastAsia" w:cs="Times New Roman"/>
                <w:color w:val="000000"/>
                <w:szCs w:val="21"/>
                <w:u w:val="none"/>
                <w:lang w:val="en-US" w:eastAsia="zh-CN"/>
              </w:rPr>
              <w:t>矿物油</w:t>
            </w:r>
            <w:r>
              <w:rPr>
                <w:rFonts w:hint="eastAsia" w:ascii="Times New Roman" w:hAnsi="Times New Roman" w:cs="Times New Roman"/>
                <w:color w:val="000000"/>
                <w:szCs w:val="21"/>
                <w:u w:val="none"/>
              </w:rPr>
              <w:t>的废抹布</w:t>
            </w:r>
          </w:p>
        </w:tc>
        <w:tc>
          <w:tcPr>
            <w:tcW w:w="1630" w:type="dxa"/>
            <w:noWrap w:val="0"/>
            <w:vAlign w:val="center"/>
          </w:tcPr>
          <w:p w14:paraId="78F7E5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2581D58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3CD9A52D">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4FA70EC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Cs/>
                <w:color w:val="auto"/>
                <w:spacing w:val="-10"/>
                <w:sz w:val="21"/>
                <w:szCs w:val="21"/>
              </w:rPr>
            </w:pPr>
            <w:r>
              <w:rPr>
                <w:rFonts w:hint="eastAsia" w:cs="Times New Roman"/>
                <w:snapToGrid w:val="0"/>
                <w:color w:val="000000"/>
                <w:szCs w:val="21"/>
                <w:u w:val="none"/>
                <w:lang w:val="en-US" w:eastAsia="zh-CN"/>
              </w:rPr>
              <w:t>1</w:t>
            </w:r>
          </w:p>
        </w:tc>
        <w:tc>
          <w:tcPr>
            <w:tcW w:w="1667" w:type="dxa"/>
            <w:noWrap w:val="0"/>
            <w:vAlign w:val="center"/>
          </w:tcPr>
          <w:p w14:paraId="698E9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656DD5E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1</w:t>
            </w:r>
          </w:p>
        </w:tc>
        <w:tc>
          <w:tcPr>
            <w:tcW w:w="1122" w:type="dxa"/>
            <w:shd w:val="clear" w:color="auto" w:fill="auto"/>
            <w:noWrap w:val="0"/>
            <w:vAlign w:val="center"/>
          </w:tcPr>
          <w:p w14:paraId="502DDC2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Cs/>
                <w:color w:val="auto"/>
                <w:spacing w:val="-10"/>
                <w:kern w:val="2"/>
                <w:sz w:val="21"/>
                <w:szCs w:val="21"/>
                <w:lang w:val="en-US" w:eastAsia="zh-CN" w:bidi="ar-SA"/>
              </w:rPr>
            </w:pPr>
            <w:r>
              <w:rPr>
                <w:rFonts w:hint="eastAsia" w:cs="Times New Roman"/>
                <w:snapToGrid w:val="0"/>
                <w:color w:val="000000"/>
                <w:szCs w:val="21"/>
                <w:u w:val="none"/>
                <w:lang w:val="en-US" w:eastAsia="zh-CN"/>
              </w:rPr>
              <w:t>+1</w:t>
            </w:r>
          </w:p>
        </w:tc>
      </w:tr>
      <w:tr w14:paraId="70A449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30421585">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p>
        </w:tc>
        <w:tc>
          <w:tcPr>
            <w:tcW w:w="2153" w:type="dxa"/>
            <w:noWrap w:val="0"/>
            <w:vAlign w:val="center"/>
          </w:tcPr>
          <w:p w14:paraId="5C9A4FD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bidi="ar"/>
              </w:rPr>
            </w:pPr>
            <w:r>
              <w:rPr>
                <w:rFonts w:hint="eastAsia" w:ascii="Times New Roman" w:hAnsi="Times New Roman" w:cs="Times New Roman"/>
                <w:color w:val="000000"/>
                <w:szCs w:val="21"/>
                <w:u w:val="none"/>
              </w:rPr>
              <w:t>废油墨</w:t>
            </w:r>
          </w:p>
        </w:tc>
        <w:tc>
          <w:tcPr>
            <w:tcW w:w="1630" w:type="dxa"/>
            <w:noWrap w:val="0"/>
            <w:vAlign w:val="center"/>
          </w:tcPr>
          <w:p w14:paraId="2A1DF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54ABECE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5915C970">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38D09C6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000000"/>
                <w:szCs w:val="21"/>
                <w:u w:val="none"/>
                <w:lang w:val="en-US" w:eastAsia="zh-CN"/>
              </w:rPr>
              <w:t>0.2</w:t>
            </w:r>
          </w:p>
        </w:tc>
        <w:tc>
          <w:tcPr>
            <w:tcW w:w="1667" w:type="dxa"/>
            <w:noWrap w:val="0"/>
            <w:vAlign w:val="center"/>
          </w:tcPr>
          <w:p w14:paraId="1FA07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5BF9FBB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000000"/>
                <w:szCs w:val="21"/>
                <w:u w:val="none"/>
                <w:lang w:val="en-US" w:eastAsia="zh-CN"/>
              </w:rPr>
              <w:t>0.2</w:t>
            </w:r>
          </w:p>
        </w:tc>
        <w:tc>
          <w:tcPr>
            <w:tcW w:w="1122" w:type="dxa"/>
            <w:shd w:val="clear" w:color="auto" w:fill="auto"/>
            <w:noWrap w:val="0"/>
            <w:vAlign w:val="center"/>
          </w:tcPr>
          <w:p w14:paraId="7AFA019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000000"/>
                <w:szCs w:val="21"/>
                <w:u w:val="none"/>
                <w:lang w:val="en-US" w:eastAsia="zh-CN"/>
              </w:rPr>
              <w:t>+0.2</w:t>
            </w:r>
          </w:p>
        </w:tc>
      </w:tr>
      <w:tr w14:paraId="66162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1" w:type="dxa"/>
            <w:vMerge w:val="continue"/>
            <w:noWrap w:val="0"/>
            <w:vAlign w:val="center"/>
          </w:tcPr>
          <w:p w14:paraId="0E97C25E">
            <w:pPr>
              <w:pStyle w:val="80"/>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rPr>
                <w:rFonts w:hint="eastAsia" w:ascii="Times New Roman" w:hAnsi="Times New Roman" w:eastAsia="宋体" w:cs="Times New Roman"/>
                <w:snapToGrid w:val="0"/>
                <w:color w:val="auto"/>
                <w:kern w:val="21"/>
                <w:sz w:val="21"/>
                <w:szCs w:val="21"/>
                <w:highlight w:val="none"/>
                <w:lang w:val="en-US" w:eastAsia="zh-CN"/>
              </w:rPr>
            </w:pPr>
          </w:p>
        </w:tc>
        <w:tc>
          <w:tcPr>
            <w:tcW w:w="2153" w:type="dxa"/>
            <w:noWrap w:val="0"/>
            <w:vAlign w:val="center"/>
          </w:tcPr>
          <w:p w14:paraId="394132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bidi="ar"/>
              </w:rPr>
            </w:pPr>
            <w:r>
              <w:rPr>
                <w:rFonts w:hint="eastAsia" w:ascii="Times New Roman" w:hAnsi="Times New Roman" w:cs="Times New Roman"/>
                <w:color w:val="000000"/>
                <w:szCs w:val="21"/>
                <w:u w:val="none"/>
              </w:rPr>
              <w:t>废</w:t>
            </w:r>
            <w:r>
              <w:rPr>
                <w:rFonts w:hint="eastAsia" w:cs="Times New Roman"/>
                <w:color w:val="000000"/>
                <w:szCs w:val="21"/>
                <w:u w:val="none"/>
                <w:lang w:val="en-US" w:eastAsia="zh-CN"/>
              </w:rPr>
              <w:t>沸石转轮</w:t>
            </w:r>
          </w:p>
        </w:tc>
        <w:tc>
          <w:tcPr>
            <w:tcW w:w="1630" w:type="dxa"/>
            <w:noWrap w:val="0"/>
            <w:vAlign w:val="center"/>
          </w:tcPr>
          <w:p w14:paraId="75478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382" w:type="dxa"/>
            <w:noWrap w:val="0"/>
            <w:vAlign w:val="center"/>
          </w:tcPr>
          <w:p w14:paraId="1240E6B4">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19" w:type="dxa"/>
            <w:noWrap w:val="0"/>
            <w:vAlign w:val="center"/>
          </w:tcPr>
          <w:p w14:paraId="33E7E446">
            <w:pPr>
              <w:keepNext w:val="0"/>
              <w:keepLines w:val="0"/>
              <w:pageBreakBefore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w:t>
            </w:r>
          </w:p>
        </w:tc>
        <w:tc>
          <w:tcPr>
            <w:tcW w:w="1602" w:type="dxa"/>
            <w:noWrap w:val="0"/>
            <w:vAlign w:val="center"/>
          </w:tcPr>
          <w:p w14:paraId="0D67D4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 w:val="21"/>
                <w:szCs w:val="21"/>
                <w:highlight w:val="none"/>
                <w:lang w:val="en-US" w:eastAsia="zh-CN"/>
              </w:rPr>
              <w:t>6.4t/次</w:t>
            </w:r>
          </w:p>
        </w:tc>
        <w:tc>
          <w:tcPr>
            <w:tcW w:w="1667" w:type="dxa"/>
            <w:noWrap w:val="0"/>
            <w:vAlign w:val="center"/>
          </w:tcPr>
          <w:p w14:paraId="6F064D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snapToGrid w:val="0"/>
                <w:color w:val="auto"/>
                <w:kern w:val="21"/>
                <w:sz w:val="21"/>
                <w:szCs w:val="21"/>
                <w:highlight w:val="none"/>
                <w:lang w:val="en-US" w:eastAsia="zh-CN"/>
              </w:rPr>
              <w:t>/</w:t>
            </w:r>
          </w:p>
        </w:tc>
        <w:tc>
          <w:tcPr>
            <w:tcW w:w="1774" w:type="dxa"/>
            <w:shd w:val="clear" w:color="auto" w:fill="auto"/>
            <w:noWrap w:val="0"/>
            <w:vAlign w:val="center"/>
          </w:tcPr>
          <w:p w14:paraId="4BD0DD1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6.4t/次</w:t>
            </w:r>
          </w:p>
        </w:tc>
        <w:tc>
          <w:tcPr>
            <w:tcW w:w="1122" w:type="dxa"/>
            <w:shd w:val="clear" w:color="auto" w:fill="auto"/>
            <w:noWrap w:val="0"/>
            <w:vAlign w:val="center"/>
          </w:tcPr>
          <w:p w14:paraId="2040BCD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rPr>
              <w:t>+6.4t/次</w:t>
            </w:r>
          </w:p>
        </w:tc>
      </w:tr>
    </w:tbl>
    <w:p w14:paraId="676E93CF">
      <w:pPr>
        <w:pStyle w:val="80"/>
        <w:keepNext w:val="0"/>
        <w:keepLines w:val="0"/>
        <w:pageBreakBefore w:val="0"/>
        <w:widowControl w:val="0"/>
        <w:kinsoku/>
        <w:wordWrap/>
        <w:overflowPunct/>
        <w:topLinePunct w:val="0"/>
        <w:autoSpaceDE/>
        <w:autoSpaceDN/>
        <w:bidi w:val="0"/>
        <w:adjustRightInd w:val="0"/>
        <w:snapToGrid/>
        <w:spacing w:beforeLines="0" w:afterLines="0" w:line="240" w:lineRule="auto"/>
        <w:jc w:val="lef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sectPr>
      <w:footerReference r:id="rId5" w:type="default"/>
      <w:pgSz w:w="16838" w:h="11906" w:orient="landscape"/>
      <w:pgMar w:top="850" w:right="1417" w:bottom="850" w:left="1417"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C2C9182-8037-4BDC-9FAF-8B0D399E6944}"/>
  </w:font>
  <w:font w:name="黑体">
    <w:panose1 w:val="02010609060101010101"/>
    <w:charset w:val="86"/>
    <w:family w:val="auto"/>
    <w:pitch w:val="default"/>
    <w:sig w:usb0="800002BF" w:usb1="38CF7CFA" w:usb2="00000016" w:usb3="00000000" w:csb0="00040001" w:csb1="00000000"/>
    <w:embedRegular r:id="rId2" w:fontKey="{79A9C499-3A2E-4F12-9C40-EE47CEAEAC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D3CBE83-F86D-42E9-94A0-C8491F1AF5A2}"/>
  </w:font>
  <w:font w:name="新宋体-18030">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华文宋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embedRegular r:id="rId4" w:fontKey="{2365FD36-F477-4F3C-85F4-21E9E0EE3574}"/>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5" w:fontKey="{FF5D4E5F-BBA0-4C53-A2B9-E2F935A5BB99}"/>
  </w:font>
  <w:font w:name="仿宋">
    <w:panose1 w:val="02010609060101010101"/>
    <w:charset w:val="86"/>
    <w:family w:val="auto"/>
    <w:pitch w:val="default"/>
    <w:sig w:usb0="800002BF" w:usb1="38CF7CFA" w:usb2="00000016" w:usb3="00000000" w:csb0="00040001" w:csb1="00000000"/>
    <w:embedRegular r:id="rId6" w:fontKey="{39DD8130-CEAF-4314-8B25-9338A40B10D3}"/>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方正小标宋_GBK">
    <w:altName w:val="方正小标宋_GBK"/>
    <w:panose1 w:val="02000000000000000000"/>
    <w:charset w:val="86"/>
    <w:family w:val="script"/>
    <w:pitch w:val="default"/>
    <w:sig w:usb0="A00002BF" w:usb1="38CF7CFA" w:usb2="00082016" w:usb3="00000000" w:csb0="00040001" w:csb1="00000000"/>
    <w:embedRegular r:id="rId7" w:fontKey="{873C6D0E-1DB5-473D-80EC-085C47581421}"/>
  </w:font>
  <w:font w:name="华文仿宋">
    <w:panose1 w:val="02010600040101010101"/>
    <w:charset w:val="86"/>
    <w:family w:val="auto"/>
    <w:pitch w:val="default"/>
    <w:sig w:usb0="00000287" w:usb1="080F0000" w:usb2="00000000" w:usb3="00000000" w:csb0="0004009F" w:csb1="DFD70000"/>
    <w:embedRegular r:id="rId8" w:fontKey="{4F970479-E3DA-4719-B0C8-3E60E7E72F25}"/>
  </w:font>
  <w:font w:name="Wingdings 2">
    <w:panose1 w:val="05020102010507070707"/>
    <w:charset w:val="02"/>
    <w:family w:val="auto"/>
    <w:pitch w:val="default"/>
    <w:sig w:usb0="00000000" w:usb1="00000000" w:usb2="00000000" w:usb3="00000000" w:csb0="80000000" w:csb1="00000000"/>
    <w:embedRegular r:id="rId9" w:fontKey="{B1C6CD93-B806-482F-AFD2-9001737574A7}"/>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AA4B8">
    <w:pPr>
      <w:pStyle w:val="3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217D5">
    <w:pPr>
      <w:pStyle w:val="3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9F5FE3">
                          <w:pPr>
                            <w:pStyle w:val="3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NWwqPgAQAAwgMAAA4AAAAA&#10;AAAAAQAgAAAAHgEAAGRycy9lMm9Eb2MueG1sUEsFBgAAAAAGAAYAWQEAAHAFAAAAAA==&#10;">
              <v:fill on="f" focussize="0,0"/>
              <v:stroke on="f"/>
              <v:imagedata o:title=""/>
              <o:lock v:ext="edit" aspectratio="f"/>
              <v:textbox inset="0mm,0mm,0mm,0mm" style="mso-fit-shape-to-text:t;">
                <w:txbxContent>
                  <w:p w14:paraId="069F5FE3">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22ED3">
    <w:pPr>
      <w:pStyle w:val="33"/>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B434F9">
                          <w:pPr>
                            <w:pStyle w:val="33"/>
                          </w:pPr>
                          <w:r>
                            <w:fldChar w:fldCharType="begin"/>
                          </w:r>
                          <w:r>
                            <w:instrText xml:space="preserve"> PAGE  \* MERGEFORMAT </w:instrText>
                          </w:r>
                          <w:r>
                            <w:fldChar w:fldCharType="separate"/>
                          </w:r>
                          <w:r>
                            <w:t>83</w:t>
                          </w:r>
                          <w:r>
                            <w:fldChar w:fldCharType="end"/>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lh87T4QEAAMIDAAAOAAAA&#10;AAAAAAEAIAAAAB4BAABkcnMvZTJvRG9jLnhtbFBLBQYAAAAABgAGAFkBAABxBQAAAAA=&#10;">
              <v:fill on="f" focussize="0,0"/>
              <v:stroke on="f"/>
              <v:imagedata o:title=""/>
              <o:lock v:ext="edit" aspectratio="f"/>
              <v:textbox inset="0mm,0mm,0mm,0mm" style="mso-fit-shape-to-text:t;">
                <w:txbxContent>
                  <w:p w14:paraId="29B434F9">
                    <w:pPr>
                      <w:pStyle w:val="33"/>
                    </w:pPr>
                    <w:r>
                      <w:fldChar w:fldCharType="begin"/>
                    </w:r>
                    <w:r>
                      <w:instrText xml:space="preserve"> PAGE  \* MERGEFORMAT </w:instrText>
                    </w:r>
                    <w:r>
                      <w:fldChar w:fldCharType="separate"/>
                    </w:r>
                    <w:r>
                      <w:t>83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FE12C"/>
    <w:multiLevelType w:val="singleLevel"/>
    <w:tmpl w:val="80CFE12C"/>
    <w:lvl w:ilvl="0" w:tentative="0">
      <w:start w:val="1"/>
      <w:numFmt w:val="bullet"/>
      <w:pStyle w:val="29"/>
      <w:lvlText w:val=""/>
      <w:lvlJc w:val="left"/>
      <w:pPr>
        <w:tabs>
          <w:tab w:val="left" w:pos="2040"/>
        </w:tabs>
        <w:ind w:left="2040" w:hanging="360"/>
      </w:pPr>
      <w:rPr>
        <w:rFonts w:hint="default" w:ascii="Wingdings" w:hAnsi="Wingdings"/>
      </w:rPr>
    </w:lvl>
  </w:abstractNum>
  <w:abstractNum w:abstractNumId="1">
    <w:nsid w:val="B024EEF5"/>
    <w:multiLevelType w:val="singleLevel"/>
    <w:tmpl w:val="B024EEF5"/>
    <w:lvl w:ilvl="0" w:tentative="0">
      <w:start w:val="1"/>
      <w:numFmt w:val="decimal"/>
      <w:suff w:val="nothing"/>
      <w:lvlText w:val="（%1）"/>
      <w:lvlJc w:val="left"/>
    </w:lvl>
  </w:abstractNum>
  <w:abstractNum w:abstractNumId="2">
    <w:nsid w:val="FAB97408"/>
    <w:multiLevelType w:val="singleLevel"/>
    <w:tmpl w:val="FAB97408"/>
    <w:lvl w:ilvl="0" w:tentative="0">
      <w:start w:val="1"/>
      <w:numFmt w:val="decimal"/>
      <w:suff w:val="nothing"/>
      <w:lvlText w:val="%1、"/>
      <w:lvlJc w:val="left"/>
    </w:lvl>
  </w:abstractNum>
  <w:abstractNum w:abstractNumId="3">
    <w:nsid w:val="04745453"/>
    <w:multiLevelType w:val="singleLevel"/>
    <w:tmpl w:val="04745453"/>
    <w:lvl w:ilvl="0" w:tentative="0">
      <w:start w:val="1"/>
      <w:numFmt w:val="decimal"/>
      <w:suff w:val="nothing"/>
      <w:lvlText w:val="（%1）"/>
      <w:lvlJc w:val="left"/>
    </w:lvl>
  </w:abstractNum>
  <w:abstractNum w:abstractNumId="4">
    <w:nsid w:val="3D431E5B"/>
    <w:multiLevelType w:val="multilevel"/>
    <w:tmpl w:val="3D431E5B"/>
    <w:lvl w:ilvl="0" w:tentative="0">
      <w:start w:val="1"/>
      <w:numFmt w:val="decimal"/>
      <w:lvlText w:val="附件%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B8351AB"/>
    <w:multiLevelType w:val="singleLevel"/>
    <w:tmpl w:val="4B8351AB"/>
    <w:lvl w:ilvl="0" w:tentative="0">
      <w:start w:val="10"/>
      <w:numFmt w:val="decimal"/>
      <w:suff w:val="nothing"/>
      <w:lvlText w:val="%1、"/>
      <w:lvlJc w:val="left"/>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ZTc3OWJiMGNlN2Y1MzkzYjNjNmQ1NDA1OTJmZTIifQ=="/>
  </w:docVars>
  <w:rsids>
    <w:rsidRoot w:val="00172A27"/>
    <w:rsid w:val="0000545C"/>
    <w:rsid w:val="000060B3"/>
    <w:rsid w:val="00017500"/>
    <w:rsid w:val="0003365A"/>
    <w:rsid w:val="0004364B"/>
    <w:rsid w:val="0004380E"/>
    <w:rsid w:val="00052C97"/>
    <w:rsid w:val="00053E24"/>
    <w:rsid w:val="00061B1F"/>
    <w:rsid w:val="000733C4"/>
    <w:rsid w:val="00074783"/>
    <w:rsid w:val="00077076"/>
    <w:rsid w:val="0008070B"/>
    <w:rsid w:val="000810AC"/>
    <w:rsid w:val="00081A02"/>
    <w:rsid w:val="00081E51"/>
    <w:rsid w:val="00082231"/>
    <w:rsid w:val="00092D38"/>
    <w:rsid w:val="0009377B"/>
    <w:rsid w:val="00094D35"/>
    <w:rsid w:val="000A1087"/>
    <w:rsid w:val="000A20C9"/>
    <w:rsid w:val="000B058F"/>
    <w:rsid w:val="000B4467"/>
    <w:rsid w:val="000B4DB9"/>
    <w:rsid w:val="000C09AC"/>
    <w:rsid w:val="000C767F"/>
    <w:rsid w:val="000D0FF1"/>
    <w:rsid w:val="000D5A44"/>
    <w:rsid w:val="000D69F1"/>
    <w:rsid w:val="000E3ED2"/>
    <w:rsid w:val="000E4EED"/>
    <w:rsid w:val="000F5A73"/>
    <w:rsid w:val="00112DDA"/>
    <w:rsid w:val="00125D9A"/>
    <w:rsid w:val="001313D7"/>
    <w:rsid w:val="00131578"/>
    <w:rsid w:val="00131F42"/>
    <w:rsid w:val="001357F1"/>
    <w:rsid w:val="00140FA8"/>
    <w:rsid w:val="00142FEB"/>
    <w:rsid w:val="00143A2D"/>
    <w:rsid w:val="00145A41"/>
    <w:rsid w:val="00151675"/>
    <w:rsid w:val="001516AC"/>
    <w:rsid w:val="00157435"/>
    <w:rsid w:val="00161108"/>
    <w:rsid w:val="00167159"/>
    <w:rsid w:val="00170E55"/>
    <w:rsid w:val="00173067"/>
    <w:rsid w:val="0017504D"/>
    <w:rsid w:val="0017671A"/>
    <w:rsid w:val="00177422"/>
    <w:rsid w:val="00182131"/>
    <w:rsid w:val="00184590"/>
    <w:rsid w:val="001870D1"/>
    <w:rsid w:val="0018781E"/>
    <w:rsid w:val="0019262D"/>
    <w:rsid w:val="001A1B35"/>
    <w:rsid w:val="001A48A2"/>
    <w:rsid w:val="001A6F61"/>
    <w:rsid w:val="001B4B3F"/>
    <w:rsid w:val="001B50E5"/>
    <w:rsid w:val="001B72B8"/>
    <w:rsid w:val="001B7B80"/>
    <w:rsid w:val="001C69B3"/>
    <w:rsid w:val="001D5595"/>
    <w:rsid w:val="001D7874"/>
    <w:rsid w:val="001D7F22"/>
    <w:rsid w:val="001E105B"/>
    <w:rsid w:val="001F0F17"/>
    <w:rsid w:val="001F3347"/>
    <w:rsid w:val="001F69E4"/>
    <w:rsid w:val="001F7905"/>
    <w:rsid w:val="00202E80"/>
    <w:rsid w:val="002117FF"/>
    <w:rsid w:val="002125B4"/>
    <w:rsid w:val="002155B8"/>
    <w:rsid w:val="00224839"/>
    <w:rsid w:val="002249B2"/>
    <w:rsid w:val="00226574"/>
    <w:rsid w:val="002278EC"/>
    <w:rsid w:val="00227EE4"/>
    <w:rsid w:val="0023280E"/>
    <w:rsid w:val="002358C4"/>
    <w:rsid w:val="002377D1"/>
    <w:rsid w:val="0023791C"/>
    <w:rsid w:val="00242624"/>
    <w:rsid w:val="002506BC"/>
    <w:rsid w:val="00254345"/>
    <w:rsid w:val="00264557"/>
    <w:rsid w:val="0026794A"/>
    <w:rsid w:val="00267A67"/>
    <w:rsid w:val="00273FE1"/>
    <w:rsid w:val="002805AB"/>
    <w:rsid w:val="00280AD6"/>
    <w:rsid w:val="00282943"/>
    <w:rsid w:val="00284204"/>
    <w:rsid w:val="00285CFE"/>
    <w:rsid w:val="00291773"/>
    <w:rsid w:val="00297DAF"/>
    <w:rsid w:val="002A168C"/>
    <w:rsid w:val="002A3DC7"/>
    <w:rsid w:val="002A5541"/>
    <w:rsid w:val="002A5F73"/>
    <w:rsid w:val="002B09C6"/>
    <w:rsid w:val="002B49E2"/>
    <w:rsid w:val="002B7B00"/>
    <w:rsid w:val="002B7C44"/>
    <w:rsid w:val="002C0A2B"/>
    <w:rsid w:val="002C2B17"/>
    <w:rsid w:val="002D2B1E"/>
    <w:rsid w:val="002D3DD0"/>
    <w:rsid w:val="002E1F3A"/>
    <w:rsid w:val="002E298A"/>
    <w:rsid w:val="002E6C18"/>
    <w:rsid w:val="002F6754"/>
    <w:rsid w:val="00301978"/>
    <w:rsid w:val="00303057"/>
    <w:rsid w:val="0030332C"/>
    <w:rsid w:val="003051C2"/>
    <w:rsid w:val="00312296"/>
    <w:rsid w:val="00314A34"/>
    <w:rsid w:val="00314F0E"/>
    <w:rsid w:val="00321D8E"/>
    <w:rsid w:val="00325928"/>
    <w:rsid w:val="00332863"/>
    <w:rsid w:val="00332C07"/>
    <w:rsid w:val="0033684D"/>
    <w:rsid w:val="00337B42"/>
    <w:rsid w:val="00337F94"/>
    <w:rsid w:val="00340586"/>
    <w:rsid w:val="00341B42"/>
    <w:rsid w:val="00342994"/>
    <w:rsid w:val="0034348F"/>
    <w:rsid w:val="00343F49"/>
    <w:rsid w:val="00345E1C"/>
    <w:rsid w:val="003516F0"/>
    <w:rsid w:val="00356653"/>
    <w:rsid w:val="0035743F"/>
    <w:rsid w:val="00357BE2"/>
    <w:rsid w:val="0036170C"/>
    <w:rsid w:val="00363C67"/>
    <w:rsid w:val="00366E0F"/>
    <w:rsid w:val="00374617"/>
    <w:rsid w:val="00381A72"/>
    <w:rsid w:val="00384676"/>
    <w:rsid w:val="00390857"/>
    <w:rsid w:val="003A4BF3"/>
    <w:rsid w:val="003B420D"/>
    <w:rsid w:val="003C28DE"/>
    <w:rsid w:val="003C4C5F"/>
    <w:rsid w:val="003C6878"/>
    <w:rsid w:val="003C6C16"/>
    <w:rsid w:val="003D2582"/>
    <w:rsid w:val="003D465E"/>
    <w:rsid w:val="003D71B2"/>
    <w:rsid w:val="003D794D"/>
    <w:rsid w:val="003E3058"/>
    <w:rsid w:val="003E3F98"/>
    <w:rsid w:val="003E76A9"/>
    <w:rsid w:val="003F0809"/>
    <w:rsid w:val="003F6A8C"/>
    <w:rsid w:val="003F755C"/>
    <w:rsid w:val="004026E4"/>
    <w:rsid w:val="004039E2"/>
    <w:rsid w:val="00406F01"/>
    <w:rsid w:val="004149AC"/>
    <w:rsid w:val="00416D50"/>
    <w:rsid w:val="00416FD5"/>
    <w:rsid w:val="00417772"/>
    <w:rsid w:val="00420E6A"/>
    <w:rsid w:val="004214F7"/>
    <w:rsid w:val="004224DA"/>
    <w:rsid w:val="00425791"/>
    <w:rsid w:val="00425A9E"/>
    <w:rsid w:val="00426D6B"/>
    <w:rsid w:val="00431E6C"/>
    <w:rsid w:val="004339F6"/>
    <w:rsid w:val="00433CE7"/>
    <w:rsid w:val="00433DB2"/>
    <w:rsid w:val="00452738"/>
    <w:rsid w:val="00456091"/>
    <w:rsid w:val="00464B69"/>
    <w:rsid w:val="00466321"/>
    <w:rsid w:val="00481FD9"/>
    <w:rsid w:val="00484B9B"/>
    <w:rsid w:val="004855F6"/>
    <w:rsid w:val="0048661E"/>
    <w:rsid w:val="00494670"/>
    <w:rsid w:val="00495586"/>
    <w:rsid w:val="004A3823"/>
    <w:rsid w:val="004B1F36"/>
    <w:rsid w:val="004D586F"/>
    <w:rsid w:val="004E4326"/>
    <w:rsid w:val="004E6946"/>
    <w:rsid w:val="004F022F"/>
    <w:rsid w:val="004F1AD8"/>
    <w:rsid w:val="004F4C57"/>
    <w:rsid w:val="005039CB"/>
    <w:rsid w:val="0050558F"/>
    <w:rsid w:val="00506286"/>
    <w:rsid w:val="00507655"/>
    <w:rsid w:val="00510813"/>
    <w:rsid w:val="005118DE"/>
    <w:rsid w:val="00511990"/>
    <w:rsid w:val="00511DE0"/>
    <w:rsid w:val="00514870"/>
    <w:rsid w:val="00514B9B"/>
    <w:rsid w:val="00517F02"/>
    <w:rsid w:val="00524303"/>
    <w:rsid w:val="005253CF"/>
    <w:rsid w:val="005258A2"/>
    <w:rsid w:val="005401AE"/>
    <w:rsid w:val="00542E07"/>
    <w:rsid w:val="00545424"/>
    <w:rsid w:val="005458C6"/>
    <w:rsid w:val="00554A7B"/>
    <w:rsid w:val="0055572C"/>
    <w:rsid w:val="00557F4E"/>
    <w:rsid w:val="0056106A"/>
    <w:rsid w:val="00564E10"/>
    <w:rsid w:val="005720AE"/>
    <w:rsid w:val="00577127"/>
    <w:rsid w:val="005832DD"/>
    <w:rsid w:val="00590942"/>
    <w:rsid w:val="00594D77"/>
    <w:rsid w:val="005969E4"/>
    <w:rsid w:val="005972D5"/>
    <w:rsid w:val="005A06B7"/>
    <w:rsid w:val="005A1759"/>
    <w:rsid w:val="005A4174"/>
    <w:rsid w:val="005A68A7"/>
    <w:rsid w:val="005C4207"/>
    <w:rsid w:val="005D36AB"/>
    <w:rsid w:val="005D51D4"/>
    <w:rsid w:val="005E03AC"/>
    <w:rsid w:val="005E59F4"/>
    <w:rsid w:val="005F36B8"/>
    <w:rsid w:val="005F7192"/>
    <w:rsid w:val="005F75FF"/>
    <w:rsid w:val="00617CC3"/>
    <w:rsid w:val="006305E3"/>
    <w:rsid w:val="006377A6"/>
    <w:rsid w:val="00637A3D"/>
    <w:rsid w:val="006411EF"/>
    <w:rsid w:val="00643036"/>
    <w:rsid w:val="00652141"/>
    <w:rsid w:val="00656F3D"/>
    <w:rsid w:val="006606C2"/>
    <w:rsid w:val="00664EAF"/>
    <w:rsid w:val="006748B8"/>
    <w:rsid w:val="0067631F"/>
    <w:rsid w:val="006775C3"/>
    <w:rsid w:val="00684C34"/>
    <w:rsid w:val="0069290A"/>
    <w:rsid w:val="0069775A"/>
    <w:rsid w:val="00697813"/>
    <w:rsid w:val="006A3738"/>
    <w:rsid w:val="006A3EE8"/>
    <w:rsid w:val="006A72BF"/>
    <w:rsid w:val="006B03F2"/>
    <w:rsid w:val="006B37DC"/>
    <w:rsid w:val="006B4F68"/>
    <w:rsid w:val="006C0592"/>
    <w:rsid w:val="006C090C"/>
    <w:rsid w:val="006C272E"/>
    <w:rsid w:val="006C5479"/>
    <w:rsid w:val="006C790F"/>
    <w:rsid w:val="006D13B5"/>
    <w:rsid w:val="006E12FF"/>
    <w:rsid w:val="006E27EB"/>
    <w:rsid w:val="006E451E"/>
    <w:rsid w:val="006E607E"/>
    <w:rsid w:val="00706C5D"/>
    <w:rsid w:val="00710265"/>
    <w:rsid w:val="007262DF"/>
    <w:rsid w:val="00732922"/>
    <w:rsid w:val="007415A4"/>
    <w:rsid w:val="0075162E"/>
    <w:rsid w:val="00754034"/>
    <w:rsid w:val="00754556"/>
    <w:rsid w:val="00756556"/>
    <w:rsid w:val="00756BB5"/>
    <w:rsid w:val="0076121A"/>
    <w:rsid w:val="007618C4"/>
    <w:rsid w:val="00765C9A"/>
    <w:rsid w:val="007678F9"/>
    <w:rsid w:val="00767980"/>
    <w:rsid w:val="00770B19"/>
    <w:rsid w:val="0077463F"/>
    <w:rsid w:val="007836EA"/>
    <w:rsid w:val="00784CDA"/>
    <w:rsid w:val="007906C4"/>
    <w:rsid w:val="00792552"/>
    <w:rsid w:val="007940EA"/>
    <w:rsid w:val="007967E8"/>
    <w:rsid w:val="007A194B"/>
    <w:rsid w:val="007A2170"/>
    <w:rsid w:val="007A22BF"/>
    <w:rsid w:val="007A3323"/>
    <w:rsid w:val="007A59CB"/>
    <w:rsid w:val="007A5FA8"/>
    <w:rsid w:val="007B28F9"/>
    <w:rsid w:val="007B39E9"/>
    <w:rsid w:val="007B444A"/>
    <w:rsid w:val="007B72B8"/>
    <w:rsid w:val="007B7A58"/>
    <w:rsid w:val="007C21B5"/>
    <w:rsid w:val="007D218A"/>
    <w:rsid w:val="007D78F7"/>
    <w:rsid w:val="007E4BD2"/>
    <w:rsid w:val="007E5D80"/>
    <w:rsid w:val="00801393"/>
    <w:rsid w:val="00802F88"/>
    <w:rsid w:val="008041C6"/>
    <w:rsid w:val="0081293E"/>
    <w:rsid w:val="00815465"/>
    <w:rsid w:val="00817E9A"/>
    <w:rsid w:val="00817F6E"/>
    <w:rsid w:val="00824061"/>
    <w:rsid w:val="008306BD"/>
    <w:rsid w:val="00831A80"/>
    <w:rsid w:val="00833743"/>
    <w:rsid w:val="008340A4"/>
    <w:rsid w:val="00836858"/>
    <w:rsid w:val="00840D06"/>
    <w:rsid w:val="0084304D"/>
    <w:rsid w:val="00854E78"/>
    <w:rsid w:val="00870886"/>
    <w:rsid w:val="0087115A"/>
    <w:rsid w:val="0087135F"/>
    <w:rsid w:val="00872D94"/>
    <w:rsid w:val="0087371A"/>
    <w:rsid w:val="008763BC"/>
    <w:rsid w:val="00880364"/>
    <w:rsid w:val="00891592"/>
    <w:rsid w:val="00891E9E"/>
    <w:rsid w:val="008A2F68"/>
    <w:rsid w:val="008A4246"/>
    <w:rsid w:val="008B4FA6"/>
    <w:rsid w:val="008B5282"/>
    <w:rsid w:val="008B7C17"/>
    <w:rsid w:val="008C2D01"/>
    <w:rsid w:val="008C40E6"/>
    <w:rsid w:val="008D0F7A"/>
    <w:rsid w:val="008D2C22"/>
    <w:rsid w:val="008D68E4"/>
    <w:rsid w:val="008E0506"/>
    <w:rsid w:val="008E0CFF"/>
    <w:rsid w:val="008E37B7"/>
    <w:rsid w:val="008E4DEB"/>
    <w:rsid w:val="008E5D6B"/>
    <w:rsid w:val="008E76F0"/>
    <w:rsid w:val="008F15FE"/>
    <w:rsid w:val="008F2D29"/>
    <w:rsid w:val="008F5187"/>
    <w:rsid w:val="008F60D8"/>
    <w:rsid w:val="008F68B0"/>
    <w:rsid w:val="008F6FCF"/>
    <w:rsid w:val="00900DF1"/>
    <w:rsid w:val="00902727"/>
    <w:rsid w:val="0090312B"/>
    <w:rsid w:val="00912DA8"/>
    <w:rsid w:val="00916C8F"/>
    <w:rsid w:val="0091736D"/>
    <w:rsid w:val="00920F15"/>
    <w:rsid w:val="0093037A"/>
    <w:rsid w:val="0094154D"/>
    <w:rsid w:val="00944B37"/>
    <w:rsid w:val="00950D53"/>
    <w:rsid w:val="0095155F"/>
    <w:rsid w:val="00954429"/>
    <w:rsid w:val="009563CE"/>
    <w:rsid w:val="009649A4"/>
    <w:rsid w:val="009708E5"/>
    <w:rsid w:val="009732B7"/>
    <w:rsid w:val="00976328"/>
    <w:rsid w:val="0097680D"/>
    <w:rsid w:val="00977322"/>
    <w:rsid w:val="00982438"/>
    <w:rsid w:val="009836B4"/>
    <w:rsid w:val="0098404C"/>
    <w:rsid w:val="00985283"/>
    <w:rsid w:val="009921C0"/>
    <w:rsid w:val="00995992"/>
    <w:rsid w:val="009A03E5"/>
    <w:rsid w:val="009A0F3B"/>
    <w:rsid w:val="009A1BB4"/>
    <w:rsid w:val="009A2628"/>
    <w:rsid w:val="009A3200"/>
    <w:rsid w:val="009A5D7A"/>
    <w:rsid w:val="009B0897"/>
    <w:rsid w:val="009B258B"/>
    <w:rsid w:val="009B729D"/>
    <w:rsid w:val="009B7BD9"/>
    <w:rsid w:val="009C7DD5"/>
    <w:rsid w:val="009E0366"/>
    <w:rsid w:val="009E16C0"/>
    <w:rsid w:val="009E227D"/>
    <w:rsid w:val="009E5019"/>
    <w:rsid w:val="009E674B"/>
    <w:rsid w:val="009F7862"/>
    <w:rsid w:val="00A04F1B"/>
    <w:rsid w:val="00A0501B"/>
    <w:rsid w:val="00A14947"/>
    <w:rsid w:val="00A2083F"/>
    <w:rsid w:val="00A226C3"/>
    <w:rsid w:val="00A275A9"/>
    <w:rsid w:val="00A32A83"/>
    <w:rsid w:val="00A3348B"/>
    <w:rsid w:val="00A368DB"/>
    <w:rsid w:val="00A40483"/>
    <w:rsid w:val="00A423AA"/>
    <w:rsid w:val="00A440C8"/>
    <w:rsid w:val="00A5024A"/>
    <w:rsid w:val="00A53EC6"/>
    <w:rsid w:val="00A55C0F"/>
    <w:rsid w:val="00A63BAE"/>
    <w:rsid w:val="00A67E0F"/>
    <w:rsid w:val="00A7790F"/>
    <w:rsid w:val="00A83FB3"/>
    <w:rsid w:val="00A8713F"/>
    <w:rsid w:val="00A90BA1"/>
    <w:rsid w:val="00A97A9A"/>
    <w:rsid w:val="00AA0671"/>
    <w:rsid w:val="00AA2531"/>
    <w:rsid w:val="00AB1E09"/>
    <w:rsid w:val="00AB5330"/>
    <w:rsid w:val="00AB7747"/>
    <w:rsid w:val="00AC14CE"/>
    <w:rsid w:val="00AC2A56"/>
    <w:rsid w:val="00AD028A"/>
    <w:rsid w:val="00AD055E"/>
    <w:rsid w:val="00AD47A7"/>
    <w:rsid w:val="00AD5FC7"/>
    <w:rsid w:val="00AD6722"/>
    <w:rsid w:val="00AF0CBF"/>
    <w:rsid w:val="00AF257F"/>
    <w:rsid w:val="00AF33CF"/>
    <w:rsid w:val="00AF4D50"/>
    <w:rsid w:val="00AF6179"/>
    <w:rsid w:val="00B1295A"/>
    <w:rsid w:val="00B20A45"/>
    <w:rsid w:val="00B22C5C"/>
    <w:rsid w:val="00B24F30"/>
    <w:rsid w:val="00B25017"/>
    <w:rsid w:val="00B31ABF"/>
    <w:rsid w:val="00B33BE3"/>
    <w:rsid w:val="00B4352B"/>
    <w:rsid w:val="00B53B5D"/>
    <w:rsid w:val="00B5725D"/>
    <w:rsid w:val="00B6055E"/>
    <w:rsid w:val="00B6317D"/>
    <w:rsid w:val="00B73A50"/>
    <w:rsid w:val="00B7723F"/>
    <w:rsid w:val="00B80534"/>
    <w:rsid w:val="00B8179F"/>
    <w:rsid w:val="00B83436"/>
    <w:rsid w:val="00B8433C"/>
    <w:rsid w:val="00B87491"/>
    <w:rsid w:val="00BA29E9"/>
    <w:rsid w:val="00BA502B"/>
    <w:rsid w:val="00BA7142"/>
    <w:rsid w:val="00BB0B72"/>
    <w:rsid w:val="00BB237C"/>
    <w:rsid w:val="00BB41A3"/>
    <w:rsid w:val="00BC32DC"/>
    <w:rsid w:val="00BC35B6"/>
    <w:rsid w:val="00BC400A"/>
    <w:rsid w:val="00BD1B51"/>
    <w:rsid w:val="00BD2D62"/>
    <w:rsid w:val="00BD4596"/>
    <w:rsid w:val="00BE1405"/>
    <w:rsid w:val="00BE312D"/>
    <w:rsid w:val="00BE6A33"/>
    <w:rsid w:val="00BE6CBF"/>
    <w:rsid w:val="00BF1C20"/>
    <w:rsid w:val="00C0102A"/>
    <w:rsid w:val="00C05839"/>
    <w:rsid w:val="00C10578"/>
    <w:rsid w:val="00C11983"/>
    <w:rsid w:val="00C135BC"/>
    <w:rsid w:val="00C15C95"/>
    <w:rsid w:val="00C2596A"/>
    <w:rsid w:val="00C27537"/>
    <w:rsid w:val="00C328FE"/>
    <w:rsid w:val="00C32CC6"/>
    <w:rsid w:val="00C33507"/>
    <w:rsid w:val="00C3744E"/>
    <w:rsid w:val="00C43F8F"/>
    <w:rsid w:val="00C4409D"/>
    <w:rsid w:val="00C44E72"/>
    <w:rsid w:val="00C45A06"/>
    <w:rsid w:val="00C47E5B"/>
    <w:rsid w:val="00C53EC2"/>
    <w:rsid w:val="00C545FD"/>
    <w:rsid w:val="00C61E4B"/>
    <w:rsid w:val="00C64BFF"/>
    <w:rsid w:val="00C704E9"/>
    <w:rsid w:val="00C763C9"/>
    <w:rsid w:val="00C80057"/>
    <w:rsid w:val="00C810D0"/>
    <w:rsid w:val="00C82232"/>
    <w:rsid w:val="00C82913"/>
    <w:rsid w:val="00C92731"/>
    <w:rsid w:val="00C940F6"/>
    <w:rsid w:val="00C972B1"/>
    <w:rsid w:val="00CA2CCE"/>
    <w:rsid w:val="00CA43FD"/>
    <w:rsid w:val="00CA7EF8"/>
    <w:rsid w:val="00CB75C8"/>
    <w:rsid w:val="00CC2308"/>
    <w:rsid w:val="00CC32C8"/>
    <w:rsid w:val="00CC489B"/>
    <w:rsid w:val="00CD2BCD"/>
    <w:rsid w:val="00CD3A4C"/>
    <w:rsid w:val="00CD4EC7"/>
    <w:rsid w:val="00CE10E9"/>
    <w:rsid w:val="00CE2910"/>
    <w:rsid w:val="00CE5393"/>
    <w:rsid w:val="00CE7631"/>
    <w:rsid w:val="00CF05D4"/>
    <w:rsid w:val="00CF2386"/>
    <w:rsid w:val="00CF36BE"/>
    <w:rsid w:val="00CF6000"/>
    <w:rsid w:val="00D003F3"/>
    <w:rsid w:val="00D0364F"/>
    <w:rsid w:val="00D06834"/>
    <w:rsid w:val="00D15E74"/>
    <w:rsid w:val="00D2326B"/>
    <w:rsid w:val="00D258E7"/>
    <w:rsid w:val="00D271D6"/>
    <w:rsid w:val="00D3089A"/>
    <w:rsid w:val="00D308ED"/>
    <w:rsid w:val="00D32090"/>
    <w:rsid w:val="00D36D86"/>
    <w:rsid w:val="00D428AA"/>
    <w:rsid w:val="00D45227"/>
    <w:rsid w:val="00D4697C"/>
    <w:rsid w:val="00D50657"/>
    <w:rsid w:val="00D50A34"/>
    <w:rsid w:val="00D53EFA"/>
    <w:rsid w:val="00D66991"/>
    <w:rsid w:val="00D762B6"/>
    <w:rsid w:val="00D84DDD"/>
    <w:rsid w:val="00D94A7C"/>
    <w:rsid w:val="00D95896"/>
    <w:rsid w:val="00DB2983"/>
    <w:rsid w:val="00DB4B48"/>
    <w:rsid w:val="00DB50E7"/>
    <w:rsid w:val="00DB63C2"/>
    <w:rsid w:val="00DC1257"/>
    <w:rsid w:val="00DC3DC0"/>
    <w:rsid w:val="00DC591C"/>
    <w:rsid w:val="00DC5B2B"/>
    <w:rsid w:val="00DC7C97"/>
    <w:rsid w:val="00DD318D"/>
    <w:rsid w:val="00DE2C6A"/>
    <w:rsid w:val="00DF29DE"/>
    <w:rsid w:val="00DF2E12"/>
    <w:rsid w:val="00DF514A"/>
    <w:rsid w:val="00DF6690"/>
    <w:rsid w:val="00DF6804"/>
    <w:rsid w:val="00DF6927"/>
    <w:rsid w:val="00E0358D"/>
    <w:rsid w:val="00E03C1C"/>
    <w:rsid w:val="00E04323"/>
    <w:rsid w:val="00E070A2"/>
    <w:rsid w:val="00E17DB6"/>
    <w:rsid w:val="00E23323"/>
    <w:rsid w:val="00E2656A"/>
    <w:rsid w:val="00E412D0"/>
    <w:rsid w:val="00E556B4"/>
    <w:rsid w:val="00E56322"/>
    <w:rsid w:val="00E60982"/>
    <w:rsid w:val="00E62C62"/>
    <w:rsid w:val="00E654C1"/>
    <w:rsid w:val="00E65D97"/>
    <w:rsid w:val="00E72A5A"/>
    <w:rsid w:val="00E73354"/>
    <w:rsid w:val="00E829E9"/>
    <w:rsid w:val="00E859EC"/>
    <w:rsid w:val="00E9242D"/>
    <w:rsid w:val="00EB5207"/>
    <w:rsid w:val="00EB5255"/>
    <w:rsid w:val="00EB5C47"/>
    <w:rsid w:val="00ED0639"/>
    <w:rsid w:val="00ED079F"/>
    <w:rsid w:val="00EF0EC4"/>
    <w:rsid w:val="00EF3E4D"/>
    <w:rsid w:val="00EF4755"/>
    <w:rsid w:val="00EF7135"/>
    <w:rsid w:val="00EF7B42"/>
    <w:rsid w:val="00F027DB"/>
    <w:rsid w:val="00F14A7A"/>
    <w:rsid w:val="00F157C8"/>
    <w:rsid w:val="00F22985"/>
    <w:rsid w:val="00F25403"/>
    <w:rsid w:val="00F27A48"/>
    <w:rsid w:val="00F3383E"/>
    <w:rsid w:val="00F4319D"/>
    <w:rsid w:val="00F465A7"/>
    <w:rsid w:val="00F50B7C"/>
    <w:rsid w:val="00F550E6"/>
    <w:rsid w:val="00F56A2C"/>
    <w:rsid w:val="00F63F08"/>
    <w:rsid w:val="00F65562"/>
    <w:rsid w:val="00F73607"/>
    <w:rsid w:val="00F74345"/>
    <w:rsid w:val="00F76470"/>
    <w:rsid w:val="00F80A0A"/>
    <w:rsid w:val="00F82AFB"/>
    <w:rsid w:val="00F82B19"/>
    <w:rsid w:val="00F90526"/>
    <w:rsid w:val="00F9212D"/>
    <w:rsid w:val="00F94DD3"/>
    <w:rsid w:val="00F954B0"/>
    <w:rsid w:val="00F965DA"/>
    <w:rsid w:val="00F9785E"/>
    <w:rsid w:val="00FA406A"/>
    <w:rsid w:val="00FB2748"/>
    <w:rsid w:val="00FB503A"/>
    <w:rsid w:val="00FB516C"/>
    <w:rsid w:val="00FD0236"/>
    <w:rsid w:val="00FD18F4"/>
    <w:rsid w:val="00FD47B5"/>
    <w:rsid w:val="00FD54DB"/>
    <w:rsid w:val="00FD619F"/>
    <w:rsid w:val="00FD6C87"/>
    <w:rsid w:val="010A71DA"/>
    <w:rsid w:val="011E498E"/>
    <w:rsid w:val="011E7911"/>
    <w:rsid w:val="01290F7E"/>
    <w:rsid w:val="01440E9B"/>
    <w:rsid w:val="015D1E09"/>
    <w:rsid w:val="01733C80"/>
    <w:rsid w:val="01740786"/>
    <w:rsid w:val="01743406"/>
    <w:rsid w:val="017C5A94"/>
    <w:rsid w:val="0186423A"/>
    <w:rsid w:val="019043EF"/>
    <w:rsid w:val="01913E75"/>
    <w:rsid w:val="01967DB2"/>
    <w:rsid w:val="01AE1146"/>
    <w:rsid w:val="01B112E0"/>
    <w:rsid w:val="01BC6549"/>
    <w:rsid w:val="01BD0EF3"/>
    <w:rsid w:val="01C40DDD"/>
    <w:rsid w:val="01D003B8"/>
    <w:rsid w:val="01D427A1"/>
    <w:rsid w:val="01DE7F5C"/>
    <w:rsid w:val="01FD2AC6"/>
    <w:rsid w:val="01FE687B"/>
    <w:rsid w:val="01FF3277"/>
    <w:rsid w:val="02075DD8"/>
    <w:rsid w:val="020C67F3"/>
    <w:rsid w:val="021F7DC1"/>
    <w:rsid w:val="022C3763"/>
    <w:rsid w:val="0232186A"/>
    <w:rsid w:val="02367F9F"/>
    <w:rsid w:val="0259076E"/>
    <w:rsid w:val="025A7B78"/>
    <w:rsid w:val="02666938"/>
    <w:rsid w:val="02697903"/>
    <w:rsid w:val="026E6DD2"/>
    <w:rsid w:val="02781FDC"/>
    <w:rsid w:val="027F21F0"/>
    <w:rsid w:val="02960AEC"/>
    <w:rsid w:val="02970D00"/>
    <w:rsid w:val="029D166C"/>
    <w:rsid w:val="02B2189F"/>
    <w:rsid w:val="02C140B3"/>
    <w:rsid w:val="02C4091C"/>
    <w:rsid w:val="02C833A3"/>
    <w:rsid w:val="02C973A7"/>
    <w:rsid w:val="02CA77FC"/>
    <w:rsid w:val="02D17962"/>
    <w:rsid w:val="02E00465"/>
    <w:rsid w:val="02F11CE4"/>
    <w:rsid w:val="02F44D08"/>
    <w:rsid w:val="02F96569"/>
    <w:rsid w:val="0318402F"/>
    <w:rsid w:val="03465822"/>
    <w:rsid w:val="035614A8"/>
    <w:rsid w:val="03651ACE"/>
    <w:rsid w:val="03692931"/>
    <w:rsid w:val="037F5F1C"/>
    <w:rsid w:val="038137E3"/>
    <w:rsid w:val="038507CB"/>
    <w:rsid w:val="038D1478"/>
    <w:rsid w:val="03987F9F"/>
    <w:rsid w:val="03990FEC"/>
    <w:rsid w:val="039C2854"/>
    <w:rsid w:val="03A87FD8"/>
    <w:rsid w:val="03A92E13"/>
    <w:rsid w:val="03B114DE"/>
    <w:rsid w:val="03C95E48"/>
    <w:rsid w:val="03D462F3"/>
    <w:rsid w:val="03E67A1E"/>
    <w:rsid w:val="03EA7B21"/>
    <w:rsid w:val="03F37758"/>
    <w:rsid w:val="040F3A96"/>
    <w:rsid w:val="041476CE"/>
    <w:rsid w:val="041713AA"/>
    <w:rsid w:val="04412E2D"/>
    <w:rsid w:val="0451472C"/>
    <w:rsid w:val="046643CE"/>
    <w:rsid w:val="046A7164"/>
    <w:rsid w:val="046F70FE"/>
    <w:rsid w:val="04712304"/>
    <w:rsid w:val="048465D7"/>
    <w:rsid w:val="04A97B79"/>
    <w:rsid w:val="04B41864"/>
    <w:rsid w:val="04B43B60"/>
    <w:rsid w:val="04C57E0E"/>
    <w:rsid w:val="04C91DBA"/>
    <w:rsid w:val="04CF52CF"/>
    <w:rsid w:val="04D832AD"/>
    <w:rsid w:val="04F15BFB"/>
    <w:rsid w:val="05023DA4"/>
    <w:rsid w:val="0512512F"/>
    <w:rsid w:val="0513540B"/>
    <w:rsid w:val="05174779"/>
    <w:rsid w:val="05300759"/>
    <w:rsid w:val="05304E4B"/>
    <w:rsid w:val="05363B2F"/>
    <w:rsid w:val="053C4F33"/>
    <w:rsid w:val="053E348D"/>
    <w:rsid w:val="054B63D7"/>
    <w:rsid w:val="05587FCE"/>
    <w:rsid w:val="055B3468"/>
    <w:rsid w:val="055F7D5E"/>
    <w:rsid w:val="056A5CC5"/>
    <w:rsid w:val="056C1260"/>
    <w:rsid w:val="057238D6"/>
    <w:rsid w:val="05896380"/>
    <w:rsid w:val="05B819DC"/>
    <w:rsid w:val="05CC7973"/>
    <w:rsid w:val="05D0631D"/>
    <w:rsid w:val="05D20AB7"/>
    <w:rsid w:val="05D25B75"/>
    <w:rsid w:val="05D71595"/>
    <w:rsid w:val="05EC3D1F"/>
    <w:rsid w:val="05F83EAE"/>
    <w:rsid w:val="06026953"/>
    <w:rsid w:val="06036299"/>
    <w:rsid w:val="06064F2C"/>
    <w:rsid w:val="06137257"/>
    <w:rsid w:val="0617312A"/>
    <w:rsid w:val="06177EE0"/>
    <w:rsid w:val="0624370B"/>
    <w:rsid w:val="062622A4"/>
    <w:rsid w:val="062A0C58"/>
    <w:rsid w:val="06361DCA"/>
    <w:rsid w:val="063E4EA7"/>
    <w:rsid w:val="063E7D85"/>
    <w:rsid w:val="064137AF"/>
    <w:rsid w:val="064223DA"/>
    <w:rsid w:val="064241A7"/>
    <w:rsid w:val="06435F34"/>
    <w:rsid w:val="064E5193"/>
    <w:rsid w:val="065137BD"/>
    <w:rsid w:val="065344DE"/>
    <w:rsid w:val="0656369A"/>
    <w:rsid w:val="06636DB4"/>
    <w:rsid w:val="06660B0A"/>
    <w:rsid w:val="06800594"/>
    <w:rsid w:val="06A05F6D"/>
    <w:rsid w:val="06BA4343"/>
    <w:rsid w:val="06C151CE"/>
    <w:rsid w:val="06DA080A"/>
    <w:rsid w:val="06E46DD6"/>
    <w:rsid w:val="06E53DBE"/>
    <w:rsid w:val="06E84B37"/>
    <w:rsid w:val="07246A55"/>
    <w:rsid w:val="07293586"/>
    <w:rsid w:val="07295285"/>
    <w:rsid w:val="07636392"/>
    <w:rsid w:val="07770C56"/>
    <w:rsid w:val="07862E6A"/>
    <w:rsid w:val="079009AE"/>
    <w:rsid w:val="07A330DD"/>
    <w:rsid w:val="07A57630"/>
    <w:rsid w:val="07AE0FE8"/>
    <w:rsid w:val="07B83B9B"/>
    <w:rsid w:val="07B922CC"/>
    <w:rsid w:val="07BA2107"/>
    <w:rsid w:val="07BB607D"/>
    <w:rsid w:val="07CC19DE"/>
    <w:rsid w:val="07E70D4B"/>
    <w:rsid w:val="07EF4A40"/>
    <w:rsid w:val="07F65ED5"/>
    <w:rsid w:val="08030A76"/>
    <w:rsid w:val="08045260"/>
    <w:rsid w:val="08197464"/>
    <w:rsid w:val="08322AE0"/>
    <w:rsid w:val="08333D4D"/>
    <w:rsid w:val="083C3EE7"/>
    <w:rsid w:val="08525F25"/>
    <w:rsid w:val="085348BC"/>
    <w:rsid w:val="08542D48"/>
    <w:rsid w:val="085663B3"/>
    <w:rsid w:val="08620B6C"/>
    <w:rsid w:val="08624B9C"/>
    <w:rsid w:val="08676B4A"/>
    <w:rsid w:val="08686BCB"/>
    <w:rsid w:val="089332B7"/>
    <w:rsid w:val="08940A35"/>
    <w:rsid w:val="08A464F2"/>
    <w:rsid w:val="08A87973"/>
    <w:rsid w:val="08C66868"/>
    <w:rsid w:val="08D379DA"/>
    <w:rsid w:val="08D55065"/>
    <w:rsid w:val="08DA2C94"/>
    <w:rsid w:val="09010E46"/>
    <w:rsid w:val="091C3E5F"/>
    <w:rsid w:val="092217DD"/>
    <w:rsid w:val="09314221"/>
    <w:rsid w:val="093A7294"/>
    <w:rsid w:val="09474DE0"/>
    <w:rsid w:val="09557124"/>
    <w:rsid w:val="095902E4"/>
    <w:rsid w:val="09650DC5"/>
    <w:rsid w:val="097C1550"/>
    <w:rsid w:val="097E75D5"/>
    <w:rsid w:val="09952138"/>
    <w:rsid w:val="09957871"/>
    <w:rsid w:val="099A0675"/>
    <w:rsid w:val="099F2341"/>
    <w:rsid w:val="09AC48D3"/>
    <w:rsid w:val="09C71266"/>
    <w:rsid w:val="09F47086"/>
    <w:rsid w:val="09F50B09"/>
    <w:rsid w:val="09FA1369"/>
    <w:rsid w:val="0A063D9A"/>
    <w:rsid w:val="0A2552B4"/>
    <w:rsid w:val="0A263993"/>
    <w:rsid w:val="0A2D3AC2"/>
    <w:rsid w:val="0A4B03DE"/>
    <w:rsid w:val="0A4E4DF4"/>
    <w:rsid w:val="0A5448FC"/>
    <w:rsid w:val="0A5C364B"/>
    <w:rsid w:val="0A695C74"/>
    <w:rsid w:val="0A6E046B"/>
    <w:rsid w:val="0A7415F0"/>
    <w:rsid w:val="0A821ACD"/>
    <w:rsid w:val="0A884C87"/>
    <w:rsid w:val="0A8950E4"/>
    <w:rsid w:val="0A9A3E13"/>
    <w:rsid w:val="0AA755DF"/>
    <w:rsid w:val="0AB042DC"/>
    <w:rsid w:val="0ABB3C38"/>
    <w:rsid w:val="0ABC4740"/>
    <w:rsid w:val="0AD0132E"/>
    <w:rsid w:val="0AE41FB3"/>
    <w:rsid w:val="0AE73AAA"/>
    <w:rsid w:val="0AEB7501"/>
    <w:rsid w:val="0B120D44"/>
    <w:rsid w:val="0B1A25E7"/>
    <w:rsid w:val="0B1A3A0F"/>
    <w:rsid w:val="0B20067E"/>
    <w:rsid w:val="0B2138E6"/>
    <w:rsid w:val="0B31373A"/>
    <w:rsid w:val="0B4A5FDD"/>
    <w:rsid w:val="0B541293"/>
    <w:rsid w:val="0B5854DA"/>
    <w:rsid w:val="0B5C0416"/>
    <w:rsid w:val="0B626A94"/>
    <w:rsid w:val="0B761752"/>
    <w:rsid w:val="0B7A13DC"/>
    <w:rsid w:val="0B877927"/>
    <w:rsid w:val="0B8D0F6C"/>
    <w:rsid w:val="0B93455E"/>
    <w:rsid w:val="0B9D06F5"/>
    <w:rsid w:val="0BB46A41"/>
    <w:rsid w:val="0BB57499"/>
    <w:rsid w:val="0BD27BF6"/>
    <w:rsid w:val="0BE15CD5"/>
    <w:rsid w:val="0C0B075E"/>
    <w:rsid w:val="0C1110C3"/>
    <w:rsid w:val="0C1A39DF"/>
    <w:rsid w:val="0C3B3C7D"/>
    <w:rsid w:val="0C3D33FA"/>
    <w:rsid w:val="0C5715D4"/>
    <w:rsid w:val="0C6C43F7"/>
    <w:rsid w:val="0C7C442F"/>
    <w:rsid w:val="0C7D6F79"/>
    <w:rsid w:val="0C8416D0"/>
    <w:rsid w:val="0C856194"/>
    <w:rsid w:val="0C8A2F3A"/>
    <w:rsid w:val="0C956F0E"/>
    <w:rsid w:val="0C9E070C"/>
    <w:rsid w:val="0CA968E2"/>
    <w:rsid w:val="0CAB2EAE"/>
    <w:rsid w:val="0CD62E87"/>
    <w:rsid w:val="0CE73FFE"/>
    <w:rsid w:val="0CEB5A3C"/>
    <w:rsid w:val="0CFB020B"/>
    <w:rsid w:val="0CFB39AB"/>
    <w:rsid w:val="0D0D3D0E"/>
    <w:rsid w:val="0D117A50"/>
    <w:rsid w:val="0D200E44"/>
    <w:rsid w:val="0D2147A4"/>
    <w:rsid w:val="0D244747"/>
    <w:rsid w:val="0D313D18"/>
    <w:rsid w:val="0D464E77"/>
    <w:rsid w:val="0D4772EF"/>
    <w:rsid w:val="0D586368"/>
    <w:rsid w:val="0D621C7D"/>
    <w:rsid w:val="0D846595"/>
    <w:rsid w:val="0D86136E"/>
    <w:rsid w:val="0D9F33CC"/>
    <w:rsid w:val="0DA73BEC"/>
    <w:rsid w:val="0DBC3E09"/>
    <w:rsid w:val="0DC14423"/>
    <w:rsid w:val="0DC871B0"/>
    <w:rsid w:val="0DD53EB8"/>
    <w:rsid w:val="0DEC5332"/>
    <w:rsid w:val="0DF142FD"/>
    <w:rsid w:val="0E017016"/>
    <w:rsid w:val="0E0B7597"/>
    <w:rsid w:val="0E0C7CD8"/>
    <w:rsid w:val="0E0F7345"/>
    <w:rsid w:val="0E210350"/>
    <w:rsid w:val="0E3407D9"/>
    <w:rsid w:val="0E36669A"/>
    <w:rsid w:val="0E445694"/>
    <w:rsid w:val="0E464045"/>
    <w:rsid w:val="0E57721F"/>
    <w:rsid w:val="0E5B462F"/>
    <w:rsid w:val="0E600514"/>
    <w:rsid w:val="0E73034D"/>
    <w:rsid w:val="0E7D2A40"/>
    <w:rsid w:val="0E8333BD"/>
    <w:rsid w:val="0E8900D5"/>
    <w:rsid w:val="0E935165"/>
    <w:rsid w:val="0E9452A5"/>
    <w:rsid w:val="0E963B01"/>
    <w:rsid w:val="0E9B4C74"/>
    <w:rsid w:val="0E9E1AEA"/>
    <w:rsid w:val="0EA4303C"/>
    <w:rsid w:val="0EA711DD"/>
    <w:rsid w:val="0EAC0AC2"/>
    <w:rsid w:val="0EBD4261"/>
    <w:rsid w:val="0EC0683C"/>
    <w:rsid w:val="0EE22AE5"/>
    <w:rsid w:val="0EE23B3D"/>
    <w:rsid w:val="0EE26A65"/>
    <w:rsid w:val="0F031506"/>
    <w:rsid w:val="0F0E56D2"/>
    <w:rsid w:val="0F1232F9"/>
    <w:rsid w:val="0F13775A"/>
    <w:rsid w:val="0F170DE5"/>
    <w:rsid w:val="0F1F356E"/>
    <w:rsid w:val="0F20161D"/>
    <w:rsid w:val="0F2D31ED"/>
    <w:rsid w:val="0F3F2A66"/>
    <w:rsid w:val="0F4539B2"/>
    <w:rsid w:val="0F543B7E"/>
    <w:rsid w:val="0F554D3F"/>
    <w:rsid w:val="0F580DBD"/>
    <w:rsid w:val="0F5F45FE"/>
    <w:rsid w:val="0F78515A"/>
    <w:rsid w:val="0F836583"/>
    <w:rsid w:val="0F8674A7"/>
    <w:rsid w:val="0F8E370C"/>
    <w:rsid w:val="0F8F4043"/>
    <w:rsid w:val="0F9A112B"/>
    <w:rsid w:val="0FA43F59"/>
    <w:rsid w:val="0FA82046"/>
    <w:rsid w:val="0FAA5250"/>
    <w:rsid w:val="0FAE6211"/>
    <w:rsid w:val="0FC5043D"/>
    <w:rsid w:val="0FC60F4D"/>
    <w:rsid w:val="0FCC3878"/>
    <w:rsid w:val="0FEB33FE"/>
    <w:rsid w:val="0FF7412C"/>
    <w:rsid w:val="1000756E"/>
    <w:rsid w:val="10023D42"/>
    <w:rsid w:val="102173FB"/>
    <w:rsid w:val="102B29FA"/>
    <w:rsid w:val="102C755E"/>
    <w:rsid w:val="102F148A"/>
    <w:rsid w:val="10351FF0"/>
    <w:rsid w:val="10486C34"/>
    <w:rsid w:val="10514C0C"/>
    <w:rsid w:val="105347B8"/>
    <w:rsid w:val="10594F81"/>
    <w:rsid w:val="105E08D3"/>
    <w:rsid w:val="105F655C"/>
    <w:rsid w:val="106D2F64"/>
    <w:rsid w:val="106D4DF9"/>
    <w:rsid w:val="10752BDB"/>
    <w:rsid w:val="107D249D"/>
    <w:rsid w:val="107D6BD1"/>
    <w:rsid w:val="10880CED"/>
    <w:rsid w:val="10896175"/>
    <w:rsid w:val="10A2039D"/>
    <w:rsid w:val="10A5627E"/>
    <w:rsid w:val="10AA3690"/>
    <w:rsid w:val="10AC38E3"/>
    <w:rsid w:val="10B63710"/>
    <w:rsid w:val="10C021FE"/>
    <w:rsid w:val="10C65194"/>
    <w:rsid w:val="10DB3FBB"/>
    <w:rsid w:val="10E072B6"/>
    <w:rsid w:val="10F10820"/>
    <w:rsid w:val="10FA10FE"/>
    <w:rsid w:val="11006B12"/>
    <w:rsid w:val="110428A3"/>
    <w:rsid w:val="110D7483"/>
    <w:rsid w:val="11183BAB"/>
    <w:rsid w:val="111C2F7A"/>
    <w:rsid w:val="113A41CF"/>
    <w:rsid w:val="114415F3"/>
    <w:rsid w:val="11522378"/>
    <w:rsid w:val="11525C68"/>
    <w:rsid w:val="11665CA1"/>
    <w:rsid w:val="11AD357A"/>
    <w:rsid w:val="11AD363C"/>
    <w:rsid w:val="11B61557"/>
    <w:rsid w:val="11C04635"/>
    <w:rsid w:val="11CB72F4"/>
    <w:rsid w:val="11D159D6"/>
    <w:rsid w:val="11D31A38"/>
    <w:rsid w:val="11D4691D"/>
    <w:rsid w:val="11D60DA0"/>
    <w:rsid w:val="11F24DF7"/>
    <w:rsid w:val="11FE1687"/>
    <w:rsid w:val="120431E3"/>
    <w:rsid w:val="120A269B"/>
    <w:rsid w:val="12305987"/>
    <w:rsid w:val="123F2754"/>
    <w:rsid w:val="124E2B56"/>
    <w:rsid w:val="12556C79"/>
    <w:rsid w:val="125C7179"/>
    <w:rsid w:val="12611751"/>
    <w:rsid w:val="127734AD"/>
    <w:rsid w:val="12781E6D"/>
    <w:rsid w:val="127A564B"/>
    <w:rsid w:val="128E2AA2"/>
    <w:rsid w:val="12923351"/>
    <w:rsid w:val="129A0BC3"/>
    <w:rsid w:val="12B36955"/>
    <w:rsid w:val="12C95222"/>
    <w:rsid w:val="12CF4581"/>
    <w:rsid w:val="12D131A9"/>
    <w:rsid w:val="12D92724"/>
    <w:rsid w:val="12EC61D1"/>
    <w:rsid w:val="12EF4B63"/>
    <w:rsid w:val="12F77E1B"/>
    <w:rsid w:val="12F9640D"/>
    <w:rsid w:val="130721E1"/>
    <w:rsid w:val="130A533F"/>
    <w:rsid w:val="130C3C89"/>
    <w:rsid w:val="131E4B1F"/>
    <w:rsid w:val="13232A85"/>
    <w:rsid w:val="13240F3D"/>
    <w:rsid w:val="13290B68"/>
    <w:rsid w:val="134D130F"/>
    <w:rsid w:val="13576C5A"/>
    <w:rsid w:val="13577347"/>
    <w:rsid w:val="136C3083"/>
    <w:rsid w:val="137307A7"/>
    <w:rsid w:val="138265B3"/>
    <w:rsid w:val="138F28CD"/>
    <w:rsid w:val="139475CF"/>
    <w:rsid w:val="13951726"/>
    <w:rsid w:val="13962702"/>
    <w:rsid w:val="139E0C75"/>
    <w:rsid w:val="13A00166"/>
    <w:rsid w:val="13A02D2C"/>
    <w:rsid w:val="13A71EA0"/>
    <w:rsid w:val="13B463CC"/>
    <w:rsid w:val="13CB0483"/>
    <w:rsid w:val="13CB362B"/>
    <w:rsid w:val="13E40AD4"/>
    <w:rsid w:val="13E51B5B"/>
    <w:rsid w:val="13F30EDA"/>
    <w:rsid w:val="13F56BD4"/>
    <w:rsid w:val="13FC7287"/>
    <w:rsid w:val="13FF340F"/>
    <w:rsid w:val="140F7ACA"/>
    <w:rsid w:val="14396509"/>
    <w:rsid w:val="143E7BBF"/>
    <w:rsid w:val="14431357"/>
    <w:rsid w:val="144D5655"/>
    <w:rsid w:val="145419C5"/>
    <w:rsid w:val="1460233C"/>
    <w:rsid w:val="14675121"/>
    <w:rsid w:val="14695D26"/>
    <w:rsid w:val="1472590E"/>
    <w:rsid w:val="14745904"/>
    <w:rsid w:val="14C15B6F"/>
    <w:rsid w:val="14DB603C"/>
    <w:rsid w:val="14DD2C3C"/>
    <w:rsid w:val="14E06524"/>
    <w:rsid w:val="14E943A9"/>
    <w:rsid w:val="150A37CE"/>
    <w:rsid w:val="150A7DA0"/>
    <w:rsid w:val="151224F0"/>
    <w:rsid w:val="15141DF6"/>
    <w:rsid w:val="15167761"/>
    <w:rsid w:val="151B2D23"/>
    <w:rsid w:val="151E71C7"/>
    <w:rsid w:val="152065D9"/>
    <w:rsid w:val="15442AA3"/>
    <w:rsid w:val="155D642C"/>
    <w:rsid w:val="1562648E"/>
    <w:rsid w:val="159536D0"/>
    <w:rsid w:val="15961665"/>
    <w:rsid w:val="15B023F0"/>
    <w:rsid w:val="15B05EC1"/>
    <w:rsid w:val="15B21DF1"/>
    <w:rsid w:val="15BA024D"/>
    <w:rsid w:val="15CD1816"/>
    <w:rsid w:val="15D56158"/>
    <w:rsid w:val="15E9328B"/>
    <w:rsid w:val="160515FF"/>
    <w:rsid w:val="1606485B"/>
    <w:rsid w:val="16087E1D"/>
    <w:rsid w:val="16112E9F"/>
    <w:rsid w:val="161935E4"/>
    <w:rsid w:val="16337159"/>
    <w:rsid w:val="163509E4"/>
    <w:rsid w:val="164326E6"/>
    <w:rsid w:val="16460C59"/>
    <w:rsid w:val="164B6222"/>
    <w:rsid w:val="165322D8"/>
    <w:rsid w:val="165F42AE"/>
    <w:rsid w:val="16660FCB"/>
    <w:rsid w:val="16681B75"/>
    <w:rsid w:val="16685D88"/>
    <w:rsid w:val="16776F65"/>
    <w:rsid w:val="167D0CC7"/>
    <w:rsid w:val="16812378"/>
    <w:rsid w:val="169A494F"/>
    <w:rsid w:val="16B2711D"/>
    <w:rsid w:val="16B568C2"/>
    <w:rsid w:val="16B85B0F"/>
    <w:rsid w:val="16BB0148"/>
    <w:rsid w:val="16BF0BDA"/>
    <w:rsid w:val="16D61FC6"/>
    <w:rsid w:val="16E533C1"/>
    <w:rsid w:val="16EF1D22"/>
    <w:rsid w:val="16F569BA"/>
    <w:rsid w:val="16FB238C"/>
    <w:rsid w:val="16FB6440"/>
    <w:rsid w:val="173434B0"/>
    <w:rsid w:val="173735EE"/>
    <w:rsid w:val="173B1924"/>
    <w:rsid w:val="173D59E6"/>
    <w:rsid w:val="17445C49"/>
    <w:rsid w:val="17542221"/>
    <w:rsid w:val="175A3D80"/>
    <w:rsid w:val="176A0BB1"/>
    <w:rsid w:val="17701D14"/>
    <w:rsid w:val="17714FEA"/>
    <w:rsid w:val="17735226"/>
    <w:rsid w:val="178C3A8A"/>
    <w:rsid w:val="17903EE0"/>
    <w:rsid w:val="17912F8E"/>
    <w:rsid w:val="179B504E"/>
    <w:rsid w:val="17A6306A"/>
    <w:rsid w:val="17AC3363"/>
    <w:rsid w:val="17B7711E"/>
    <w:rsid w:val="17B80616"/>
    <w:rsid w:val="17CC0489"/>
    <w:rsid w:val="17DD62D3"/>
    <w:rsid w:val="17E625D8"/>
    <w:rsid w:val="17E73639"/>
    <w:rsid w:val="17F01F74"/>
    <w:rsid w:val="17F57536"/>
    <w:rsid w:val="18096972"/>
    <w:rsid w:val="18114AE8"/>
    <w:rsid w:val="18383578"/>
    <w:rsid w:val="184F6765"/>
    <w:rsid w:val="185B1F3E"/>
    <w:rsid w:val="185C48FF"/>
    <w:rsid w:val="185E735B"/>
    <w:rsid w:val="186546BC"/>
    <w:rsid w:val="186A46C0"/>
    <w:rsid w:val="187C2988"/>
    <w:rsid w:val="18835027"/>
    <w:rsid w:val="18900D4D"/>
    <w:rsid w:val="189F624C"/>
    <w:rsid w:val="18A33328"/>
    <w:rsid w:val="18AA7889"/>
    <w:rsid w:val="18AD19F2"/>
    <w:rsid w:val="18BA663E"/>
    <w:rsid w:val="18CB084B"/>
    <w:rsid w:val="18EC6568"/>
    <w:rsid w:val="18ED484C"/>
    <w:rsid w:val="18FF3DDD"/>
    <w:rsid w:val="190B796B"/>
    <w:rsid w:val="19101022"/>
    <w:rsid w:val="19136AAC"/>
    <w:rsid w:val="19191980"/>
    <w:rsid w:val="19207DCE"/>
    <w:rsid w:val="19252B34"/>
    <w:rsid w:val="192D6227"/>
    <w:rsid w:val="19533059"/>
    <w:rsid w:val="19692D7C"/>
    <w:rsid w:val="1988673C"/>
    <w:rsid w:val="1990091C"/>
    <w:rsid w:val="19BB59D0"/>
    <w:rsid w:val="19C951C1"/>
    <w:rsid w:val="19CD458E"/>
    <w:rsid w:val="19DC6249"/>
    <w:rsid w:val="19E07D39"/>
    <w:rsid w:val="19F274F4"/>
    <w:rsid w:val="19F30B61"/>
    <w:rsid w:val="19FD6E07"/>
    <w:rsid w:val="1A021DEE"/>
    <w:rsid w:val="1A041F6C"/>
    <w:rsid w:val="1A0C26AC"/>
    <w:rsid w:val="1A0F185A"/>
    <w:rsid w:val="1A173434"/>
    <w:rsid w:val="1A1C66C0"/>
    <w:rsid w:val="1A2D437F"/>
    <w:rsid w:val="1A42393B"/>
    <w:rsid w:val="1A67567B"/>
    <w:rsid w:val="1A7117ED"/>
    <w:rsid w:val="1A7202BE"/>
    <w:rsid w:val="1A7653F6"/>
    <w:rsid w:val="1A9F1336"/>
    <w:rsid w:val="1AAD45DE"/>
    <w:rsid w:val="1AB776C0"/>
    <w:rsid w:val="1ACE6EF8"/>
    <w:rsid w:val="1AE10DA2"/>
    <w:rsid w:val="1AE12081"/>
    <w:rsid w:val="1AEE64EF"/>
    <w:rsid w:val="1AF643E6"/>
    <w:rsid w:val="1AF8344E"/>
    <w:rsid w:val="1B046F80"/>
    <w:rsid w:val="1B093FA9"/>
    <w:rsid w:val="1B0E1FB1"/>
    <w:rsid w:val="1B3267B5"/>
    <w:rsid w:val="1B40161D"/>
    <w:rsid w:val="1B441859"/>
    <w:rsid w:val="1B507193"/>
    <w:rsid w:val="1B6606B1"/>
    <w:rsid w:val="1B690B70"/>
    <w:rsid w:val="1B6C00C4"/>
    <w:rsid w:val="1B754A9E"/>
    <w:rsid w:val="1B785F43"/>
    <w:rsid w:val="1B7945ED"/>
    <w:rsid w:val="1B826F66"/>
    <w:rsid w:val="1B8847D2"/>
    <w:rsid w:val="1B88523E"/>
    <w:rsid w:val="1BA310F5"/>
    <w:rsid w:val="1BCD2DCD"/>
    <w:rsid w:val="1BDA3C94"/>
    <w:rsid w:val="1BE3567C"/>
    <w:rsid w:val="1BE96C9F"/>
    <w:rsid w:val="1BFD65D7"/>
    <w:rsid w:val="1C0426CF"/>
    <w:rsid w:val="1C0B7DB5"/>
    <w:rsid w:val="1C1F760C"/>
    <w:rsid w:val="1C237592"/>
    <w:rsid w:val="1C246C7A"/>
    <w:rsid w:val="1C3015D5"/>
    <w:rsid w:val="1C4A6BA0"/>
    <w:rsid w:val="1C577A1E"/>
    <w:rsid w:val="1C5E7925"/>
    <w:rsid w:val="1C674627"/>
    <w:rsid w:val="1C6C2228"/>
    <w:rsid w:val="1C7B1AED"/>
    <w:rsid w:val="1C8E1545"/>
    <w:rsid w:val="1C930BF0"/>
    <w:rsid w:val="1C957EDB"/>
    <w:rsid w:val="1C9F7C45"/>
    <w:rsid w:val="1CA60B46"/>
    <w:rsid w:val="1CA72449"/>
    <w:rsid w:val="1CB248B6"/>
    <w:rsid w:val="1CB80B46"/>
    <w:rsid w:val="1CC950A2"/>
    <w:rsid w:val="1CCB0E1A"/>
    <w:rsid w:val="1CE35C57"/>
    <w:rsid w:val="1CFD070F"/>
    <w:rsid w:val="1D036DB4"/>
    <w:rsid w:val="1D0D31EA"/>
    <w:rsid w:val="1D153DDE"/>
    <w:rsid w:val="1D2641B1"/>
    <w:rsid w:val="1D2B2963"/>
    <w:rsid w:val="1D3B3E29"/>
    <w:rsid w:val="1D4E1D78"/>
    <w:rsid w:val="1D4F3830"/>
    <w:rsid w:val="1D5F6196"/>
    <w:rsid w:val="1D6132A5"/>
    <w:rsid w:val="1D722B73"/>
    <w:rsid w:val="1D7370E3"/>
    <w:rsid w:val="1D8334A3"/>
    <w:rsid w:val="1D8E56D5"/>
    <w:rsid w:val="1D90194C"/>
    <w:rsid w:val="1D99003E"/>
    <w:rsid w:val="1D9A3385"/>
    <w:rsid w:val="1D9B53C8"/>
    <w:rsid w:val="1D9E4464"/>
    <w:rsid w:val="1DA7611A"/>
    <w:rsid w:val="1DAA1804"/>
    <w:rsid w:val="1DAD3715"/>
    <w:rsid w:val="1DBD3F38"/>
    <w:rsid w:val="1DC616CC"/>
    <w:rsid w:val="1DCD696C"/>
    <w:rsid w:val="1DD526F1"/>
    <w:rsid w:val="1E1660C5"/>
    <w:rsid w:val="1E1C7453"/>
    <w:rsid w:val="1E234348"/>
    <w:rsid w:val="1E4149D1"/>
    <w:rsid w:val="1E447B89"/>
    <w:rsid w:val="1E4724B3"/>
    <w:rsid w:val="1E520173"/>
    <w:rsid w:val="1E7018E9"/>
    <w:rsid w:val="1E777F16"/>
    <w:rsid w:val="1E793B0D"/>
    <w:rsid w:val="1E7A43DA"/>
    <w:rsid w:val="1E7C0F81"/>
    <w:rsid w:val="1E8B14D2"/>
    <w:rsid w:val="1E8F3FEA"/>
    <w:rsid w:val="1EAB5080"/>
    <w:rsid w:val="1EAC1917"/>
    <w:rsid w:val="1EB90B21"/>
    <w:rsid w:val="1EBA722E"/>
    <w:rsid w:val="1EBB1640"/>
    <w:rsid w:val="1EC71A08"/>
    <w:rsid w:val="1ED1245C"/>
    <w:rsid w:val="1ED306F6"/>
    <w:rsid w:val="1ED657E9"/>
    <w:rsid w:val="1F02108F"/>
    <w:rsid w:val="1F0B2C80"/>
    <w:rsid w:val="1F1745F6"/>
    <w:rsid w:val="1F193E28"/>
    <w:rsid w:val="1F2244C5"/>
    <w:rsid w:val="1F3A2D12"/>
    <w:rsid w:val="1F427020"/>
    <w:rsid w:val="1F46491B"/>
    <w:rsid w:val="1F5804CD"/>
    <w:rsid w:val="1F7F5EEC"/>
    <w:rsid w:val="1F906C1B"/>
    <w:rsid w:val="1F9D067C"/>
    <w:rsid w:val="1FB77434"/>
    <w:rsid w:val="1FBA29BB"/>
    <w:rsid w:val="1FBA5176"/>
    <w:rsid w:val="1FBB693D"/>
    <w:rsid w:val="1FC1098F"/>
    <w:rsid w:val="1FE7539E"/>
    <w:rsid w:val="1FFD1351"/>
    <w:rsid w:val="200C0AAF"/>
    <w:rsid w:val="200F3D10"/>
    <w:rsid w:val="202F20BD"/>
    <w:rsid w:val="203377C1"/>
    <w:rsid w:val="20363991"/>
    <w:rsid w:val="2039161F"/>
    <w:rsid w:val="203F5463"/>
    <w:rsid w:val="20406FF3"/>
    <w:rsid w:val="2041236B"/>
    <w:rsid w:val="20671BE0"/>
    <w:rsid w:val="209623C2"/>
    <w:rsid w:val="20963CB8"/>
    <w:rsid w:val="209C69EC"/>
    <w:rsid w:val="20A81A1B"/>
    <w:rsid w:val="20AC4ABE"/>
    <w:rsid w:val="20B07FB6"/>
    <w:rsid w:val="20B53430"/>
    <w:rsid w:val="20B646FB"/>
    <w:rsid w:val="20D362DD"/>
    <w:rsid w:val="20D874C7"/>
    <w:rsid w:val="20E953B4"/>
    <w:rsid w:val="20F3093F"/>
    <w:rsid w:val="21224D81"/>
    <w:rsid w:val="2122783A"/>
    <w:rsid w:val="2124626D"/>
    <w:rsid w:val="212D05FD"/>
    <w:rsid w:val="213B74B1"/>
    <w:rsid w:val="214A012E"/>
    <w:rsid w:val="214D0310"/>
    <w:rsid w:val="21577120"/>
    <w:rsid w:val="215A2310"/>
    <w:rsid w:val="215B613E"/>
    <w:rsid w:val="2164234E"/>
    <w:rsid w:val="216B7FA8"/>
    <w:rsid w:val="2180377B"/>
    <w:rsid w:val="21A15557"/>
    <w:rsid w:val="21AC4E80"/>
    <w:rsid w:val="21B82CCC"/>
    <w:rsid w:val="21BE195D"/>
    <w:rsid w:val="21C76504"/>
    <w:rsid w:val="21D114B4"/>
    <w:rsid w:val="21D31AE1"/>
    <w:rsid w:val="21DB6D57"/>
    <w:rsid w:val="21DE318A"/>
    <w:rsid w:val="21EF5B80"/>
    <w:rsid w:val="21F22E64"/>
    <w:rsid w:val="22077D2F"/>
    <w:rsid w:val="22087CC9"/>
    <w:rsid w:val="220E5025"/>
    <w:rsid w:val="22107B2D"/>
    <w:rsid w:val="22154807"/>
    <w:rsid w:val="221F4BB0"/>
    <w:rsid w:val="222E2082"/>
    <w:rsid w:val="22344F23"/>
    <w:rsid w:val="22352E28"/>
    <w:rsid w:val="22396C74"/>
    <w:rsid w:val="223C67E5"/>
    <w:rsid w:val="2240289F"/>
    <w:rsid w:val="22522B81"/>
    <w:rsid w:val="22576990"/>
    <w:rsid w:val="228F58D3"/>
    <w:rsid w:val="22947F00"/>
    <w:rsid w:val="22AA2788"/>
    <w:rsid w:val="22B83F9B"/>
    <w:rsid w:val="22C95697"/>
    <w:rsid w:val="22CA4861"/>
    <w:rsid w:val="22D91EB8"/>
    <w:rsid w:val="22E12FA0"/>
    <w:rsid w:val="22E340EA"/>
    <w:rsid w:val="22E939B5"/>
    <w:rsid w:val="22F47480"/>
    <w:rsid w:val="230C69DF"/>
    <w:rsid w:val="231518E3"/>
    <w:rsid w:val="2317288E"/>
    <w:rsid w:val="23177566"/>
    <w:rsid w:val="232E45DA"/>
    <w:rsid w:val="23323BDB"/>
    <w:rsid w:val="233C0A05"/>
    <w:rsid w:val="234127F7"/>
    <w:rsid w:val="23425639"/>
    <w:rsid w:val="23503E27"/>
    <w:rsid w:val="23547D6D"/>
    <w:rsid w:val="23584FE2"/>
    <w:rsid w:val="235B04DD"/>
    <w:rsid w:val="235B3CB0"/>
    <w:rsid w:val="23692F46"/>
    <w:rsid w:val="237176C4"/>
    <w:rsid w:val="2375593F"/>
    <w:rsid w:val="237645A8"/>
    <w:rsid w:val="23771627"/>
    <w:rsid w:val="237F7F41"/>
    <w:rsid w:val="23810A83"/>
    <w:rsid w:val="23822340"/>
    <w:rsid w:val="23891338"/>
    <w:rsid w:val="239C2C7B"/>
    <w:rsid w:val="239D0894"/>
    <w:rsid w:val="23A9654A"/>
    <w:rsid w:val="23B1574B"/>
    <w:rsid w:val="23DD3661"/>
    <w:rsid w:val="23DE1C48"/>
    <w:rsid w:val="23EA570D"/>
    <w:rsid w:val="23FC299A"/>
    <w:rsid w:val="23FD205A"/>
    <w:rsid w:val="240210CD"/>
    <w:rsid w:val="240C1A97"/>
    <w:rsid w:val="24135214"/>
    <w:rsid w:val="24161384"/>
    <w:rsid w:val="242E53FA"/>
    <w:rsid w:val="243D71A7"/>
    <w:rsid w:val="2444337C"/>
    <w:rsid w:val="2445239D"/>
    <w:rsid w:val="2450661F"/>
    <w:rsid w:val="245B2ECE"/>
    <w:rsid w:val="247E2BCA"/>
    <w:rsid w:val="248705AC"/>
    <w:rsid w:val="24AE4FC4"/>
    <w:rsid w:val="24B42DAA"/>
    <w:rsid w:val="24B57FAA"/>
    <w:rsid w:val="24BF09F7"/>
    <w:rsid w:val="24C3510A"/>
    <w:rsid w:val="24C61586"/>
    <w:rsid w:val="24C73474"/>
    <w:rsid w:val="24CA19B7"/>
    <w:rsid w:val="24CC7F9D"/>
    <w:rsid w:val="24E5675E"/>
    <w:rsid w:val="24E56B5F"/>
    <w:rsid w:val="24E811BB"/>
    <w:rsid w:val="24F07B58"/>
    <w:rsid w:val="24F20585"/>
    <w:rsid w:val="250E1DE9"/>
    <w:rsid w:val="25100BC6"/>
    <w:rsid w:val="25155110"/>
    <w:rsid w:val="252D53FE"/>
    <w:rsid w:val="253208DD"/>
    <w:rsid w:val="25337E1C"/>
    <w:rsid w:val="253425C9"/>
    <w:rsid w:val="25491484"/>
    <w:rsid w:val="254C2E89"/>
    <w:rsid w:val="2562458C"/>
    <w:rsid w:val="25836F36"/>
    <w:rsid w:val="25875BC7"/>
    <w:rsid w:val="258A1490"/>
    <w:rsid w:val="25902837"/>
    <w:rsid w:val="259A1344"/>
    <w:rsid w:val="259E21C4"/>
    <w:rsid w:val="25B315AE"/>
    <w:rsid w:val="25C70DF3"/>
    <w:rsid w:val="25CF4174"/>
    <w:rsid w:val="25EC2D81"/>
    <w:rsid w:val="260221DE"/>
    <w:rsid w:val="26041D95"/>
    <w:rsid w:val="26054CB0"/>
    <w:rsid w:val="26071180"/>
    <w:rsid w:val="261824BC"/>
    <w:rsid w:val="267D0660"/>
    <w:rsid w:val="268B18B9"/>
    <w:rsid w:val="268C3B3A"/>
    <w:rsid w:val="26A12BEB"/>
    <w:rsid w:val="26B97F35"/>
    <w:rsid w:val="26BC4F48"/>
    <w:rsid w:val="26DC66CB"/>
    <w:rsid w:val="26E03B16"/>
    <w:rsid w:val="26E21B28"/>
    <w:rsid w:val="26EB6711"/>
    <w:rsid w:val="26EF24F4"/>
    <w:rsid w:val="26F0412C"/>
    <w:rsid w:val="26F879B9"/>
    <w:rsid w:val="26F90A3A"/>
    <w:rsid w:val="270766AE"/>
    <w:rsid w:val="2708223A"/>
    <w:rsid w:val="270A78D4"/>
    <w:rsid w:val="2718420C"/>
    <w:rsid w:val="271875FA"/>
    <w:rsid w:val="271B5D31"/>
    <w:rsid w:val="272037D1"/>
    <w:rsid w:val="27212FB4"/>
    <w:rsid w:val="27673E35"/>
    <w:rsid w:val="276814C7"/>
    <w:rsid w:val="277057A2"/>
    <w:rsid w:val="277E6BFB"/>
    <w:rsid w:val="277E6D21"/>
    <w:rsid w:val="27924E42"/>
    <w:rsid w:val="27B05E5F"/>
    <w:rsid w:val="27B448C3"/>
    <w:rsid w:val="27CD6934"/>
    <w:rsid w:val="27D054C1"/>
    <w:rsid w:val="27DE351C"/>
    <w:rsid w:val="27E51657"/>
    <w:rsid w:val="27F67252"/>
    <w:rsid w:val="28041DC4"/>
    <w:rsid w:val="280872B6"/>
    <w:rsid w:val="280D1620"/>
    <w:rsid w:val="28102A1E"/>
    <w:rsid w:val="28121401"/>
    <w:rsid w:val="28132DAA"/>
    <w:rsid w:val="281958A8"/>
    <w:rsid w:val="281A10A2"/>
    <w:rsid w:val="282225E7"/>
    <w:rsid w:val="283519AA"/>
    <w:rsid w:val="28414686"/>
    <w:rsid w:val="28540215"/>
    <w:rsid w:val="28583FEB"/>
    <w:rsid w:val="286154BF"/>
    <w:rsid w:val="286A7EAB"/>
    <w:rsid w:val="286C203C"/>
    <w:rsid w:val="287C30ED"/>
    <w:rsid w:val="287F20C3"/>
    <w:rsid w:val="28921C90"/>
    <w:rsid w:val="28974564"/>
    <w:rsid w:val="28A26D4E"/>
    <w:rsid w:val="28A37400"/>
    <w:rsid w:val="28A765AD"/>
    <w:rsid w:val="28AB2F5D"/>
    <w:rsid w:val="28B179AF"/>
    <w:rsid w:val="28B93A1A"/>
    <w:rsid w:val="28C01D28"/>
    <w:rsid w:val="28C776B5"/>
    <w:rsid w:val="28D75373"/>
    <w:rsid w:val="28E41469"/>
    <w:rsid w:val="28ED051A"/>
    <w:rsid w:val="28EF0219"/>
    <w:rsid w:val="28EF0CFC"/>
    <w:rsid w:val="28EF1058"/>
    <w:rsid w:val="28FD6ECA"/>
    <w:rsid w:val="29201786"/>
    <w:rsid w:val="29206EB8"/>
    <w:rsid w:val="292444F2"/>
    <w:rsid w:val="294570EB"/>
    <w:rsid w:val="29471828"/>
    <w:rsid w:val="294731F9"/>
    <w:rsid w:val="29477D41"/>
    <w:rsid w:val="294B3B65"/>
    <w:rsid w:val="294C05E9"/>
    <w:rsid w:val="29595666"/>
    <w:rsid w:val="29742A64"/>
    <w:rsid w:val="29874881"/>
    <w:rsid w:val="298C52F3"/>
    <w:rsid w:val="299C1706"/>
    <w:rsid w:val="299D7535"/>
    <w:rsid w:val="29A00ABF"/>
    <w:rsid w:val="29AF6E07"/>
    <w:rsid w:val="29D61AE8"/>
    <w:rsid w:val="29E026B9"/>
    <w:rsid w:val="29E208F7"/>
    <w:rsid w:val="29E325E0"/>
    <w:rsid w:val="29E40602"/>
    <w:rsid w:val="29E40682"/>
    <w:rsid w:val="29E77428"/>
    <w:rsid w:val="29F02BA6"/>
    <w:rsid w:val="29F574D6"/>
    <w:rsid w:val="29FB1396"/>
    <w:rsid w:val="2A261F7C"/>
    <w:rsid w:val="2A2D1B3C"/>
    <w:rsid w:val="2A390E26"/>
    <w:rsid w:val="2A3F43F4"/>
    <w:rsid w:val="2A420242"/>
    <w:rsid w:val="2A432607"/>
    <w:rsid w:val="2A452503"/>
    <w:rsid w:val="2A4B12E4"/>
    <w:rsid w:val="2A4C77FA"/>
    <w:rsid w:val="2A6632C3"/>
    <w:rsid w:val="2A706CFE"/>
    <w:rsid w:val="2A7A4387"/>
    <w:rsid w:val="2A88460A"/>
    <w:rsid w:val="2A9D3D6F"/>
    <w:rsid w:val="2AAB2230"/>
    <w:rsid w:val="2AAF4701"/>
    <w:rsid w:val="2ABD206C"/>
    <w:rsid w:val="2AC37804"/>
    <w:rsid w:val="2AC56042"/>
    <w:rsid w:val="2AC654E1"/>
    <w:rsid w:val="2AC83112"/>
    <w:rsid w:val="2ACD2B46"/>
    <w:rsid w:val="2ADE0B9A"/>
    <w:rsid w:val="2AED158C"/>
    <w:rsid w:val="2AF95C63"/>
    <w:rsid w:val="2B2067D5"/>
    <w:rsid w:val="2B5A4A55"/>
    <w:rsid w:val="2B603075"/>
    <w:rsid w:val="2B674404"/>
    <w:rsid w:val="2B6C0AFC"/>
    <w:rsid w:val="2B6F0BB4"/>
    <w:rsid w:val="2B881F3C"/>
    <w:rsid w:val="2B90371E"/>
    <w:rsid w:val="2B9A5D2F"/>
    <w:rsid w:val="2BA60333"/>
    <w:rsid w:val="2BA91B7F"/>
    <w:rsid w:val="2BA936A8"/>
    <w:rsid w:val="2BAD6F9E"/>
    <w:rsid w:val="2BAD7133"/>
    <w:rsid w:val="2BB66D5E"/>
    <w:rsid w:val="2BBE361F"/>
    <w:rsid w:val="2BC263E4"/>
    <w:rsid w:val="2BC63986"/>
    <w:rsid w:val="2BC772F5"/>
    <w:rsid w:val="2BC9748D"/>
    <w:rsid w:val="2BCF3442"/>
    <w:rsid w:val="2BCF3D57"/>
    <w:rsid w:val="2BEC7155"/>
    <w:rsid w:val="2BF27DBF"/>
    <w:rsid w:val="2BFE390C"/>
    <w:rsid w:val="2C0112AE"/>
    <w:rsid w:val="2C0F2D40"/>
    <w:rsid w:val="2C20143E"/>
    <w:rsid w:val="2C2E34C5"/>
    <w:rsid w:val="2C315A5A"/>
    <w:rsid w:val="2C317A15"/>
    <w:rsid w:val="2C4209CD"/>
    <w:rsid w:val="2C4464F3"/>
    <w:rsid w:val="2C481277"/>
    <w:rsid w:val="2C4A2DA9"/>
    <w:rsid w:val="2C4B1C25"/>
    <w:rsid w:val="2C5600E5"/>
    <w:rsid w:val="2C5C6F17"/>
    <w:rsid w:val="2C640943"/>
    <w:rsid w:val="2C6D7DD9"/>
    <w:rsid w:val="2C994A91"/>
    <w:rsid w:val="2CA409FB"/>
    <w:rsid w:val="2CA52C51"/>
    <w:rsid w:val="2CC3329C"/>
    <w:rsid w:val="2CC77D47"/>
    <w:rsid w:val="2CCD0ECA"/>
    <w:rsid w:val="2CD90035"/>
    <w:rsid w:val="2CE24603"/>
    <w:rsid w:val="2CE440B9"/>
    <w:rsid w:val="2CE564E0"/>
    <w:rsid w:val="2CEE7C33"/>
    <w:rsid w:val="2CEF1B58"/>
    <w:rsid w:val="2CEF1BA4"/>
    <w:rsid w:val="2CFC3C55"/>
    <w:rsid w:val="2D120D6A"/>
    <w:rsid w:val="2D2C34A4"/>
    <w:rsid w:val="2D341A64"/>
    <w:rsid w:val="2D426DA6"/>
    <w:rsid w:val="2D4405CF"/>
    <w:rsid w:val="2D526B1C"/>
    <w:rsid w:val="2D5F1E6B"/>
    <w:rsid w:val="2D6E2C02"/>
    <w:rsid w:val="2D821BA5"/>
    <w:rsid w:val="2D8F7403"/>
    <w:rsid w:val="2D974507"/>
    <w:rsid w:val="2D9818DA"/>
    <w:rsid w:val="2D9E56F5"/>
    <w:rsid w:val="2DAA6A29"/>
    <w:rsid w:val="2DAD574C"/>
    <w:rsid w:val="2DB375EB"/>
    <w:rsid w:val="2DCF162E"/>
    <w:rsid w:val="2DD07014"/>
    <w:rsid w:val="2DDD07C3"/>
    <w:rsid w:val="2DDD57A8"/>
    <w:rsid w:val="2DF4699B"/>
    <w:rsid w:val="2DFD39BD"/>
    <w:rsid w:val="2E00432D"/>
    <w:rsid w:val="2E074656"/>
    <w:rsid w:val="2E2959A0"/>
    <w:rsid w:val="2E487BD3"/>
    <w:rsid w:val="2E5B0008"/>
    <w:rsid w:val="2E667F96"/>
    <w:rsid w:val="2E6F66A1"/>
    <w:rsid w:val="2E7330BF"/>
    <w:rsid w:val="2E7957D0"/>
    <w:rsid w:val="2E8226AB"/>
    <w:rsid w:val="2E866B53"/>
    <w:rsid w:val="2E9A064C"/>
    <w:rsid w:val="2EA21BEF"/>
    <w:rsid w:val="2EA52720"/>
    <w:rsid w:val="2EA72C7E"/>
    <w:rsid w:val="2EC55413"/>
    <w:rsid w:val="2EE36BC2"/>
    <w:rsid w:val="2EED2E72"/>
    <w:rsid w:val="2EF814D2"/>
    <w:rsid w:val="2EFE6E2D"/>
    <w:rsid w:val="2F0D6C22"/>
    <w:rsid w:val="2F284826"/>
    <w:rsid w:val="2F2E30CE"/>
    <w:rsid w:val="2F304C26"/>
    <w:rsid w:val="2F311265"/>
    <w:rsid w:val="2F33661A"/>
    <w:rsid w:val="2F3A210A"/>
    <w:rsid w:val="2F4701CA"/>
    <w:rsid w:val="2F4834F5"/>
    <w:rsid w:val="2F4A4168"/>
    <w:rsid w:val="2F4D3910"/>
    <w:rsid w:val="2F4F5641"/>
    <w:rsid w:val="2F561D90"/>
    <w:rsid w:val="2F572B10"/>
    <w:rsid w:val="2F5C0117"/>
    <w:rsid w:val="2F6D667C"/>
    <w:rsid w:val="2F7535EF"/>
    <w:rsid w:val="2F7E4D4C"/>
    <w:rsid w:val="2FA670EE"/>
    <w:rsid w:val="2FA70E1D"/>
    <w:rsid w:val="2FD065E6"/>
    <w:rsid w:val="2FD96870"/>
    <w:rsid w:val="2FFC52E7"/>
    <w:rsid w:val="300D55A9"/>
    <w:rsid w:val="301627BE"/>
    <w:rsid w:val="301C2807"/>
    <w:rsid w:val="303F2A5D"/>
    <w:rsid w:val="30466CDD"/>
    <w:rsid w:val="30580BC9"/>
    <w:rsid w:val="30646C08"/>
    <w:rsid w:val="30793F2C"/>
    <w:rsid w:val="30A34855"/>
    <w:rsid w:val="30A6152A"/>
    <w:rsid w:val="30B654E5"/>
    <w:rsid w:val="30D1240F"/>
    <w:rsid w:val="30DD1D84"/>
    <w:rsid w:val="30E46BE1"/>
    <w:rsid w:val="30E536FB"/>
    <w:rsid w:val="30F85D1A"/>
    <w:rsid w:val="30FA7AC8"/>
    <w:rsid w:val="31007738"/>
    <w:rsid w:val="31067AB6"/>
    <w:rsid w:val="31164200"/>
    <w:rsid w:val="311E2ED7"/>
    <w:rsid w:val="31382BFF"/>
    <w:rsid w:val="313849FA"/>
    <w:rsid w:val="313A1C72"/>
    <w:rsid w:val="31434207"/>
    <w:rsid w:val="314C60C6"/>
    <w:rsid w:val="314F1F89"/>
    <w:rsid w:val="315619EE"/>
    <w:rsid w:val="315C449C"/>
    <w:rsid w:val="31727460"/>
    <w:rsid w:val="318810A2"/>
    <w:rsid w:val="318A49A8"/>
    <w:rsid w:val="319F2729"/>
    <w:rsid w:val="31AD0AB9"/>
    <w:rsid w:val="31AF1FC5"/>
    <w:rsid w:val="31B11269"/>
    <w:rsid w:val="31B82709"/>
    <w:rsid w:val="31CA56EC"/>
    <w:rsid w:val="31CE5E7D"/>
    <w:rsid w:val="31D05482"/>
    <w:rsid w:val="31DC0F7C"/>
    <w:rsid w:val="31E576B3"/>
    <w:rsid w:val="31F86618"/>
    <w:rsid w:val="31FB2480"/>
    <w:rsid w:val="321270E3"/>
    <w:rsid w:val="32143BFF"/>
    <w:rsid w:val="321D41B9"/>
    <w:rsid w:val="32300AFF"/>
    <w:rsid w:val="32380B5E"/>
    <w:rsid w:val="323A455E"/>
    <w:rsid w:val="324003CA"/>
    <w:rsid w:val="32400B34"/>
    <w:rsid w:val="324335E6"/>
    <w:rsid w:val="325120A9"/>
    <w:rsid w:val="325676D9"/>
    <w:rsid w:val="32652B8D"/>
    <w:rsid w:val="326E70F7"/>
    <w:rsid w:val="32717916"/>
    <w:rsid w:val="3298284C"/>
    <w:rsid w:val="329E6876"/>
    <w:rsid w:val="32A62C77"/>
    <w:rsid w:val="32A83509"/>
    <w:rsid w:val="32B318DE"/>
    <w:rsid w:val="32B617CD"/>
    <w:rsid w:val="32BE57AC"/>
    <w:rsid w:val="32C766C4"/>
    <w:rsid w:val="32CA3DE3"/>
    <w:rsid w:val="32D37B57"/>
    <w:rsid w:val="32E579F4"/>
    <w:rsid w:val="33115F82"/>
    <w:rsid w:val="33151F00"/>
    <w:rsid w:val="33254C7E"/>
    <w:rsid w:val="332C14A7"/>
    <w:rsid w:val="333015F2"/>
    <w:rsid w:val="33301D24"/>
    <w:rsid w:val="33354DE7"/>
    <w:rsid w:val="334B6320"/>
    <w:rsid w:val="33613881"/>
    <w:rsid w:val="33625892"/>
    <w:rsid w:val="337136CD"/>
    <w:rsid w:val="33795743"/>
    <w:rsid w:val="337D7ACA"/>
    <w:rsid w:val="337E46A5"/>
    <w:rsid w:val="33A11AB6"/>
    <w:rsid w:val="33AD453B"/>
    <w:rsid w:val="33B1570B"/>
    <w:rsid w:val="33B81CC1"/>
    <w:rsid w:val="33C136B9"/>
    <w:rsid w:val="33C32826"/>
    <w:rsid w:val="33CC10B8"/>
    <w:rsid w:val="33D934D4"/>
    <w:rsid w:val="33FE2F6A"/>
    <w:rsid w:val="340E07E5"/>
    <w:rsid w:val="34231306"/>
    <w:rsid w:val="34235BF7"/>
    <w:rsid w:val="342402A4"/>
    <w:rsid w:val="3433583A"/>
    <w:rsid w:val="343604E4"/>
    <w:rsid w:val="34364EFC"/>
    <w:rsid w:val="343A507B"/>
    <w:rsid w:val="344D08F9"/>
    <w:rsid w:val="34527A2C"/>
    <w:rsid w:val="34693044"/>
    <w:rsid w:val="346B7EAD"/>
    <w:rsid w:val="347329EC"/>
    <w:rsid w:val="347B35FE"/>
    <w:rsid w:val="348A675E"/>
    <w:rsid w:val="348B393B"/>
    <w:rsid w:val="348E0EE8"/>
    <w:rsid w:val="348E333C"/>
    <w:rsid w:val="34980FE9"/>
    <w:rsid w:val="34A921E7"/>
    <w:rsid w:val="34EA0EDE"/>
    <w:rsid w:val="34F8431E"/>
    <w:rsid w:val="350939AF"/>
    <w:rsid w:val="350D33CC"/>
    <w:rsid w:val="35131E4D"/>
    <w:rsid w:val="352D6701"/>
    <w:rsid w:val="352F377E"/>
    <w:rsid w:val="35325052"/>
    <w:rsid w:val="3558300F"/>
    <w:rsid w:val="355B3B25"/>
    <w:rsid w:val="355D3163"/>
    <w:rsid w:val="356D4E39"/>
    <w:rsid w:val="3571148E"/>
    <w:rsid w:val="35770210"/>
    <w:rsid w:val="35793581"/>
    <w:rsid w:val="35820BB2"/>
    <w:rsid w:val="358B4CED"/>
    <w:rsid w:val="358B6EA9"/>
    <w:rsid w:val="358C5FA8"/>
    <w:rsid w:val="35970EC4"/>
    <w:rsid w:val="35A32B36"/>
    <w:rsid w:val="35B73DDD"/>
    <w:rsid w:val="35B95382"/>
    <w:rsid w:val="35BF00D7"/>
    <w:rsid w:val="35C15DF1"/>
    <w:rsid w:val="35DC0B11"/>
    <w:rsid w:val="35DF52F8"/>
    <w:rsid w:val="35F1239B"/>
    <w:rsid w:val="35FC35B8"/>
    <w:rsid w:val="35FC54FC"/>
    <w:rsid w:val="35FD2BFD"/>
    <w:rsid w:val="36055ED2"/>
    <w:rsid w:val="36074A7F"/>
    <w:rsid w:val="360F0F9C"/>
    <w:rsid w:val="360F4196"/>
    <w:rsid w:val="36105698"/>
    <w:rsid w:val="3614655D"/>
    <w:rsid w:val="361844EA"/>
    <w:rsid w:val="3619454C"/>
    <w:rsid w:val="363A5186"/>
    <w:rsid w:val="364E2199"/>
    <w:rsid w:val="36584BFF"/>
    <w:rsid w:val="366C4FC4"/>
    <w:rsid w:val="367E5154"/>
    <w:rsid w:val="36874E4A"/>
    <w:rsid w:val="36923549"/>
    <w:rsid w:val="36A02629"/>
    <w:rsid w:val="36A17E62"/>
    <w:rsid w:val="36A44E47"/>
    <w:rsid w:val="36A76B11"/>
    <w:rsid w:val="36B576F1"/>
    <w:rsid w:val="36B75FBF"/>
    <w:rsid w:val="36BD0C45"/>
    <w:rsid w:val="36C65011"/>
    <w:rsid w:val="36D32812"/>
    <w:rsid w:val="36DF645C"/>
    <w:rsid w:val="36E549DA"/>
    <w:rsid w:val="36E6151B"/>
    <w:rsid w:val="36E93A8A"/>
    <w:rsid w:val="36FB29AB"/>
    <w:rsid w:val="370E512B"/>
    <w:rsid w:val="37231A75"/>
    <w:rsid w:val="372413FB"/>
    <w:rsid w:val="372F2A39"/>
    <w:rsid w:val="37404569"/>
    <w:rsid w:val="37420CAB"/>
    <w:rsid w:val="37730610"/>
    <w:rsid w:val="378B76CC"/>
    <w:rsid w:val="37AA0415"/>
    <w:rsid w:val="37D2268C"/>
    <w:rsid w:val="37D669A6"/>
    <w:rsid w:val="37DB6248"/>
    <w:rsid w:val="37E00298"/>
    <w:rsid w:val="37EA79AB"/>
    <w:rsid w:val="37F00C8E"/>
    <w:rsid w:val="37F5758A"/>
    <w:rsid w:val="37FD2081"/>
    <w:rsid w:val="37FF4111"/>
    <w:rsid w:val="38043862"/>
    <w:rsid w:val="380D4269"/>
    <w:rsid w:val="381713C9"/>
    <w:rsid w:val="38230143"/>
    <w:rsid w:val="383D43FC"/>
    <w:rsid w:val="384E582A"/>
    <w:rsid w:val="38542EC2"/>
    <w:rsid w:val="386046B4"/>
    <w:rsid w:val="38787453"/>
    <w:rsid w:val="38801E32"/>
    <w:rsid w:val="38832151"/>
    <w:rsid w:val="38851F4B"/>
    <w:rsid w:val="388F5D19"/>
    <w:rsid w:val="38965C74"/>
    <w:rsid w:val="38B302F9"/>
    <w:rsid w:val="38C05153"/>
    <w:rsid w:val="38C334D9"/>
    <w:rsid w:val="38D2123F"/>
    <w:rsid w:val="38E96297"/>
    <w:rsid w:val="38F12CD3"/>
    <w:rsid w:val="38F94775"/>
    <w:rsid w:val="39016FE4"/>
    <w:rsid w:val="39212304"/>
    <w:rsid w:val="392971ED"/>
    <w:rsid w:val="39325651"/>
    <w:rsid w:val="393A223C"/>
    <w:rsid w:val="394B74C7"/>
    <w:rsid w:val="3955289A"/>
    <w:rsid w:val="39553AED"/>
    <w:rsid w:val="39555EBF"/>
    <w:rsid w:val="395C5655"/>
    <w:rsid w:val="39652F7F"/>
    <w:rsid w:val="39760264"/>
    <w:rsid w:val="39824381"/>
    <w:rsid w:val="399162BD"/>
    <w:rsid w:val="399C171C"/>
    <w:rsid w:val="399C3268"/>
    <w:rsid w:val="39A1549D"/>
    <w:rsid w:val="39A21035"/>
    <w:rsid w:val="39A91BF5"/>
    <w:rsid w:val="39B32A8E"/>
    <w:rsid w:val="39B9093E"/>
    <w:rsid w:val="39C4427A"/>
    <w:rsid w:val="39C6354C"/>
    <w:rsid w:val="39E02CCB"/>
    <w:rsid w:val="39E46478"/>
    <w:rsid w:val="39EF0708"/>
    <w:rsid w:val="39EF631E"/>
    <w:rsid w:val="39F87855"/>
    <w:rsid w:val="3A0A43BA"/>
    <w:rsid w:val="3A275A15"/>
    <w:rsid w:val="3A476A38"/>
    <w:rsid w:val="3A4A60D4"/>
    <w:rsid w:val="3A4D36DE"/>
    <w:rsid w:val="3A5A3A61"/>
    <w:rsid w:val="3A661D2A"/>
    <w:rsid w:val="3A6A4D5B"/>
    <w:rsid w:val="3A872856"/>
    <w:rsid w:val="3A9A4B0D"/>
    <w:rsid w:val="3AA0347D"/>
    <w:rsid w:val="3AC5229C"/>
    <w:rsid w:val="3AE05B43"/>
    <w:rsid w:val="3AEF0379"/>
    <w:rsid w:val="3AEF2CAA"/>
    <w:rsid w:val="3B007A89"/>
    <w:rsid w:val="3B13291E"/>
    <w:rsid w:val="3B1B6368"/>
    <w:rsid w:val="3B2441FE"/>
    <w:rsid w:val="3B2A1891"/>
    <w:rsid w:val="3B3763D1"/>
    <w:rsid w:val="3B4E14F1"/>
    <w:rsid w:val="3B5417BF"/>
    <w:rsid w:val="3B5473C9"/>
    <w:rsid w:val="3B636CBF"/>
    <w:rsid w:val="3B6B3C2B"/>
    <w:rsid w:val="3B751FBD"/>
    <w:rsid w:val="3B790BD3"/>
    <w:rsid w:val="3B7A54C4"/>
    <w:rsid w:val="3BA87A8D"/>
    <w:rsid w:val="3BB16FD5"/>
    <w:rsid w:val="3C0D5AC9"/>
    <w:rsid w:val="3C1A1550"/>
    <w:rsid w:val="3C2F6E1E"/>
    <w:rsid w:val="3C435F5D"/>
    <w:rsid w:val="3C490E3C"/>
    <w:rsid w:val="3C4D2C53"/>
    <w:rsid w:val="3C4F64BA"/>
    <w:rsid w:val="3C680F15"/>
    <w:rsid w:val="3C9006BF"/>
    <w:rsid w:val="3C906601"/>
    <w:rsid w:val="3C96721C"/>
    <w:rsid w:val="3CA52F3A"/>
    <w:rsid w:val="3CA575EF"/>
    <w:rsid w:val="3CAC09CB"/>
    <w:rsid w:val="3CAC7734"/>
    <w:rsid w:val="3CB1587B"/>
    <w:rsid w:val="3CBF360F"/>
    <w:rsid w:val="3CCD6091"/>
    <w:rsid w:val="3CD33E3D"/>
    <w:rsid w:val="3CDA245A"/>
    <w:rsid w:val="3CF60610"/>
    <w:rsid w:val="3CFE419A"/>
    <w:rsid w:val="3D1877D4"/>
    <w:rsid w:val="3D1B5230"/>
    <w:rsid w:val="3D1E06B7"/>
    <w:rsid w:val="3D257FD6"/>
    <w:rsid w:val="3D3C3203"/>
    <w:rsid w:val="3D6428CB"/>
    <w:rsid w:val="3D672748"/>
    <w:rsid w:val="3D6E5770"/>
    <w:rsid w:val="3D6F0862"/>
    <w:rsid w:val="3D7815DA"/>
    <w:rsid w:val="3D8044A2"/>
    <w:rsid w:val="3D874491"/>
    <w:rsid w:val="3DB50A5D"/>
    <w:rsid w:val="3DC03054"/>
    <w:rsid w:val="3DC079B1"/>
    <w:rsid w:val="3DD523D5"/>
    <w:rsid w:val="3DEE4EAC"/>
    <w:rsid w:val="3E01294F"/>
    <w:rsid w:val="3E0570DD"/>
    <w:rsid w:val="3E061964"/>
    <w:rsid w:val="3E1378B4"/>
    <w:rsid w:val="3E1A34E5"/>
    <w:rsid w:val="3E397208"/>
    <w:rsid w:val="3E3F2FBE"/>
    <w:rsid w:val="3E611186"/>
    <w:rsid w:val="3E642219"/>
    <w:rsid w:val="3E6A4896"/>
    <w:rsid w:val="3E7762B5"/>
    <w:rsid w:val="3E8F1850"/>
    <w:rsid w:val="3EB725EF"/>
    <w:rsid w:val="3ED743E4"/>
    <w:rsid w:val="3EDA0523"/>
    <w:rsid w:val="3EDE5E86"/>
    <w:rsid w:val="3EE407FD"/>
    <w:rsid w:val="3EF269CD"/>
    <w:rsid w:val="3F021FCA"/>
    <w:rsid w:val="3F040BBC"/>
    <w:rsid w:val="3F0802A4"/>
    <w:rsid w:val="3F0A4915"/>
    <w:rsid w:val="3F174709"/>
    <w:rsid w:val="3F1D366A"/>
    <w:rsid w:val="3F2A07B1"/>
    <w:rsid w:val="3F2E6343"/>
    <w:rsid w:val="3F311F31"/>
    <w:rsid w:val="3F3B3785"/>
    <w:rsid w:val="3F4257E3"/>
    <w:rsid w:val="3F637183"/>
    <w:rsid w:val="3F656A54"/>
    <w:rsid w:val="3F712FB6"/>
    <w:rsid w:val="3F717F20"/>
    <w:rsid w:val="3F757E04"/>
    <w:rsid w:val="3F813EB6"/>
    <w:rsid w:val="3F9B06C8"/>
    <w:rsid w:val="3FA56E51"/>
    <w:rsid w:val="3FB70450"/>
    <w:rsid w:val="3FB74309"/>
    <w:rsid w:val="3FE23C01"/>
    <w:rsid w:val="3FFA59E9"/>
    <w:rsid w:val="400377D9"/>
    <w:rsid w:val="400707F3"/>
    <w:rsid w:val="40110F38"/>
    <w:rsid w:val="40237C7B"/>
    <w:rsid w:val="402B4F1C"/>
    <w:rsid w:val="40380E22"/>
    <w:rsid w:val="403C1487"/>
    <w:rsid w:val="403D5EC8"/>
    <w:rsid w:val="4041301D"/>
    <w:rsid w:val="4042621C"/>
    <w:rsid w:val="40520BD7"/>
    <w:rsid w:val="40542A61"/>
    <w:rsid w:val="405909D2"/>
    <w:rsid w:val="406722F2"/>
    <w:rsid w:val="407A6407"/>
    <w:rsid w:val="407C4872"/>
    <w:rsid w:val="408353E4"/>
    <w:rsid w:val="4087015A"/>
    <w:rsid w:val="40A646E8"/>
    <w:rsid w:val="40AE4392"/>
    <w:rsid w:val="40B00C12"/>
    <w:rsid w:val="40B77DE3"/>
    <w:rsid w:val="40BE01CA"/>
    <w:rsid w:val="40CB7C7F"/>
    <w:rsid w:val="40D57834"/>
    <w:rsid w:val="40DC13F4"/>
    <w:rsid w:val="40E02699"/>
    <w:rsid w:val="40E2063B"/>
    <w:rsid w:val="40E74410"/>
    <w:rsid w:val="40E84714"/>
    <w:rsid w:val="40EB5D2C"/>
    <w:rsid w:val="40F2439B"/>
    <w:rsid w:val="40FA2EBC"/>
    <w:rsid w:val="40FC53A9"/>
    <w:rsid w:val="4102345C"/>
    <w:rsid w:val="41323A55"/>
    <w:rsid w:val="41395DC0"/>
    <w:rsid w:val="413A6CF9"/>
    <w:rsid w:val="41523F5F"/>
    <w:rsid w:val="415D577B"/>
    <w:rsid w:val="415D61C7"/>
    <w:rsid w:val="41657605"/>
    <w:rsid w:val="41840250"/>
    <w:rsid w:val="4193026E"/>
    <w:rsid w:val="41934C3B"/>
    <w:rsid w:val="41A108A7"/>
    <w:rsid w:val="41A33F03"/>
    <w:rsid w:val="41AF2B15"/>
    <w:rsid w:val="41C54101"/>
    <w:rsid w:val="41E13755"/>
    <w:rsid w:val="41E8485F"/>
    <w:rsid w:val="41F43CBE"/>
    <w:rsid w:val="41F52311"/>
    <w:rsid w:val="41FA1184"/>
    <w:rsid w:val="41FE239B"/>
    <w:rsid w:val="4200449D"/>
    <w:rsid w:val="42104643"/>
    <w:rsid w:val="42233522"/>
    <w:rsid w:val="423A3BCC"/>
    <w:rsid w:val="424167CF"/>
    <w:rsid w:val="424E57D2"/>
    <w:rsid w:val="42577237"/>
    <w:rsid w:val="425857B3"/>
    <w:rsid w:val="425E6442"/>
    <w:rsid w:val="4260560E"/>
    <w:rsid w:val="427750E2"/>
    <w:rsid w:val="42816906"/>
    <w:rsid w:val="42AD2B62"/>
    <w:rsid w:val="42B234EB"/>
    <w:rsid w:val="42B26C49"/>
    <w:rsid w:val="42C50A67"/>
    <w:rsid w:val="42C916C7"/>
    <w:rsid w:val="42CA01D9"/>
    <w:rsid w:val="42D86F01"/>
    <w:rsid w:val="42E759F4"/>
    <w:rsid w:val="42FB5D15"/>
    <w:rsid w:val="43063105"/>
    <w:rsid w:val="43093658"/>
    <w:rsid w:val="432C525E"/>
    <w:rsid w:val="432F53AF"/>
    <w:rsid w:val="4332001A"/>
    <w:rsid w:val="433A6FE6"/>
    <w:rsid w:val="43442CD2"/>
    <w:rsid w:val="43457D85"/>
    <w:rsid w:val="43480868"/>
    <w:rsid w:val="434A7D14"/>
    <w:rsid w:val="4350713C"/>
    <w:rsid w:val="436142E9"/>
    <w:rsid w:val="436653E0"/>
    <w:rsid w:val="437E3CA6"/>
    <w:rsid w:val="438B65E9"/>
    <w:rsid w:val="43990BC1"/>
    <w:rsid w:val="439C056B"/>
    <w:rsid w:val="439C3E62"/>
    <w:rsid w:val="43A03350"/>
    <w:rsid w:val="43BC2838"/>
    <w:rsid w:val="43BC2A83"/>
    <w:rsid w:val="43C4431A"/>
    <w:rsid w:val="43C46F34"/>
    <w:rsid w:val="43C57AC2"/>
    <w:rsid w:val="43CD03EF"/>
    <w:rsid w:val="43D70CA3"/>
    <w:rsid w:val="43DE2D77"/>
    <w:rsid w:val="44104D7E"/>
    <w:rsid w:val="441D64D3"/>
    <w:rsid w:val="44202251"/>
    <w:rsid w:val="442A232C"/>
    <w:rsid w:val="443D6E8A"/>
    <w:rsid w:val="44524436"/>
    <w:rsid w:val="445663BA"/>
    <w:rsid w:val="4467501D"/>
    <w:rsid w:val="4468170E"/>
    <w:rsid w:val="446D218D"/>
    <w:rsid w:val="448D7897"/>
    <w:rsid w:val="449E6625"/>
    <w:rsid w:val="44AF4846"/>
    <w:rsid w:val="44B23A87"/>
    <w:rsid w:val="44B951CC"/>
    <w:rsid w:val="44C67F95"/>
    <w:rsid w:val="44CD14E0"/>
    <w:rsid w:val="44ED6385"/>
    <w:rsid w:val="44EE135A"/>
    <w:rsid w:val="44F20B0B"/>
    <w:rsid w:val="45012175"/>
    <w:rsid w:val="4511511A"/>
    <w:rsid w:val="45176598"/>
    <w:rsid w:val="4518283D"/>
    <w:rsid w:val="451900C5"/>
    <w:rsid w:val="45224105"/>
    <w:rsid w:val="452E5F4C"/>
    <w:rsid w:val="45323F15"/>
    <w:rsid w:val="45590B62"/>
    <w:rsid w:val="45612018"/>
    <w:rsid w:val="45667DC6"/>
    <w:rsid w:val="45690DEB"/>
    <w:rsid w:val="456E6E15"/>
    <w:rsid w:val="458946E9"/>
    <w:rsid w:val="458B61B4"/>
    <w:rsid w:val="459C4979"/>
    <w:rsid w:val="459F7FF5"/>
    <w:rsid w:val="45A47C0E"/>
    <w:rsid w:val="45B24380"/>
    <w:rsid w:val="45B32AE0"/>
    <w:rsid w:val="45E13FD2"/>
    <w:rsid w:val="45E16709"/>
    <w:rsid w:val="45EF19A1"/>
    <w:rsid w:val="45F06FF4"/>
    <w:rsid w:val="45F97DE2"/>
    <w:rsid w:val="45FB0109"/>
    <w:rsid w:val="460867CC"/>
    <w:rsid w:val="461B1C1B"/>
    <w:rsid w:val="46251BEC"/>
    <w:rsid w:val="462B66E0"/>
    <w:rsid w:val="462F3E88"/>
    <w:rsid w:val="46344F00"/>
    <w:rsid w:val="46483E29"/>
    <w:rsid w:val="464F1ED4"/>
    <w:rsid w:val="46577FD6"/>
    <w:rsid w:val="467B093B"/>
    <w:rsid w:val="4688750A"/>
    <w:rsid w:val="468C10DF"/>
    <w:rsid w:val="4691580A"/>
    <w:rsid w:val="469B55FA"/>
    <w:rsid w:val="469B5824"/>
    <w:rsid w:val="469F1111"/>
    <w:rsid w:val="46A34F9B"/>
    <w:rsid w:val="46A547F3"/>
    <w:rsid w:val="46AE00CF"/>
    <w:rsid w:val="46BB084E"/>
    <w:rsid w:val="46BC0309"/>
    <w:rsid w:val="46C4216E"/>
    <w:rsid w:val="46CB6627"/>
    <w:rsid w:val="46D955A7"/>
    <w:rsid w:val="46E73F22"/>
    <w:rsid w:val="46EA3077"/>
    <w:rsid w:val="46F91B2B"/>
    <w:rsid w:val="46FA70DF"/>
    <w:rsid w:val="47007847"/>
    <w:rsid w:val="47133957"/>
    <w:rsid w:val="47220768"/>
    <w:rsid w:val="473546D4"/>
    <w:rsid w:val="473D46BC"/>
    <w:rsid w:val="4747124C"/>
    <w:rsid w:val="474D57A3"/>
    <w:rsid w:val="474F326B"/>
    <w:rsid w:val="4757651D"/>
    <w:rsid w:val="475F1A92"/>
    <w:rsid w:val="47664C08"/>
    <w:rsid w:val="47756079"/>
    <w:rsid w:val="47796D88"/>
    <w:rsid w:val="477B0609"/>
    <w:rsid w:val="47803AED"/>
    <w:rsid w:val="478D2B7B"/>
    <w:rsid w:val="479C6D48"/>
    <w:rsid w:val="47A07E0C"/>
    <w:rsid w:val="47B0072E"/>
    <w:rsid w:val="47BE6865"/>
    <w:rsid w:val="47DE0355"/>
    <w:rsid w:val="47E64CED"/>
    <w:rsid w:val="47EA3D2C"/>
    <w:rsid w:val="47FC67D2"/>
    <w:rsid w:val="480F301E"/>
    <w:rsid w:val="481233E6"/>
    <w:rsid w:val="481354F0"/>
    <w:rsid w:val="48160E3A"/>
    <w:rsid w:val="48220A60"/>
    <w:rsid w:val="48420DC4"/>
    <w:rsid w:val="484232D5"/>
    <w:rsid w:val="48466243"/>
    <w:rsid w:val="48473080"/>
    <w:rsid w:val="484A4F29"/>
    <w:rsid w:val="48551B0C"/>
    <w:rsid w:val="48565BE8"/>
    <w:rsid w:val="4870272E"/>
    <w:rsid w:val="487E032C"/>
    <w:rsid w:val="48850897"/>
    <w:rsid w:val="48860E58"/>
    <w:rsid w:val="48947F0A"/>
    <w:rsid w:val="48977333"/>
    <w:rsid w:val="48AC624A"/>
    <w:rsid w:val="48AD7924"/>
    <w:rsid w:val="48BB37F1"/>
    <w:rsid w:val="48CF69F2"/>
    <w:rsid w:val="48D04759"/>
    <w:rsid w:val="48D11888"/>
    <w:rsid w:val="48D12A38"/>
    <w:rsid w:val="49065663"/>
    <w:rsid w:val="49065BC0"/>
    <w:rsid w:val="4916718C"/>
    <w:rsid w:val="491A440C"/>
    <w:rsid w:val="492E0AF5"/>
    <w:rsid w:val="493F0393"/>
    <w:rsid w:val="49531EC7"/>
    <w:rsid w:val="495C77D2"/>
    <w:rsid w:val="49660B10"/>
    <w:rsid w:val="497129E0"/>
    <w:rsid w:val="49791213"/>
    <w:rsid w:val="49857AF3"/>
    <w:rsid w:val="498875C7"/>
    <w:rsid w:val="499671D0"/>
    <w:rsid w:val="49B85748"/>
    <w:rsid w:val="49C14635"/>
    <w:rsid w:val="49C56A6D"/>
    <w:rsid w:val="49CD3B48"/>
    <w:rsid w:val="49D62A28"/>
    <w:rsid w:val="49DB6932"/>
    <w:rsid w:val="49DC7715"/>
    <w:rsid w:val="49E60771"/>
    <w:rsid w:val="49E80CD6"/>
    <w:rsid w:val="49EE6B1C"/>
    <w:rsid w:val="49F06177"/>
    <w:rsid w:val="49F54A11"/>
    <w:rsid w:val="49F7474D"/>
    <w:rsid w:val="49FC093B"/>
    <w:rsid w:val="4A023139"/>
    <w:rsid w:val="4A031344"/>
    <w:rsid w:val="4A0A4C18"/>
    <w:rsid w:val="4A0B6BF4"/>
    <w:rsid w:val="4A1C322B"/>
    <w:rsid w:val="4A2007F8"/>
    <w:rsid w:val="4A34774F"/>
    <w:rsid w:val="4A42707D"/>
    <w:rsid w:val="4A453376"/>
    <w:rsid w:val="4A4C6A70"/>
    <w:rsid w:val="4A5360F1"/>
    <w:rsid w:val="4A5437BE"/>
    <w:rsid w:val="4A5F6B2F"/>
    <w:rsid w:val="4A6B7F72"/>
    <w:rsid w:val="4A6D0536"/>
    <w:rsid w:val="4A6E5737"/>
    <w:rsid w:val="4A6F1F0F"/>
    <w:rsid w:val="4A762F51"/>
    <w:rsid w:val="4A793333"/>
    <w:rsid w:val="4A7A13CA"/>
    <w:rsid w:val="4A7A7809"/>
    <w:rsid w:val="4A7B576F"/>
    <w:rsid w:val="4A873D23"/>
    <w:rsid w:val="4A950249"/>
    <w:rsid w:val="4AC15AD6"/>
    <w:rsid w:val="4ADD142B"/>
    <w:rsid w:val="4AE559CC"/>
    <w:rsid w:val="4AEB06C7"/>
    <w:rsid w:val="4AEE2B5A"/>
    <w:rsid w:val="4AF55A6A"/>
    <w:rsid w:val="4AF561A9"/>
    <w:rsid w:val="4B0A3471"/>
    <w:rsid w:val="4B222854"/>
    <w:rsid w:val="4B4158ED"/>
    <w:rsid w:val="4B422D44"/>
    <w:rsid w:val="4B4C0582"/>
    <w:rsid w:val="4B517637"/>
    <w:rsid w:val="4B5906C2"/>
    <w:rsid w:val="4B6D12D9"/>
    <w:rsid w:val="4B6D6DCA"/>
    <w:rsid w:val="4B6E22D0"/>
    <w:rsid w:val="4B8E1ADD"/>
    <w:rsid w:val="4B94679F"/>
    <w:rsid w:val="4BA162D3"/>
    <w:rsid w:val="4BAC19F1"/>
    <w:rsid w:val="4BAF5189"/>
    <w:rsid w:val="4BC30E79"/>
    <w:rsid w:val="4BC33965"/>
    <w:rsid w:val="4BE62CCB"/>
    <w:rsid w:val="4BF278C2"/>
    <w:rsid w:val="4C0116B6"/>
    <w:rsid w:val="4C09147E"/>
    <w:rsid w:val="4C1102B4"/>
    <w:rsid w:val="4C124BC8"/>
    <w:rsid w:val="4C210300"/>
    <w:rsid w:val="4C224DB8"/>
    <w:rsid w:val="4C336756"/>
    <w:rsid w:val="4C3F73EA"/>
    <w:rsid w:val="4C485952"/>
    <w:rsid w:val="4C4A0649"/>
    <w:rsid w:val="4C6312A4"/>
    <w:rsid w:val="4C653E05"/>
    <w:rsid w:val="4C7D362F"/>
    <w:rsid w:val="4C7E5ECA"/>
    <w:rsid w:val="4C876AA5"/>
    <w:rsid w:val="4C8A0C1D"/>
    <w:rsid w:val="4C8B61CE"/>
    <w:rsid w:val="4C8D3147"/>
    <w:rsid w:val="4C8F299A"/>
    <w:rsid w:val="4C97604D"/>
    <w:rsid w:val="4CAA1387"/>
    <w:rsid w:val="4CCD6CD6"/>
    <w:rsid w:val="4CD31551"/>
    <w:rsid w:val="4CDE13BE"/>
    <w:rsid w:val="4CDE2D1C"/>
    <w:rsid w:val="4CE32F81"/>
    <w:rsid w:val="4CE425FB"/>
    <w:rsid w:val="4CEE4E99"/>
    <w:rsid w:val="4CF109D4"/>
    <w:rsid w:val="4D0E00FB"/>
    <w:rsid w:val="4D0F0FCE"/>
    <w:rsid w:val="4D176606"/>
    <w:rsid w:val="4D1A12FB"/>
    <w:rsid w:val="4D1F6494"/>
    <w:rsid w:val="4D2E3FEE"/>
    <w:rsid w:val="4D5E1462"/>
    <w:rsid w:val="4D5E4344"/>
    <w:rsid w:val="4D7E060B"/>
    <w:rsid w:val="4D9A4DB8"/>
    <w:rsid w:val="4D9D385D"/>
    <w:rsid w:val="4D9F3688"/>
    <w:rsid w:val="4DB01A1A"/>
    <w:rsid w:val="4DB80713"/>
    <w:rsid w:val="4DD411CC"/>
    <w:rsid w:val="4DD80FDB"/>
    <w:rsid w:val="4DDA5BB6"/>
    <w:rsid w:val="4DE630CC"/>
    <w:rsid w:val="4DEC4FB0"/>
    <w:rsid w:val="4DEC5398"/>
    <w:rsid w:val="4DEF4176"/>
    <w:rsid w:val="4DFB5605"/>
    <w:rsid w:val="4DFD41FB"/>
    <w:rsid w:val="4E06026C"/>
    <w:rsid w:val="4E075D8A"/>
    <w:rsid w:val="4E0E3D55"/>
    <w:rsid w:val="4E1521B0"/>
    <w:rsid w:val="4E3C7A10"/>
    <w:rsid w:val="4E5643FF"/>
    <w:rsid w:val="4E68211A"/>
    <w:rsid w:val="4E71255A"/>
    <w:rsid w:val="4E7356A1"/>
    <w:rsid w:val="4E747792"/>
    <w:rsid w:val="4E7A5D97"/>
    <w:rsid w:val="4E7B3764"/>
    <w:rsid w:val="4E812288"/>
    <w:rsid w:val="4E8E38F1"/>
    <w:rsid w:val="4E947BB8"/>
    <w:rsid w:val="4E964F2B"/>
    <w:rsid w:val="4EB37C3D"/>
    <w:rsid w:val="4EBD3763"/>
    <w:rsid w:val="4EC00FAD"/>
    <w:rsid w:val="4EC32FF8"/>
    <w:rsid w:val="4EC83B07"/>
    <w:rsid w:val="4ED82D9F"/>
    <w:rsid w:val="4EE51E8F"/>
    <w:rsid w:val="4EFA2641"/>
    <w:rsid w:val="4EFE64FC"/>
    <w:rsid w:val="4F074804"/>
    <w:rsid w:val="4F0F6E17"/>
    <w:rsid w:val="4F13001E"/>
    <w:rsid w:val="4F174463"/>
    <w:rsid w:val="4F1D44DC"/>
    <w:rsid w:val="4F280008"/>
    <w:rsid w:val="4F2C53DC"/>
    <w:rsid w:val="4F300C1C"/>
    <w:rsid w:val="4F332307"/>
    <w:rsid w:val="4F33740B"/>
    <w:rsid w:val="4F364DBE"/>
    <w:rsid w:val="4F3930A8"/>
    <w:rsid w:val="4F3F6884"/>
    <w:rsid w:val="4F405AE9"/>
    <w:rsid w:val="4F4514B9"/>
    <w:rsid w:val="4F610D6D"/>
    <w:rsid w:val="4F6C3D97"/>
    <w:rsid w:val="4F7277DF"/>
    <w:rsid w:val="4F967CD7"/>
    <w:rsid w:val="4F97429E"/>
    <w:rsid w:val="4F976143"/>
    <w:rsid w:val="4F9843DC"/>
    <w:rsid w:val="4FA965C7"/>
    <w:rsid w:val="4FC62A8C"/>
    <w:rsid w:val="4FDA5733"/>
    <w:rsid w:val="4FE20F0D"/>
    <w:rsid w:val="4FE51552"/>
    <w:rsid w:val="4FED4FDF"/>
    <w:rsid w:val="4FFC2ABD"/>
    <w:rsid w:val="4FFC3E97"/>
    <w:rsid w:val="4FFD595B"/>
    <w:rsid w:val="50025BF9"/>
    <w:rsid w:val="50073BAB"/>
    <w:rsid w:val="5009759E"/>
    <w:rsid w:val="500F77D1"/>
    <w:rsid w:val="501D3B75"/>
    <w:rsid w:val="50210535"/>
    <w:rsid w:val="50371D47"/>
    <w:rsid w:val="50373AF5"/>
    <w:rsid w:val="504B06AB"/>
    <w:rsid w:val="50504C4B"/>
    <w:rsid w:val="505708AA"/>
    <w:rsid w:val="505907E4"/>
    <w:rsid w:val="506B51B0"/>
    <w:rsid w:val="50816CB4"/>
    <w:rsid w:val="509C6E7C"/>
    <w:rsid w:val="50A955ED"/>
    <w:rsid w:val="50B950EB"/>
    <w:rsid w:val="50BA24EF"/>
    <w:rsid w:val="50CB4205"/>
    <w:rsid w:val="50DA429D"/>
    <w:rsid w:val="50E81CB8"/>
    <w:rsid w:val="50FB51EE"/>
    <w:rsid w:val="5100038B"/>
    <w:rsid w:val="5109750B"/>
    <w:rsid w:val="51121308"/>
    <w:rsid w:val="511B50BD"/>
    <w:rsid w:val="511E568D"/>
    <w:rsid w:val="51447ED3"/>
    <w:rsid w:val="514E6823"/>
    <w:rsid w:val="515D0B7B"/>
    <w:rsid w:val="5160646A"/>
    <w:rsid w:val="5162104E"/>
    <w:rsid w:val="517319AD"/>
    <w:rsid w:val="518A25EC"/>
    <w:rsid w:val="51942DF1"/>
    <w:rsid w:val="519D41BE"/>
    <w:rsid w:val="519F20E6"/>
    <w:rsid w:val="51A21356"/>
    <w:rsid w:val="51A50BFA"/>
    <w:rsid w:val="51AB3076"/>
    <w:rsid w:val="51D8730D"/>
    <w:rsid w:val="51E0195A"/>
    <w:rsid w:val="51F26FC8"/>
    <w:rsid w:val="52086E69"/>
    <w:rsid w:val="522C128B"/>
    <w:rsid w:val="52321467"/>
    <w:rsid w:val="52455161"/>
    <w:rsid w:val="52546EC8"/>
    <w:rsid w:val="52560EF8"/>
    <w:rsid w:val="525775DE"/>
    <w:rsid w:val="5261584E"/>
    <w:rsid w:val="526947F5"/>
    <w:rsid w:val="52743DE8"/>
    <w:rsid w:val="5281370D"/>
    <w:rsid w:val="52975EEA"/>
    <w:rsid w:val="52AC5C47"/>
    <w:rsid w:val="52B41F34"/>
    <w:rsid w:val="52B50E88"/>
    <w:rsid w:val="52CB6C65"/>
    <w:rsid w:val="52EA7726"/>
    <w:rsid w:val="52F81343"/>
    <w:rsid w:val="531405EC"/>
    <w:rsid w:val="532002F2"/>
    <w:rsid w:val="53231E9E"/>
    <w:rsid w:val="532420A3"/>
    <w:rsid w:val="53302731"/>
    <w:rsid w:val="53363240"/>
    <w:rsid w:val="53382046"/>
    <w:rsid w:val="53430783"/>
    <w:rsid w:val="534F2226"/>
    <w:rsid w:val="535367A5"/>
    <w:rsid w:val="535844AE"/>
    <w:rsid w:val="535B7CED"/>
    <w:rsid w:val="5365094C"/>
    <w:rsid w:val="536A6801"/>
    <w:rsid w:val="537E2FB2"/>
    <w:rsid w:val="538F59F6"/>
    <w:rsid w:val="53973C1A"/>
    <w:rsid w:val="539B74DE"/>
    <w:rsid w:val="539E62B6"/>
    <w:rsid w:val="53A039CC"/>
    <w:rsid w:val="53A122EC"/>
    <w:rsid w:val="53A1505A"/>
    <w:rsid w:val="53A441D1"/>
    <w:rsid w:val="53AD039C"/>
    <w:rsid w:val="53B82C62"/>
    <w:rsid w:val="53C45C9E"/>
    <w:rsid w:val="53DF59F7"/>
    <w:rsid w:val="53E455B6"/>
    <w:rsid w:val="53E612C9"/>
    <w:rsid w:val="53FD5056"/>
    <w:rsid w:val="54063E08"/>
    <w:rsid w:val="54140B2A"/>
    <w:rsid w:val="54247492"/>
    <w:rsid w:val="543437E8"/>
    <w:rsid w:val="543A2EA9"/>
    <w:rsid w:val="543B684F"/>
    <w:rsid w:val="544666CF"/>
    <w:rsid w:val="544F58E0"/>
    <w:rsid w:val="54502D52"/>
    <w:rsid w:val="5452714F"/>
    <w:rsid w:val="54780C4E"/>
    <w:rsid w:val="547C241E"/>
    <w:rsid w:val="54883230"/>
    <w:rsid w:val="54A37B65"/>
    <w:rsid w:val="54A57CFE"/>
    <w:rsid w:val="54C82840"/>
    <w:rsid w:val="54D53FCC"/>
    <w:rsid w:val="54DD4654"/>
    <w:rsid w:val="54E52599"/>
    <w:rsid w:val="54EA7388"/>
    <w:rsid w:val="54EF7847"/>
    <w:rsid w:val="54F73313"/>
    <w:rsid w:val="54F80955"/>
    <w:rsid w:val="550C7C9E"/>
    <w:rsid w:val="55363E50"/>
    <w:rsid w:val="554848BA"/>
    <w:rsid w:val="554F60D0"/>
    <w:rsid w:val="555170A7"/>
    <w:rsid w:val="55576ADF"/>
    <w:rsid w:val="55681C52"/>
    <w:rsid w:val="557070DC"/>
    <w:rsid w:val="557D1859"/>
    <w:rsid w:val="557E7D2B"/>
    <w:rsid w:val="558160E5"/>
    <w:rsid w:val="5587536D"/>
    <w:rsid w:val="559353B9"/>
    <w:rsid w:val="559B174B"/>
    <w:rsid w:val="559B68D4"/>
    <w:rsid w:val="55A21A11"/>
    <w:rsid w:val="55C12233"/>
    <w:rsid w:val="55CE0CF4"/>
    <w:rsid w:val="55E23A15"/>
    <w:rsid w:val="56233E2B"/>
    <w:rsid w:val="562804CC"/>
    <w:rsid w:val="562E5978"/>
    <w:rsid w:val="56360FFF"/>
    <w:rsid w:val="563D09E9"/>
    <w:rsid w:val="56441C93"/>
    <w:rsid w:val="56451E4C"/>
    <w:rsid w:val="564B02FA"/>
    <w:rsid w:val="564D1F93"/>
    <w:rsid w:val="565847C5"/>
    <w:rsid w:val="565D3B8A"/>
    <w:rsid w:val="56617B1E"/>
    <w:rsid w:val="56625965"/>
    <w:rsid w:val="567275FC"/>
    <w:rsid w:val="5685000B"/>
    <w:rsid w:val="56867CBB"/>
    <w:rsid w:val="568715E9"/>
    <w:rsid w:val="569B3810"/>
    <w:rsid w:val="56B22A9C"/>
    <w:rsid w:val="56B91F1D"/>
    <w:rsid w:val="56B955A5"/>
    <w:rsid w:val="56BE5ABA"/>
    <w:rsid w:val="56CA65A1"/>
    <w:rsid w:val="56CC4F86"/>
    <w:rsid w:val="56D20B13"/>
    <w:rsid w:val="56D90919"/>
    <w:rsid w:val="56F50A93"/>
    <w:rsid w:val="57223EA4"/>
    <w:rsid w:val="57533D66"/>
    <w:rsid w:val="575D4FD3"/>
    <w:rsid w:val="57645497"/>
    <w:rsid w:val="577072BF"/>
    <w:rsid w:val="57724814"/>
    <w:rsid w:val="57730079"/>
    <w:rsid w:val="577D60E1"/>
    <w:rsid w:val="5785458A"/>
    <w:rsid w:val="57885615"/>
    <w:rsid w:val="578D2770"/>
    <w:rsid w:val="57B72A76"/>
    <w:rsid w:val="57BB4089"/>
    <w:rsid w:val="57C11FC5"/>
    <w:rsid w:val="57C3426C"/>
    <w:rsid w:val="57C540DC"/>
    <w:rsid w:val="57CC79EC"/>
    <w:rsid w:val="57CE1F93"/>
    <w:rsid w:val="57D33F60"/>
    <w:rsid w:val="57E95AC7"/>
    <w:rsid w:val="57F64296"/>
    <w:rsid w:val="5807028E"/>
    <w:rsid w:val="580E682E"/>
    <w:rsid w:val="581E589F"/>
    <w:rsid w:val="5823146A"/>
    <w:rsid w:val="58396153"/>
    <w:rsid w:val="583F4356"/>
    <w:rsid w:val="58417C07"/>
    <w:rsid w:val="58472DCB"/>
    <w:rsid w:val="58546918"/>
    <w:rsid w:val="58680F22"/>
    <w:rsid w:val="586E7E8F"/>
    <w:rsid w:val="587538B5"/>
    <w:rsid w:val="587672C9"/>
    <w:rsid w:val="588743D1"/>
    <w:rsid w:val="5887701A"/>
    <w:rsid w:val="589A7ED5"/>
    <w:rsid w:val="58B114DD"/>
    <w:rsid w:val="58B373D2"/>
    <w:rsid w:val="58C90842"/>
    <w:rsid w:val="58D41EBB"/>
    <w:rsid w:val="58D8399B"/>
    <w:rsid w:val="58DB5C12"/>
    <w:rsid w:val="58DE3625"/>
    <w:rsid w:val="58E81EDF"/>
    <w:rsid w:val="58EF0374"/>
    <w:rsid w:val="58F20A2E"/>
    <w:rsid w:val="590B32DC"/>
    <w:rsid w:val="59162E41"/>
    <w:rsid w:val="59385E71"/>
    <w:rsid w:val="593908DE"/>
    <w:rsid w:val="594120C4"/>
    <w:rsid w:val="59507A54"/>
    <w:rsid w:val="595C281E"/>
    <w:rsid w:val="596120F0"/>
    <w:rsid w:val="596423F7"/>
    <w:rsid w:val="596974D2"/>
    <w:rsid w:val="597E4543"/>
    <w:rsid w:val="59803DCC"/>
    <w:rsid w:val="5986567D"/>
    <w:rsid w:val="598A7039"/>
    <w:rsid w:val="598A7F20"/>
    <w:rsid w:val="599668F7"/>
    <w:rsid w:val="59A3044D"/>
    <w:rsid w:val="59C0439F"/>
    <w:rsid w:val="59C80A21"/>
    <w:rsid w:val="59CC1752"/>
    <w:rsid w:val="59CD0BD9"/>
    <w:rsid w:val="59DB5E85"/>
    <w:rsid w:val="59EB6C73"/>
    <w:rsid w:val="59EE33AE"/>
    <w:rsid w:val="59F25D63"/>
    <w:rsid w:val="59F3772A"/>
    <w:rsid w:val="5A0A4028"/>
    <w:rsid w:val="5A131A8C"/>
    <w:rsid w:val="5A1F62FB"/>
    <w:rsid w:val="5A2E267B"/>
    <w:rsid w:val="5A2E2818"/>
    <w:rsid w:val="5A333433"/>
    <w:rsid w:val="5A3879CE"/>
    <w:rsid w:val="5A493177"/>
    <w:rsid w:val="5A5343F7"/>
    <w:rsid w:val="5A5A0B0C"/>
    <w:rsid w:val="5A600155"/>
    <w:rsid w:val="5A606013"/>
    <w:rsid w:val="5A681301"/>
    <w:rsid w:val="5A690B5A"/>
    <w:rsid w:val="5A6B7714"/>
    <w:rsid w:val="5A8E2657"/>
    <w:rsid w:val="5A9643C6"/>
    <w:rsid w:val="5A987886"/>
    <w:rsid w:val="5AA66977"/>
    <w:rsid w:val="5AB67D0C"/>
    <w:rsid w:val="5ABE2233"/>
    <w:rsid w:val="5ABF2EA2"/>
    <w:rsid w:val="5ADA5831"/>
    <w:rsid w:val="5ADD07DB"/>
    <w:rsid w:val="5AE71D48"/>
    <w:rsid w:val="5AEC3D25"/>
    <w:rsid w:val="5AF45982"/>
    <w:rsid w:val="5AF7109D"/>
    <w:rsid w:val="5B166A16"/>
    <w:rsid w:val="5B186800"/>
    <w:rsid w:val="5B2847D6"/>
    <w:rsid w:val="5B2F2135"/>
    <w:rsid w:val="5B41461C"/>
    <w:rsid w:val="5B5019C1"/>
    <w:rsid w:val="5B5E5185"/>
    <w:rsid w:val="5B632B72"/>
    <w:rsid w:val="5B634980"/>
    <w:rsid w:val="5B693586"/>
    <w:rsid w:val="5B886DCE"/>
    <w:rsid w:val="5BA37815"/>
    <w:rsid w:val="5BC33CA3"/>
    <w:rsid w:val="5BC4623A"/>
    <w:rsid w:val="5BC5230E"/>
    <w:rsid w:val="5BD21D62"/>
    <w:rsid w:val="5BD45438"/>
    <w:rsid w:val="5BD635B4"/>
    <w:rsid w:val="5BDA4670"/>
    <w:rsid w:val="5BDB4550"/>
    <w:rsid w:val="5BDF5D95"/>
    <w:rsid w:val="5BE320EB"/>
    <w:rsid w:val="5BF21A53"/>
    <w:rsid w:val="5BF83865"/>
    <w:rsid w:val="5BFE7528"/>
    <w:rsid w:val="5C0703B3"/>
    <w:rsid w:val="5C0A7E72"/>
    <w:rsid w:val="5C2C4C6B"/>
    <w:rsid w:val="5C3A6600"/>
    <w:rsid w:val="5C3B666F"/>
    <w:rsid w:val="5C470ACE"/>
    <w:rsid w:val="5C5D6C9C"/>
    <w:rsid w:val="5C5E30D8"/>
    <w:rsid w:val="5C654924"/>
    <w:rsid w:val="5C6D4B06"/>
    <w:rsid w:val="5C775059"/>
    <w:rsid w:val="5C8E203C"/>
    <w:rsid w:val="5C9A78E6"/>
    <w:rsid w:val="5CAA7713"/>
    <w:rsid w:val="5CC15922"/>
    <w:rsid w:val="5CC3183C"/>
    <w:rsid w:val="5CC91F79"/>
    <w:rsid w:val="5CD62B58"/>
    <w:rsid w:val="5CEF46CF"/>
    <w:rsid w:val="5CF765FF"/>
    <w:rsid w:val="5CFA0FA9"/>
    <w:rsid w:val="5CFC40FC"/>
    <w:rsid w:val="5CFE770A"/>
    <w:rsid w:val="5D0D0999"/>
    <w:rsid w:val="5D101956"/>
    <w:rsid w:val="5D1706B9"/>
    <w:rsid w:val="5D3C6BEF"/>
    <w:rsid w:val="5D40333D"/>
    <w:rsid w:val="5D4367C0"/>
    <w:rsid w:val="5D4B35B7"/>
    <w:rsid w:val="5D4F02C2"/>
    <w:rsid w:val="5D50508A"/>
    <w:rsid w:val="5D7A358E"/>
    <w:rsid w:val="5D7F2D50"/>
    <w:rsid w:val="5D81605E"/>
    <w:rsid w:val="5D836C1B"/>
    <w:rsid w:val="5D8663E4"/>
    <w:rsid w:val="5D8A6ECC"/>
    <w:rsid w:val="5D911855"/>
    <w:rsid w:val="5DA42896"/>
    <w:rsid w:val="5DA42D92"/>
    <w:rsid w:val="5DA672C1"/>
    <w:rsid w:val="5DAE1930"/>
    <w:rsid w:val="5DB572EF"/>
    <w:rsid w:val="5DB67E9C"/>
    <w:rsid w:val="5DB9576B"/>
    <w:rsid w:val="5DD0709C"/>
    <w:rsid w:val="5DDB002E"/>
    <w:rsid w:val="5DE74D9C"/>
    <w:rsid w:val="5DF245F1"/>
    <w:rsid w:val="5DFD0936"/>
    <w:rsid w:val="5E0C3CAE"/>
    <w:rsid w:val="5E2467F1"/>
    <w:rsid w:val="5E3B2F89"/>
    <w:rsid w:val="5E53174C"/>
    <w:rsid w:val="5E574118"/>
    <w:rsid w:val="5E5B0410"/>
    <w:rsid w:val="5E762B30"/>
    <w:rsid w:val="5E820631"/>
    <w:rsid w:val="5E895FEC"/>
    <w:rsid w:val="5E8B6A61"/>
    <w:rsid w:val="5EB6477F"/>
    <w:rsid w:val="5EBB2505"/>
    <w:rsid w:val="5EE211F5"/>
    <w:rsid w:val="5EE7291C"/>
    <w:rsid w:val="5EEC4FAA"/>
    <w:rsid w:val="5EEF341C"/>
    <w:rsid w:val="5EF027A2"/>
    <w:rsid w:val="5EF32937"/>
    <w:rsid w:val="5EFA2462"/>
    <w:rsid w:val="5EFC2720"/>
    <w:rsid w:val="5F0E502B"/>
    <w:rsid w:val="5F116711"/>
    <w:rsid w:val="5F15435C"/>
    <w:rsid w:val="5F1A2B43"/>
    <w:rsid w:val="5F1F422E"/>
    <w:rsid w:val="5F2976B3"/>
    <w:rsid w:val="5F2C29DB"/>
    <w:rsid w:val="5F306D8B"/>
    <w:rsid w:val="5F4F2140"/>
    <w:rsid w:val="5F593525"/>
    <w:rsid w:val="5F692A55"/>
    <w:rsid w:val="5F6F4C44"/>
    <w:rsid w:val="5F70500B"/>
    <w:rsid w:val="5F716230"/>
    <w:rsid w:val="5F8C1FFD"/>
    <w:rsid w:val="5F9D139A"/>
    <w:rsid w:val="5FA74E54"/>
    <w:rsid w:val="5FB257DC"/>
    <w:rsid w:val="5FB837BB"/>
    <w:rsid w:val="5FC32030"/>
    <w:rsid w:val="5FD56E87"/>
    <w:rsid w:val="5FDE58EB"/>
    <w:rsid w:val="5FFE5B9B"/>
    <w:rsid w:val="60056E82"/>
    <w:rsid w:val="600772F2"/>
    <w:rsid w:val="60124491"/>
    <w:rsid w:val="601D48A9"/>
    <w:rsid w:val="602D3A1C"/>
    <w:rsid w:val="603E67DA"/>
    <w:rsid w:val="604D39CB"/>
    <w:rsid w:val="604F37C7"/>
    <w:rsid w:val="60506A49"/>
    <w:rsid w:val="605325BC"/>
    <w:rsid w:val="605373E7"/>
    <w:rsid w:val="60625708"/>
    <w:rsid w:val="60632846"/>
    <w:rsid w:val="60677D0C"/>
    <w:rsid w:val="606930DB"/>
    <w:rsid w:val="60747DE8"/>
    <w:rsid w:val="60866601"/>
    <w:rsid w:val="60A551E3"/>
    <w:rsid w:val="60B81FC6"/>
    <w:rsid w:val="60CC405A"/>
    <w:rsid w:val="60E74400"/>
    <w:rsid w:val="60F0178A"/>
    <w:rsid w:val="60F670B5"/>
    <w:rsid w:val="6101652E"/>
    <w:rsid w:val="610379FC"/>
    <w:rsid w:val="61046F44"/>
    <w:rsid w:val="611F0EB5"/>
    <w:rsid w:val="612560C5"/>
    <w:rsid w:val="61324CCE"/>
    <w:rsid w:val="614845B4"/>
    <w:rsid w:val="6159768F"/>
    <w:rsid w:val="61600AAB"/>
    <w:rsid w:val="616C7377"/>
    <w:rsid w:val="61803767"/>
    <w:rsid w:val="618A6A46"/>
    <w:rsid w:val="618B6149"/>
    <w:rsid w:val="619850C5"/>
    <w:rsid w:val="6199791F"/>
    <w:rsid w:val="619D2C5A"/>
    <w:rsid w:val="61A308B4"/>
    <w:rsid w:val="61AB2D15"/>
    <w:rsid w:val="61BF5E45"/>
    <w:rsid w:val="61C91E35"/>
    <w:rsid w:val="61D62F3C"/>
    <w:rsid w:val="61E20F62"/>
    <w:rsid w:val="61E215D8"/>
    <w:rsid w:val="61E55405"/>
    <w:rsid w:val="61FC40F2"/>
    <w:rsid w:val="620530C5"/>
    <w:rsid w:val="62064FFF"/>
    <w:rsid w:val="621A0C60"/>
    <w:rsid w:val="621B3775"/>
    <w:rsid w:val="621D6AA4"/>
    <w:rsid w:val="62273244"/>
    <w:rsid w:val="622A0D38"/>
    <w:rsid w:val="62364782"/>
    <w:rsid w:val="623B10F8"/>
    <w:rsid w:val="625C0C89"/>
    <w:rsid w:val="625E2A66"/>
    <w:rsid w:val="627E1822"/>
    <w:rsid w:val="629B61F5"/>
    <w:rsid w:val="62A54D47"/>
    <w:rsid w:val="62B1780C"/>
    <w:rsid w:val="62B32B5C"/>
    <w:rsid w:val="62BA1744"/>
    <w:rsid w:val="62C63EB7"/>
    <w:rsid w:val="62D92E88"/>
    <w:rsid w:val="62D97BC9"/>
    <w:rsid w:val="62DB6432"/>
    <w:rsid w:val="62F772F7"/>
    <w:rsid w:val="62F82F7B"/>
    <w:rsid w:val="62FC5438"/>
    <w:rsid w:val="6300246C"/>
    <w:rsid w:val="6304211F"/>
    <w:rsid w:val="630A1768"/>
    <w:rsid w:val="630B4679"/>
    <w:rsid w:val="631D5758"/>
    <w:rsid w:val="631F6AF4"/>
    <w:rsid w:val="63370F5F"/>
    <w:rsid w:val="63377300"/>
    <w:rsid w:val="63393B10"/>
    <w:rsid w:val="6340355A"/>
    <w:rsid w:val="634429BD"/>
    <w:rsid w:val="6352192B"/>
    <w:rsid w:val="635A6EFB"/>
    <w:rsid w:val="635F6700"/>
    <w:rsid w:val="636F1A45"/>
    <w:rsid w:val="638221FF"/>
    <w:rsid w:val="638B37B2"/>
    <w:rsid w:val="638D0C6D"/>
    <w:rsid w:val="6394356A"/>
    <w:rsid w:val="639855BF"/>
    <w:rsid w:val="639F57E1"/>
    <w:rsid w:val="63B50BF2"/>
    <w:rsid w:val="63BB01D9"/>
    <w:rsid w:val="63C61B2C"/>
    <w:rsid w:val="63D35B23"/>
    <w:rsid w:val="63D40BE9"/>
    <w:rsid w:val="63DE49A4"/>
    <w:rsid w:val="63E878EA"/>
    <w:rsid w:val="63FB41F7"/>
    <w:rsid w:val="640116B3"/>
    <w:rsid w:val="64102431"/>
    <w:rsid w:val="64142C2F"/>
    <w:rsid w:val="64175CC0"/>
    <w:rsid w:val="64352553"/>
    <w:rsid w:val="64487C27"/>
    <w:rsid w:val="644A5CC1"/>
    <w:rsid w:val="644C3595"/>
    <w:rsid w:val="6476781C"/>
    <w:rsid w:val="647C54E3"/>
    <w:rsid w:val="64A5243A"/>
    <w:rsid w:val="64A66A16"/>
    <w:rsid w:val="64A82A93"/>
    <w:rsid w:val="64AC0EEF"/>
    <w:rsid w:val="64AE655E"/>
    <w:rsid w:val="64B41760"/>
    <w:rsid w:val="64DD208C"/>
    <w:rsid w:val="64DE662D"/>
    <w:rsid w:val="64ED6433"/>
    <w:rsid w:val="64F22C4F"/>
    <w:rsid w:val="64F531DE"/>
    <w:rsid w:val="64FD2397"/>
    <w:rsid w:val="65140808"/>
    <w:rsid w:val="651D2358"/>
    <w:rsid w:val="6523167D"/>
    <w:rsid w:val="65247372"/>
    <w:rsid w:val="65250642"/>
    <w:rsid w:val="652A4D5F"/>
    <w:rsid w:val="65322C66"/>
    <w:rsid w:val="65373578"/>
    <w:rsid w:val="653B3089"/>
    <w:rsid w:val="654614FB"/>
    <w:rsid w:val="655E28EA"/>
    <w:rsid w:val="656D038A"/>
    <w:rsid w:val="658A1928"/>
    <w:rsid w:val="65A279AD"/>
    <w:rsid w:val="65C85F90"/>
    <w:rsid w:val="65CB43FB"/>
    <w:rsid w:val="65CF7132"/>
    <w:rsid w:val="65D5198E"/>
    <w:rsid w:val="65EA561C"/>
    <w:rsid w:val="661D73C2"/>
    <w:rsid w:val="66225632"/>
    <w:rsid w:val="66303DC2"/>
    <w:rsid w:val="663D1734"/>
    <w:rsid w:val="66427552"/>
    <w:rsid w:val="6649257D"/>
    <w:rsid w:val="664F5C5B"/>
    <w:rsid w:val="665A48BB"/>
    <w:rsid w:val="66677E85"/>
    <w:rsid w:val="668533B4"/>
    <w:rsid w:val="66B3358D"/>
    <w:rsid w:val="66E3770B"/>
    <w:rsid w:val="66ED741F"/>
    <w:rsid w:val="66EF20EF"/>
    <w:rsid w:val="66FE5F57"/>
    <w:rsid w:val="670D6CDE"/>
    <w:rsid w:val="670E2295"/>
    <w:rsid w:val="670E22CE"/>
    <w:rsid w:val="671C4941"/>
    <w:rsid w:val="671F124A"/>
    <w:rsid w:val="673E2C7A"/>
    <w:rsid w:val="67566CD3"/>
    <w:rsid w:val="676677FE"/>
    <w:rsid w:val="676A3BC6"/>
    <w:rsid w:val="676C6322"/>
    <w:rsid w:val="676F218E"/>
    <w:rsid w:val="67775038"/>
    <w:rsid w:val="677A33C6"/>
    <w:rsid w:val="679D12D4"/>
    <w:rsid w:val="679D4072"/>
    <w:rsid w:val="67C33151"/>
    <w:rsid w:val="67D76A10"/>
    <w:rsid w:val="67E763A5"/>
    <w:rsid w:val="67EC69EE"/>
    <w:rsid w:val="67F24FAC"/>
    <w:rsid w:val="681F6961"/>
    <w:rsid w:val="68243BF9"/>
    <w:rsid w:val="683631DC"/>
    <w:rsid w:val="684131D7"/>
    <w:rsid w:val="68430416"/>
    <w:rsid w:val="684B2A38"/>
    <w:rsid w:val="684B7DB5"/>
    <w:rsid w:val="684C1346"/>
    <w:rsid w:val="684E3059"/>
    <w:rsid w:val="68554E49"/>
    <w:rsid w:val="685A2AAD"/>
    <w:rsid w:val="685B6C2B"/>
    <w:rsid w:val="68610A2F"/>
    <w:rsid w:val="686F6E01"/>
    <w:rsid w:val="68742AA3"/>
    <w:rsid w:val="68805514"/>
    <w:rsid w:val="689E1AAC"/>
    <w:rsid w:val="68A85467"/>
    <w:rsid w:val="68AE4F9A"/>
    <w:rsid w:val="68B77FE9"/>
    <w:rsid w:val="68BB32D0"/>
    <w:rsid w:val="68C77CB4"/>
    <w:rsid w:val="68D134EA"/>
    <w:rsid w:val="68D42E3C"/>
    <w:rsid w:val="68D662DC"/>
    <w:rsid w:val="68DF5215"/>
    <w:rsid w:val="68E94247"/>
    <w:rsid w:val="68EC69D0"/>
    <w:rsid w:val="68F5791B"/>
    <w:rsid w:val="68FC3FFB"/>
    <w:rsid w:val="6903292F"/>
    <w:rsid w:val="6909793D"/>
    <w:rsid w:val="690C55A3"/>
    <w:rsid w:val="69116D5B"/>
    <w:rsid w:val="69236EB5"/>
    <w:rsid w:val="69316E2F"/>
    <w:rsid w:val="69330DF7"/>
    <w:rsid w:val="693E784B"/>
    <w:rsid w:val="694C5DA9"/>
    <w:rsid w:val="694E2071"/>
    <w:rsid w:val="695B1A33"/>
    <w:rsid w:val="69635503"/>
    <w:rsid w:val="69692B1A"/>
    <w:rsid w:val="69735746"/>
    <w:rsid w:val="69766163"/>
    <w:rsid w:val="697A3B33"/>
    <w:rsid w:val="697A71F6"/>
    <w:rsid w:val="69846021"/>
    <w:rsid w:val="69936517"/>
    <w:rsid w:val="699439C3"/>
    <w:rsid w:val="69AD6D13"/>
    <w:rsid w:val="69B343B3"/>
    <w:rsid w:val="69C24530"/>
    <w:rsid w:val="69C53A2C"/>
    <w:rsid w:val="69D12417"/>
    <w:rsid w:val="69D372E8"/>
    <w:rsid w:val="69D44760"/>
    <w:rsid w:val="69F05057"/>
    <w:rsid w:val="69F80D0F"/>
    <w:rsid w:val="69FA5E67"/>
    <w:rsid w:val="6A086D94"/>
    <w:rsid w:val="6A232950"/>
    <w:rsid w:val="6A284C5E"/>
    <w:rsid w:val="6A376E77"/>
    <w:rsid w:val="6A4569B1"/>
    <w:rsid w:val="6A5116A1"/>
    <w:rsid w:val="6A520EC7"/>
    <w:rsid w:val="6A635D58"/>
    <w:rsid w:val="6A842025"/>
    <w:rsid w:val="6A876B90"/>
    <w:rsid w:val="6A8A5DA2"/>
    <w:rsid w:val="6A8B6AC0"/>
    <w:rsid w:val="6AA4489F"/>
    <w:rsid w:val="6AA61B4B"/>
    <w:rsid w:val="6AD67827"/>
    <w:rsid w:val="6ADA71A4"/>
    <w:rsid w:val="6AE71E94"/>
    <w:rsid w:val="6AF87E20"/>
    <w:rsid w:val="6AFD20EA"/>
    <w:rsid w:val="6B0B2767"/>
    <w:rsid w:val="6B0D1BCA"/>
    <w:rsid w:val="6B230226"/>
    <w:rsid w:val="6B322639"/>
    <w:rsid w:val="6B36000C"/>
    <w:rsid w:val="6B3F07C8"/>
    <w:rsid w:val="6B4F0D37"/>
    <w:rsid w:val="6B6C68AA"/>
    <w:rsid w:val="6B770B57"/>
    <w:rsid w:val="6B853FEC"/>
    <w:rsid w:val="6B883445"/>
    <w:rsid w:val="6BA11BBA"/>
    <w:rsid w:val="6BC373D1"/>
    <w:rsid w:val="6BC52268"/>
    <w:rsid w:val="6BCE4D71"/>
    <w:rsid w:val="6BD372D9"/>
    <w:rsid w:val="6BE40801"/>
    <w:rsid w:val="6BF25E5E"/>
    <w:rsid w:val="6BF5021A"/>
    <w:rsid w:val="6BF973A6"/>
    <w:rsid w:val="6C0208BD"/>
    <w:rsid w:val="6C112E52"/>
    <w:rsid w:val="6C180A51"/>
    <w:rsid w:val="6C2052A3"/>
    <w:rsid w:val="6C27495B"/>
    <w:rsid w:val="6C461000"/>
    <w:rsid w:val="6C5A65E2"/>
    <w:rsid w:val="6C5B7F1B"/>
    <w:rsid w:val="6C636C38"/>
    <w:rsid w:val="6C6F2161"/>
    <w:rsid w:val="6C7C0F9C"/>
    <w:rsid w:val="6C827810"/>
    <w:rsid w:val="6C9426DB"/>
    <w:rsid w:val="6CA45CA7"/>
    <w:rsid w:val="6CC155E1"/>
    <w:rsid w:val="6CC528DD"/>
    <w:rsid w:val="6CCF3F3C"/>
    <w:rsid w:val="6CD7567B"/>
    <w:rsid w:val="6CE632CD"/>
    <w:rsid w:val="6CE87EDF"/>
    <w:rsid w:val="6CEB0EC0"/>
    <w:rsid w:val="6D035AE3"/>
    <w:rsid w:val="6D0A4613"/>
    <w:rsid w:val="6D1147C7"/>
    <w:rsid w:val="6D1920DA"/>
    <w:rsid w:val="6D1C037E"/>
    <w:rsid w:val="6D1C60F5"/>
    <w:rsid w:val="6D30394E"/>
    <w:rsid w:val="6D3934CC"/>
    <w:rsid w:val="6D4A4BAC"/>
    <w:rsid w:val="6D4E30D4"/>
    <w:rsid w:val="6D570689"/>
    <w:rsid w:val="6D574DE6"/>
    <w:rsid w:val="6D5A2094"/>
    <w:rsid w:val="6D5D0990"/>
    <w:rsid w:val="6D6205F3"/>
    <w:rsid w:val="6D637C61"/>
    <w:rsid w:val="6D6E47AC"/>
    <w:rsid w:val="6D714162"/>
    <w:rsid w:val="6D755573"/>
    <w:rsid w:val="6DA7098A"/>
    <w:rsid w:val="6DB15728"/>
    <w:rsid w:val="6DB34098"/>
    <w:rsid w:val="6DB545B6"/>
    <w:rsid w:val="6DB63056"/>
    <w:rsid w:val="6DB6585E"/>
    <w:rsid w:val="6DBD2988"/>
    <w:rsid w:val="6DE02FB4"/>
    <w:rsid w:val="6DE85812"/>
    <w:rsid w:val="6DFD137A"/>
    <w:rsid w:val="6E0950DD"/>
    <w:rsid w:val="6E196EE0"/>
    <w:rsid w:val="6E2E4776"/>
    <w:rsid w:val="6E387103"/>
    <w:rsid w:val="6E3D1FD3"/>
    <w:rsid w:val="6E454D81"/>
    <w:rsid w:val="6E514CED"/>
    <w:rsid w:val="6E57044A"/>
    <w:rsid w:val="6E5A48B8"/>
    <w:rsid w:val="6E5B1C8C"/>
    <w:rsid w:val="6E5B575C"/>
    <w:rsid w:val="6E704291"/>
    <w:rsid w:val="6E817ECF"/>
    <w:rsid w:val="6E836797"/>
    <w:rsid w:val="6E8512BE"/>
    <w:rsid w:val="6E943FBB"/>
    <w:rsid w:val="6EAA005F"/>
    <w:rsid w:val="6EAF7A82"/>
    <w:rsid w:val="6EB563D5"/>
    <w:rsid w:val="6EBE093D"/>
    <w:rsid w:val="6EC15AA3"/>
    <w:rsid w:val="6ED92677"/>
    <w:rsid w:val="6EDA3E50"/>
    <w:rsid w:val="6EDC1070"/>
    <w:rsid w:val="6EE17B7F"/>
    <w:rsid w:val="6EE34660"/>
    <w:rsid w:val="6EEB6413"/>
    <w:rsid w:val="6F002C0D"/>
    <w:rsid w:val="6F0C76CD"/>
    <w:rsid w:val="6F225983"/>
    <w:rsid w:val="6F285CF7"/>
    <w:rsid w:val="6F2860B3"/>
    <w:rsid w:val="6F2A34B2"/>
    <w:rsid w:val="6F325E67"/>
    <w:rsid w:val="6F3938DE"/>
    <w:rsid w:val="6F40431D"/>
    <w:rsid w:val="6F42334D"/>
    <w:rsid w:val="6F451933"/>
    <w:rsid w:val="6F454152"/>
    <w:rsid w:val="6F481423"/>
    <w:rsid w:val="6F515D60"/>
    <w:rsid w:val="6F5D0925"/>
    <w:rsid w:val="6F5D5F29"/>
    <w:rsid w:val="6F5E577F"/>
    <w:rsid w:val="6F636E31"/>
    <w:rsid w:val="6F6B1524"/>
    <w:rsid w:val="6F6C3363"/>
    <w:rsid w:val="6F836B0B"/>
    <w:rsid w:val="6F8E216A"/>
    <w:rsid w:val="6F916D91"/>
    <w:rsid w:val="6F9854BB"/>
    <w:rsid w:val="6FA26B38"/>
    <w:rsid w:val="6FAF1B80"/>
    <w:rsid w:val="6FD20959"/>
    <w:rsid w:val="6FD34FD9"/>
    <w:rsid w:val="6FDC550E"/>
    <w:rsid w:val="6FEF7BA6"/>
    <w:rsid w:val="6FF5479D"/>
    <w:rsid w:val="6FFC5590"/>
    <w:rsid w:val="700370F8"/>
    <w:rsid w:val="700A2EBA"/>
    <w:rsid w:val="702C6A27"/>
    <w:rsid w:val="702F0163"/>
    <w:rsid w:val="703E35EF"/>
    <w:rsid w:val="706707E4"/>
    <w:rsid w:val="7068367F"/>
    <w:rsid w:val="706D1DD0"/>
    <w:rsid w:val="70770A32"/>
    <w:rsid w:val="70856B87"/>
    <w:rsid w:val="70896CFF"/>
    <w:rsid w:val="70995B41"/>
    <w:rsid w:val="709D6A1D"/>
    <w:rsid w:val="70A75200"/>
    <w:rsid w:val="70B22F52"/>
    <w:rsid w:val="70BE6479"/>
    <w:rsid w:val="70C50E09"/>
    <w:rsid w:val="70D527EE"/>
    <w:rsid w:val="70D60FB3"/>
    <w:rsid w:val="70E47AC7"/>
    <w:rsid w:val="70E67ED5"/>
    <w:rsid w:val="70ED20E8"/>
    <w:rsid w:val="710254C8"/>
    <w:rsid w:val="71047D83"/>
    <w:rsid w:val="711E56C5"/>
    <w:rsid w:val="71214BE1"/>
    <w:rsid w:val="713D45EF"/>
    <w:rsid w:val="71522EF9"/>
    <w:rsid w:val="715B486D"/>
    <w:rsid w:val="715B5300"/>
    <w:rsid w:val="716A7A68"/>
    <w:rsid w:val="7172726B"/>
    <w:rsid w:val="717946E8"/>
    <w:rsid w:val="717D51C0"/>
    <w:rsid w:val="71A60AD7"/>
    <w:rsid w:val="71A62431"/>
    <w:rsid w:val="71A96549"/>
    <w:rsid w:val="71AB2D08"/>
    <w:rsid w:val="71AC7D91"/>
    <w:rsid w:val="71D27F8A"/>
    <w:rsid w:val="71D371D0"/>
    <w:rsid w:val="71DF1CFD"/>
    <w:rsid w:val="71E034AC"/>
    <w:rsid w:val="71E2535D"/>
    <w:rsid w:val="71ED71C6"/>
    <w:rsid w:val="71F20E07"/>
    <w:rsid w:val="720D5E2F"/>
    <w:rsid w:val="72124F74"/>
    <w:rsid w:val="72553024"/>
    <w:rsid w:val="725C39A2"/>
    <w:rsid w:val="725F32CD"/>
    <w:rsid w:val="727F1DE7"/>
    <w:rsid w:val="728071FB"/>
    <w:rsid w:val="72987FCC"/>
    <w:rsid w:val="729D7BEE"/>
    <w:rsid w:val="72AB36C3"/>
    <w:rsid w:val="72AF2E9B"/>
    <w:rsid w:val="72D059B7"/>
    <w:rsid w:val="72D2298B"/>
    <w:rsid w:val="72D944E7"/>
    <w:rsid w:val="72F803D8"/>
    <w:rsid w:val="72FD36BB"/>
    <w:rsid w:val="72FF6553"/>
    <w:rsid w:val="730F1CB5"/>
    <w:rsid w:val="73122968"/>
    <w:rsid w:val="73131037"/>
    <w:rsid w:val="731D6B1E"/>
    <w:rsid w:val="731F5D5E"/>
    <w:rsid w:val="73221F8B"/>
    <w:rsid w:val="73267628"/>
    <w:rsid w:val="73366493"/>
    <w:rsid w:val="73441D26"/>
    <w:rsid w:val="734E77D5"/>
    <w:rsid w:val="735C5933"/>
    <w:rsid w:val="73625BB7"/>
    <w:rsid w:val="73672D89"/>
    <w:rsid w:val="736A40BC"/>
    <w:rsid w:val="736B7A1B"/>
    <w:rsid w:val="737316E8"/>
    <w:rsid w:val="73776163"/>
    <w:rsid w:val="73796CBD"/>
    <w:rsid w:val="73797DFD"/>
    <w:rsid w:val="737D5D23"/>
    <w:rsid w:val="73AF2610"/>
    <w:rsid w:val="73BA5F48"/>
    <w:rsid w:val="73C51AD5"/>
    <w:rsid w:val="73CC76C9"/>
    <w:rsid w:val="73D64502"/>
    <w:rsid w:val="741E793C"/>
    <w:rsid w:val="7444128F"/>
    <w:rsid w:val="745E3944"/>
    <w:rsid w:val="746A380B"/>
    <w:rsid w:val="74732A9E"/>
    <w:rsid w:val="74850A24"/>
    <w:rsid w:val="74861462"/>
    <w:rsid w:val="7488601C"/>
    <w:rsid w:val="748B4A38"/>
    <w:rsid w:val="74A4410A"/>
    <w:rsid w:val="74A76BEC"/>
    <w:rsid w:val="74A85EB0"/>
    <w:rsid w:val="74AB5178"/>
    <w:rsid w:val="74AB5C30"/>
    <w:rsid w:val="74CE370B"/>
    <w:rsid w:val="74DB737D"/>
    <w:rsid w:val="75047846"/>
    <w:rsid w:val="750D4B8A"/>
    <w:rsid w:val="750D5F35"/>
    <w:rsid w:val="751002F7"/>
    <w:rsid w:val="75130A3C"/>
    <w:rsid w:val="751A00A9"/>
    <w:rsid w:val="751D2511"/>
    <w:rsid w:val="753B0AE0"/>
    <w:rsid w:val="75442FFC"/>
    <w:rsid w:val="754B3061"/>
    <w:rsid w:val="754D3A38"/>
    <w:rsid w:val="75592207"/>
    <w:rsid w:val="75693EA1"/>
    <w:rsid w:val="7574004F"/>
    <w:rsid w:val="75784922"/>
    <w:rsid w:val="759635CE"/>
    <w:rsid w:val="75994833"/>
    <w:rsid w:val="759B0CC7"/>
    <w:rsid w:val="759D778A"/>
    <w:rsid w:val="75A66BB7"/>
    <w:rsid w:val="75BD6FA0"/>
    <w:rsid w:val="75BF2CF2"/>
    <w:rsid w:val="75C64E50"/>
    <w:rsid w:val="75C83DA3"/>
    <w:rsid w:val="75D25E44"/>
    <w:rsid w:val="75D62EAF"/>
    <w:rsid w:val="75E122E8"/>
    <w:rsid w:val="75E314E1"/>
    <w:rsid w:val="75E34C58"/>
    <w:rsid w:val="75EC5087"/>
    <w:rsid w:val="75F44454"/>
    <w:rsid w:val="75F57767"/>
    <w:rsid w:val="760969FB"/>
    <w:rsid w:val="76205882"/>
    <w:rsid w:val="7629149D"/>
    <w:rsid w:val="762E7A1A"/>
    <w:rsid w:val="762F0BB1"/>
    <w:rsid w:val="7635099D"/>
    <w:rsid w:val="76391AC6"/>
    <w:rsid w:val="76592168"/>
    <w:rsid w:val="765B2104"/>
    <w:rsid w:val="765B5EE0"/>
    <w:rsid w:val="76611C1D"/>
    <w:rsid w:val="76663C03"/>
    <w:rsid w:val="766B58D1"/>
    <w:rsid w:val="767629A6"/>
    <w:rsid w:val="769C0012"/>
    <w:rsid w:val="76A628BE"/>
    <w:rsid w:val="76C35609"/>
    <w:rsid w:val="76D91011"/>
    <w:rsid w:val="76E81EA9"/>
    <w:rsid w:val="770342A5"/>
    <w:rsid w:val="771377F9"/>
    <w:rsid w:val="7717339E"/>
    <w:rsid w:val="771B06F9"/>
    <w:rsid w:val="772C33D8"/>
    <w:rsid w:val="772E47E4"/>
    <w:rsid w:val="7739358F"/>
    <w:rsid w:val="77514BED"/>
    <w:rsid w:val="77594DD6"/>
    <w:rsid w:val="77672662"/>
    <w:rsid w:val="776A376D"/>
    <w:rsid w:val="77762421"/>
    <w:rsid w:val="77B315C6"/>
    <w:rsid w:val="77B31E9C"/>
    <w:rsid w:val="77B56B1F"/>
    <w:rsid w:val="77BD355A"/>
    <w:rsid w:val="77C22409"/>
    <w:rsid w:val="77E34CB2"/>
    <w:rsid w:val="77E4165D"/>
    <w:rsid w:val="77E60AF1"/>
    <w:rsid w:val="77E624EC"/>
    <w:rsid w:val="78012CBC"/>
    <w:rsid w:val="780A2C37"/>
    <w:rsid w:val="780F09F4"/>
    <w:rsid w:val="781B5927"/>
    <w:rsid w:val="784031C7"/>
    <w:rsid w:val="784E54AF"/>
    <w:rsid w:val="78543C5E"/>
    <w:rsid w:val="785A7E30"/>
    <w:rsid w:val="786A065C"/>
    <w:rsid w:val="786D2419"/>
    <w:rsid w:val="78722E90"/>
    <w:rsid w:val="787768D5"/>
    <w:rsid w:val="787C3AB9"/>
    <w:rsid w:val="788306DC"/>
    <w:rsid w:val="78830FA6"/>
    <w:rsid w:val="78907E01"/>
    <w:rsid w:val="78992CEF"/>
    <w:rsid w:val="78A90480"/>
    <w:rsid w:val="78AB718F"/>
    <w:rsid w:val="78B471AB"/>
    <w:rsid w:val="78BA18A6"/>
    <w:rsid w:val="78E61E81"/>
    <w:rsid w:val="78EB4031"/>
    <w:rsid w:val="7904460D"/>
    <w:rsid w:val="79136E06"/>
    <w:rsid w:val="79185DAB"/>
    <w:rsid w:val="791A0209"/>
    <w:rsid w:val="79346574"/>
    <w:rsid w:val="7941563C"/>
    <w:rsid w:val="7949313E"/>
    <w:rsid w:val="794959B2"/>
    <w:rsid w:val="795400C0"/>
    <w:rsid w:val="797409B5"/>
    <w:rsid w:val="79892B16"/>
    <w:rsid w:val="798A32FE"/>
    <w:rsid w:val="799A4B52"/>
    <w:rsid w:val="79A47D6C"/>
    <w:rsid w:val="79A6315D"/>
    <w:rsid w:val="79B507C6"/>
    <w:rsid w:val="79B82979"/>
    <w:rsid w:val="79BE539F"/>
    <w:rsid w:val="79C92E1E"/>
    <w:rsid w:val="79CC1CC4"/>
    <w:rsid w:val="79D600F4"/>
    <w:rsid w:val="79E17625"/>
    <w:rsid w:val="79E27D26"/>
    <w:rsid w:val="79EC2CE6"/>
    <w:rsid w:val="79EE75AE"/>
    <w:rsid w:val="79F772B7"/>
    <w:rsid w:val="79FB27FE"/>
    <w:rsid w:val="79FB7B5D"/>
    <w:rsid w:val="7A364017"/>
    <w:rsid w:val="7A504709"/>
    <w:rsid w:val="7A52709F"/>
    <w:rsid w:val="7A593E62"/>
    <w:rsid w:val="7A600B8F"/>
    <w:rsid w:val="7A660973"/>
    <w:rsid w:val="7A740443"/>
    <w:rsid w:val="7A8265E1"/>
    <w:rsid w:val="7A8632CB"/>
    <w:rsid w:val="7A937688"/>
    <w:rsid w:val="7A944DBE"/>
    <w:rsid w:val="7AC625C2"/>
    <w:rsid w:val="7ACF17C1"/>
    <w:rsid w:val="7AD90E11"/>
    <w:rsid w:val="7AE21A39"/>
    <w:rsid w:val="7AE37DFE"/>
    <w:rsid w:val="7AEC39B9"/>
    <w:rsid w:val="7AF0722F"/>
    <w:rsid w:val="7AF56302"/>
    <w:rsid w:val="7AF62CB4"/>
    <w:rsid w:val="7B095FE9"/>
    <w:rsid w:val="7B426F7D"/>
    <w:rsid w:val="7B4539DB"/>
    <w:rsid w:val="7B4C3525"/>
    <w:rsid w:val="7B537670"/>
    <w:rsid w:val="7B5D5641"/>
    <w:rsid w:val="7B6453BE"/>
    <w:rsid w:val="7B686D42"/>
    <w:rsid w:val="7B6D006E"/>
    <w:rsid w:val="7B763167"/>
    <w:rsid w:val="7B841746"/>
    <w:rsid w:val="7B854452"/>
    <w:rsid w:val="7B8A4216"/>
    <w:rsid w:val="7B935B9D"/>
    <w:rsid w:val="7BA44BC8"/>
    <w:rsid w:val="7BB0138C"/>
    <w:rsid w:val="7BC24F9E"/>
    <w:rsid w:val="7BC55205"/>
    <w:rsid w:val="7BD600EC"/>
    <w:rsid w:val="7BE76803"/>
    <w:rsid w:val="7C0D4B58"/>
    <w:rsid w:val="7C117FA6"/>
    <w:rsid w:val="7C213E9C"/>
    <w:rsid w:val="7C2E2834"/>
    <w:rsid w:val="7C6B25F6"/>
    <w:rsid w:val="7C6C5AC7"/>
    <w:rsid w:val="7C725D31"/>
    <w:rsid w:val="7C7750F6"/>
    <w:rsid w:val="7C7D6098"/>
    <w:rsid w:val="7CB43C54"/>
    <w:rsid w:val="7CBE11B0"/>
    <w:rsid w:val="7CBE4456"/>
    <w:rsid w:val="7CBF4430"/>
    <w:rsid w:val="7CC31605"/>
    <w:rsid w:val="7CC6544B"/>
    <w:rsid w:val="7CC86647"/>
    <w:rsid w:val="7CCA0140"/>
    <w:rsid w:val="7CCD242C"/>
    <w:rsid w:val="7CD871A5"/>
    <w:rsid w:val="7CFB28AA"/>
    <w:rsid w:val="7D0239FF"/>
    <w:rsid w:val="7D0B5C51"/>
    <w:rsid w:val="7D147451"/>
    <w:rsid w:val="7D152149"/>
    <w:rsid w:val="7D2A2168"/>
    <w:rsid w:val="7D3725CD"/>
    <w:rsid w:val="7D5A6B4B"/>
    <w:rsid w:val="7D5E40CD"/>
    <w:rsid w:val="7D6E49FE"/>
    <w:rsid w:val="7D733B0F"/>
    <w:rsid w:val="7D76392E"/>
    <w:rsid w:val="7D826BA0"/>
    <w:rsid w:val="7DA84717"/>
    <w:rsid w:val="7DAD5CA9"/>
    <w:rsid w:val="7DAE659C"/>
    <w:rsid w:val="7DAF266D"/>
    <w:rsid w:val="7DCA4A14"/>
    <w:rsid w:val="7DCD56F2"/>
    <w:rsid w:val="7DD21606"/>
    <w:rsid w:val="7DD4482F"/>
    <w:rsid w:val="7DD70981"/>
    <w:rsid w:val="7DDF73F6"/>
    <w:rsid w:val="7DE57330"/>
    <w:rsid w:val="7DF90701"/>
    <w:rsid w:val="7E0351C1"/>
    <w:rsid w:val="7E1C28BA"/>
    <w:rsid w:val="7E20088D"/>
    <w:rsid w:val="7E2520AC"/>
    <w:rsid w:val="7E2662DE"/>
    <w:rsid w:val="7E292420"/>
    <w:rsid w:val="7E36368B"/>
    <w:rsid w:val="7E4313B6"/>
    <w:rsid w:val="7E4C76AB"/>
    <w:rsid w:val="7E5A75B8"/>
    <w:rsid w:val="7E7318ED"/>
    <w:rsid w:val="7E9204D8"/>
    <w:rsid w:val="7EA50335"/>
    <w:rsid w:val="7EA63565"/>
    <w:rsid w:val="7EA641FD"/>
    <w:rsid w:val="7EAA3560"/>
    <w:rsid w:val="7ED0232C"/>
    <w:rsid w:val="7EDE7ED6"/>
    <w:rsid w:val="7EE51E2F"/>
    <w:rsid w:val="7EF03CB6"/>
    <w:rsid w:val="7EF420C9"/>
    <w:rsid w:val="7EFF3101"/>
    <w:rsid w:val="7F001CE7"/>
    <w:rsid w:val="7F097F27"/>
    <w:rsid w:val="7F0E3D76"/>
    <w:rsid w:val="7F2D7AE1"/>
    <w:rsid w:val="7F33260A"/>
    <w:rsid w:val="7F3C02DD"/>
    <w:rsid w:val="7F524E4C"/>
    <w:rsid w:val="7F5E72BF"/>
    <w:rsid w:val="7F623584"/>
    <w:rsid w:val="7F6D1E2C"/>
    <w:rsid w:val="7F7D2B0A"/>
    <w:rsid w:val="7F8D7991"/>
    <w:rsid w:val="7FB65D58"/>
    <w:rsid w:val="7FC27DBB"/>
    <w:rsid w:val="7FD50AB1"/>
    <w:rsid w:val="7FD83FB8"/>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99" w:semiHidden="0" w:name="index heading" w:locked="1"/>
    <w:lsdException w:qFormat="1" w:unhideWhenUsed="0" w:uiPriority="99" w:semiHidden="0" w:name="caption" w:locked="1"/>
    <w:lsdException w:unhideWhenUsed="0" w:uiPriority="0" w:semiHidden="0" w:name="table of figures" w:locked="1"/>
    <w:lsdException w:unhideWhenUsed="0" w:uiPriority="0" w:semiHidden="0" w:name="envelope address" w:locked="1"/>
    <w:lsdException w:qFormat="1" w:unhideWhenUsed="0" w:uiPriority="0" w:name="envelope return" w:locked="1"/>
    <w:lsdException w:unhideWhenUsed="0" w:uiPriority="0" w:semiHidden="0" w:name="footnote reference" w:locked="1"/>
    <w:lsdException w:qFormat="1" w:unhideWhenUsed="0" w:uiPriority="99"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qFormat="1"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qFormat="1"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qFormat="1"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99" w:semiHidden="0" w:name="Table Grid"/>
    <w:lsdException w:unhideWhenUsed="0" w:uiPriority="0" w:semiHidden="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6"/>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10">
    <w:name w:val="heading 2"/>
    <w:basedOn w:val="1"/>
    <w:next w:val="1"/>
    <w:link w:val="53"/>
    <w:qFormat/>
    <w:locked/>
    <w:uiPriority w:val="9"/>
    <w:pPr>
      <w:keepNext/>
      <w:keepLines/>
      <w:widowControl/>
      <w:tabs>
        <w:tab w:val="left" w:pos="360"/>
        <w:tab w:val="left" w:pos="432"/>
      </w:tabs>
      <w:spacing w:before="10" w:after="10" w:line="360" w:lineRule="auto"/>
      <w:ind w:firstLine="200" w:firstLineChars="200"/>
      <w:jc w:val="left"/>
      <w:outlineLvl w:val="1"/>
    </w:pPr>
    <w:rPr>
      <w:rFonts w:ascii="Times New Roman" w:hAnsi="Times New Roman"/>
      <w:b/>
      <w:bCs/>
      <w:sz w:val="24"/>
      <w:szCs w:val="32"/>
    </w:rPr>
  </w:style>
  <w:style w:type="paragraph" w:styleId="11">
    <w:name w:val="heading 3"/>
    <w:basedOn w:val="1"/>
    <w:next w:val="1"/>
    <w:qFormat/>
    <w:locked/>
    <w:uiPriority w:val="0"/>
    <w:pPr>
      <w:spacing w:line="360" w:lineRule="auto"/>
      <w:ind w:firstLine="0" w:firstLineChars="0"/>
      <w:outlineLvl w:val="2"/>
    </w:pPr>
    <w:rPr>
      <w:rFonts w:ascii="Times New Roman" w:hAnsi="Times New Roman" w:eastAsia="宋体"/>
      <w:b/>
      <w:bCs/>
      <w:color w:val="000000"/>
      <w:sz w:val="24"/>
    </w:rPr>
  </w:style>
  <w:style w:type="paragraph" w:styleId="12">
    <w:name w:val="heading 4"/>
    <w:basedOn w:val="1"/>
    <w:next w:val="1"/>
    <w:qFormat/>
    <w:locked/>
    <w:uiPriority w:val="0"/>
    <w:pPr>
      <w:keepNext/>
      <w:keepLines/>
      <w:spacing w:beforeLines="0" w:beforeAutospacing="0" w:afterLines="0" w:afterAutospacing="0" w:line="360" w:lineRule="auto"/>
      <w:outlineLvl w:val="3"/>
    </w:pPr>
    <w:rPr>
      <w:rFonts w:ascii="Arial" w:hAnsi="Arial" w:eastAsia="宋体"/>
      <w:b/>
      <w:sz w:val="24"/>
    </w:rPr>
  </w:style>
  <w:style w:type="character" w:default="1" w:styleId="46">
    <w:name w:val="Default Paragraph Font"/>
    <w:semiHidden/>
    <w:qFormat/>
    <w:uiPriority w:val="0"/>
  </w:style>
  <w:style w:type="table" w:default="1" w:styleId="4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56"/>
    <w:qFormat/>
    <w:uiPriority w:val="0"/>
    <w:pPr>
      <w:widowControl/>
      <w:snapToGrid w:val="0"/>
      <w:spacing w:before="60" w:after="160" w:line="259" w:lineRule="auto"/>
      <w:ind w:right="113"/>
    </w:pPr>
    <w:rPr>
      <w:kern w:val="0"/>
      <w:sz w:val="18"/>
      <w:szCs w:val="20"/>
    </w:rPr>
  </w:style>
  <w:style w:type="paragraph" w:customStyle="1" w:styleId="3">
    <w:name w:val="xl27"/>
    <w:basedOn w:val="4"/>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table of authorities"/>
    <w:basedOn w:val="1"/>
    <w:next w:val="1"/>
    <w:qFormat/>
    <w:locked/>
    <w:uiPriority w:val="0"/>
    <w:pPr>
      <w:ind w:left="420" w:leftChars="200"/>
    </w:pPr>
  </w:style>
  <w:style w:type="paragraph" w:customStyle="1" w:styleId="6">
    <w:name w:val="xl48"/>
    <w:basedOn w:val="1"/>
    <w:next w:val="7"/>
    <w:qFormat/>
    <w:uiPriority w:val="0"/>
    <w:pPr>
      <w:widowControl/>
      <w:pBdr>
        <w:bottom w:val="single" w:color="auto" w:sz="4" w:space="0"/>
      </w:pBdr>
      <w:spacing w:before="100" w:beforeAutospacing="1" w:after="100" w:afterAutospacing="1"/>
      <w:textAlignment w:val="top"/>
    </w:pPr>
    <w:rPr>
      <w:rFonts w:ascii="Arial Unicode MS" w:hAnsi="Arial Unicode MS" w:eastAsia="Arial Unicode MS" w:cs="Arial Unicode MS"/>
    </w:rPr>
  </w:style>
  <w:style w:type="paragraph" w:styleId="7">
    <w:name w:val="List Continue 3"/>
    <w:basedOn w:val="1"/>
    <w:next w:val="8"/>
    <w:qFormat/>
    <w:locked/>
    <w:uiPriority w:val="0"/>
    <w:pPr>
      <w:spacing w:after="120"/>
      <w:ind w:left="1260" w:leftChars="600"/>
    </w:pPr>
    <w:rPr>
      <w:sz w:val="24"/>
    </w:rPr>
  </w:style>
  <w:style w:type="paragraph" w:customStyle="1" w:styleId="8">
    <w:name w:val="表编号文字"/>
    <w:next w:val="9"/>
    <w:semiHidden/>
    <w:qFormat/>
    <w:uiPriority w:val="0"/>
    <w:pPr>
      <w:widowControl w:val="0"/>
      <w:jc w:val="both"/>
    </w:pPr>
    <w:rPr>
      <w:rFonts w:ascii="Times New Roman" w:hAnsi="Times New Roman" w:eastAsia="宋体" w:cs="Times New Roman"/>
      <w:sz w:val="21"/>
      <w:lang w:val="en-US" w:eastAsia="zh-CN" w:bidi="ar-SA"/>
    </w:rPr>
  </w:style>
  <w:style w:type="paragraph" w:customStyle="1" w:styleId="9">
    <w:name w:val="默认段落字体 Para Char Char Char Char"/>
    <w:basedOn w:val="1"/>
    <w:next w:val="1"/>
    <w:qFormat/>
    <w:uiPriority w:val="0"/>
    <w:rPr>
      <w:sz w:val="24"/>
    </w:rPr>
  </w:style>
  <w:style w:type="paragraph" w:styleId="13">
    <w:name w:val="Normal Indent"/>
    <w:basedOn w:val="1"/>
    <w:next w:val="1"/>
    <w:qFormat/>
    <w:locked/>
    <w:uiPriority w:val="0"/>
    <w:pPr>
      <w:adjustRightInd w:val="0"/>
      <w:spacing w:line="312" w:lineRule="atLeast"/>
      <w:ind w:firstLine="420"/>
      <w:textAlignment w:val="baseline"/>
    </w:pPr>
    <w:rPr>
      <w:rFonts w:ascii="宋体" w:hAnsi="Courier New"/>
      <w:kern w:val="0"/>
      <w:szCs w:val="20"/>
    </w:rPr>
  </w:style>
  <w:style w:type="paragraph" w:styleId="14">
    <w:name w:val="caption"/>
    <w:basedOn w:val="1"/>
    <w:next w:val="1"/>
    <w:qFormat/>
    <w:locked/>
    <w:uiPriority w:val="99"/>
    <w:pPr>
      <w:keepNext/>
      <w:spacing w:before="163" w:beforeLines="50" w:line="240" w:lineRule="auto"/>
      <w:jc w:val="center"/>
    </w:pPr>
    <w:rPr>
      <w:rFonts w:ascii="Times New Roman" w:hAnsi="Times New Roman"/>
      <w:b/>
      <w:sz w:val="22"/>
      <w:szCs w:val="22"/>
    </w:rPr>
  </w:style>
  <w:style w:type="paragraph" w:styleId="15">
    <w:name w:val="toa heading"/>
    <w:basedOn w:val="1"/>
    <w:next w:val="1"/>
    <w:qFormat/>
    <w:locked/>
    <w:uiPriority w:val="0"/>
    <w:pPr>
      <w:widowControl w:val="0"/>
      <w:spacing w:before="120"/>
      <w:jc w:val="both"/>
    </w:pPr>
    <w:rPr>
      <w:rFonts w:ascii="Arial" w:hAnsi="Arial" w:eastAsia="宋体" w:cs="Times New Roman"/>
      <w:kern w:val="2"/>
      <w:sz w:val="24"/>
      <w:szCs w:val="24"/>
      <w:lang w:val="en-US" w:eastAsia="zh-CN" w:bidi="ar-SA"/>
    </w:rPr>
  </w:style>
  <w:style w:type="paragraph" w:styleId="16">
    <w:name w:val="annotation text"/>
    <w:basedOn w:val="1"/>
    <w:link w:val="54"/>
    <w:qFormat/>
    <w:uiPriority w:val="0"/>
    <w:pPr>
      <w:jc w:val="left"/>
    </w:pPr>
    <w:rPr>
      <w:kern w:val="0"/>
      <w:sz w:val="24"/>
      <w:szCs w:val="20"/>
    </w:rPr>
  </w:style>
  <w:style w:type="paragraph" w:styleId="17">
    <w:name w:val="Salutation"/>
    <w:basedOn w:val="1"/>
    <w:next w:val="1"/>
    <w:qFormat/>
    <w:locked/>
    <w:uiPriority w:val="0"/>
    <w:rPr>
      <w:rFonts w:ascii="宋体" w:hAnsi="华文宋体"/>
      <w:sz w:val="28"/>
    </w:rPr>
  </w:style>
  <w:style w:type="paragraph" w:styleId="18">
    <w:name w:val="Closing"/>
    <w:basedOn w:val="1"/>
    <w:next w:val="19"/>
    <w:qFormat/>
    <w:locked/>
    <w:uiPriority w:val="0"/>
    <w:pPr>
      <w:ind w:left="100" w:leftChars="2100"/>
    </w:pPr>
  </w:style>
  <w:style w:type="paragraph" w:customStyle="1" w:styleId="19">
    <w:name w:val="段落"/>
    <w:basedOn w:val="1"/>
    <w:next w:val="20"/>
    <w:qFormat/>
    <w:uiPriority w:val="0"/>
    <w:pPr>
      <w:tabs>
        <w:tab w:val="left" w:pos="1021"/>
      </w:tabs>
      <w:spacing w:line="336" w:lineRule="auto"/>
      <w:ind w:firstLine="480" w:firstLineChars="200"/>
    </w:pPr>
    <w:rPr>
      <w:snapToGrid w:val="0"/>
      <w:color w:val="000000"/>
      <w:kern w:val="24"/>
      <w:sz w:val="24"/>
    </w:rPr>
  </w:style>
  <w:style w:type="paragraph" w:customStyle="1" w:styleId="20">
    <w:name w:val="默认段落字体 Para Char"/>
    <w:basedOn w:val="1"/>
    <w:next w:val="21"/>
    <w:qFormat/>
    <w:uiPriority w:val="0"/>
  </w:style>
  <w:style w:type="paragraph" w:customStyle="1" w:styleId="21">
    <w:name w:val="样式 正文首行缩进 2 + 左侧:  2 字符 首行缩进:  2 字符 +"/>
    <w:basedOn w:val="1"/>
    <w:next w:val="22"/>
    <w:semiHidden/>
    <w:qFormat/>
    <w:uiPriority w:val="0"/>
    <w:pPr>
      <w:spacing w:before="156" w:beforeLines="50"/>
      <w:ind w:firstLine="561"/>
    </w:pPr>
    <w:rPr>
      <w:rFonts w:cs="宋体"/>
    </w:rPr>
  </w:style>
  <w:style w:type="paragraph" w:customStyle="1" w:styleId="22">
    <w:name w:val="正文 32"/>
    <w:basedOn w:val="1"/>
    <w:next w:val="23"/>
    <w:qFormat/>
    <w:uiPriority w:val="0"/>
    <w:pPr>
      <w:autoSpaceDE w:val="0"/>
      <w:autoSpaceDN w:val="0"/>
      <w:adjustRightInd w:val="0"/>
      <w:spacing w:line="300" w:lineRule="auto"/>
      <w:ind w:firstLine="567"/>
      <w:textAlignment w:val="baseline"/>
    </w:pPr>
    <w:rPr>
      <w:rFonts w:eastAsia="楷体_GB2312"/>
      <w:kern w:val="0"/>
      <w:sz w:val="24"/>
      <w:szCs w:val="22"/>
    </w:rPr>
  </w:style>
  <w:style w:type="paragraph" w:customStyle="1" w:styleId="23">
    <w:name w:val="xl30"/>
    <w:basedOn w:val="1"/>
    <w:next w:val="24"/>
    <w:qFormat/>
    <w:uiPriority w:val="0"/>
    <w:pPr>
      <w:widowControl/>
      <w:pBdr>
        <w:bottom w:val="single" w:color="auto" w:sz="4" w:space="0"/>
      </w:pBdr>
      <w:spacing w:before="156" w:beforeLines="50"/>
      <w:jc w:val="center"/>
      <w:textAlignment w:val="center"/>
    </w:pPr>
    <w:rPr>
      <w:rFonts w:eastAsia="Arial Unicode MS"/>
      <w:kern w:val="0"/>
    </w:rPr>
  </w:style>
  <w:style w:type="paragraph" w:styleId="24">
    <w:name w:val="annotation subject"/>
    <w:basedOn w:val="16"/>
    <w:next w:val="25"/>
    <w:link w:val="55"/>
    <w:semiHidden/>
    <w:qFormat/>
    <w:uiPriority w:val="0"/>
    <w:rPr>
      <w:b/>
      <w:sz w:val="24"/>
      <w:szCs w:val="20"/>
    </w:rPr>
  </w:style>
  <w:style w:type="paragraph" w:customStyle="1" w:styleId="25">
    <w:name w:val="样式 标题 1 + 黑色"/>
    <w:basedOn w:val="5"/>
    <w:next w:val="1"/>
    <w:qFormat/>
    <w:uiPriority w:val="0"/>
    <w:pPr>
      <w:keepNext w:val="0"/>
      <w:pageBreakBefore/>
      <w:widowControl/>
      <w:numPr>
        <w:ilvl w:val="0"/>
        <w:numId w:val="0"/>
      </w:numPr>
      <w:tabs>
        <w:tab w:val="left" w:pos="567"/>
        <w:tab w:val="left" w:pos="5652"/>
      </w:tabs>
      <w:spacing w:before="240" w:line="240" w:lineRule="auto"/>
      <w:ind w:left="431" w:hanging="431"/>
      <w:jc w:val="left"/>
    </w:pPr>
    <w:rPr>
      <w:snapToGrid/>
      <w:color w:val="000000"/>
      <w:kern w:val="32"/>
      <w:sz w:val="32"/>
      <w:szCs w:val="32"/>
    </w:rPr>
  </w:style>
  <w:style w:type="paragraph" w:styleId="26">
    <w:name w:val="Body Text Indent"/>
    <w:basedOn w:val="1"/>
    <w:next w:val="2"/>
    <w:link w:val="64"/>
    <w:qFormat/>
    <w:uiPriority w:val="0"/>
    <w:pPr>
      <w:spacing w:after="120"/>
      <w:ind w:left="420" w:leftChars="200"/>
    </w:pPr>
    <w:rPr>
      <w:kern w:val="0"/>
      <w:sz w:val="24"/>
      <w:szCs w:val="20"/>
    </w:rPr>
  </w:style>
  <w:style w:type="paragraph" w:styleId="27">
    <w:name w:val="Block Text"/>
    <w:basedOn w:val="1"/>
    <w:qFormat/>
    <w:locked/>
    <w:uiPriority w:val="0"/>
    <w:pPr>
      <w:spacing w:line="300" w:lineRule="exact"/>
      <w:ind w:left="-96" w:leftChars="-40" w:right="-16" w:firstLine="482" w:firstLineChars="200"/>
    </w:pPr>
    <w:rPr>
      <w:rFonts w:ascii="宋体" w:hAnsi="宋体"/>
    </w:rPr>
  </w:style>
  <w:style w:type="paragraph" w:styleId="28">
    <w:name w:val="Plain Text"/>
    <w:basedOn w:val="1"/>
    <w:next w:val="17"/>
    <w:link w:val="58"/>
    <w:qFormat/>
    <w:locked/>
    <w:uiPriority w:val="0"/>
    <w:rPr>
      <w:rFonts w:ascii="宋体" w:hAnsi="Courier New" w:cs="Courier New"/>
      <w:szCs w:val="21"/>
    </w:rPr>
  </w:style>
  <w:style w:type="paragraph" w:styleId="29">
    <w:name w:val="List Bullet 5"/>
    <w:basedOn w:val="1"/>
    <w:qFormat/>
    <w:locked/>
    <w:uiPriority w:val="0"/>
    <w:pPr>
      <w:numPr>
        <w:ilvl w:val="0"/>
        <w:numId w:val="1"/>
      </w:numPr>
    </w:pPr>
  </w:style>
  <w:style w:type="paragraph" w:styleId="30">
    <w:name w:val="Date"/>
    <w:basedOn w:val="1"/>
    <w:next w:val="1"/>
    <w:link w:val="59"/>
    <w:qFormat/>
    <w:uiPriority w:val="0"/>
    <w:pPr>
      <w:ind w:left="100" w:leftChars="2500"/>
    </w:pPr>
    <w:rPr>
      <w:kern w:val="0"/>
      <w:sz w:val="24"/>
      <w:szCs w:val="20"/>
    </w:rPr>
  </w:style>
  <w:style w:type="paragraph" w:styleId="31">
    <w:name w:val="Body Text Indent 2"/>
    <w:basedOn w:val="1"/>
    <w:next w:val="1"/>
    <w:qFormat/>
    <w:locked/>
    <w:uiPriority w:val="0"/>
    <w:pPr>
      <w:spacing w:line="360" w:lineRule="exact"/>
      <w:ind w:firstLine="420" w:firstLineChars="200"/>
    </w:pPr>
    <w:rPr>
      <w:rFonts w:ascii="仿宋_GB2312" w:eastAsia="仿宋_GB2312"/>
    </w:rPr>
  </w:style>
  <w:style w:type="paragraph" w:styleId="32">
    <w:name w:val="Balloon Text"/>
    <w:basedOn w:val="1"/>
    <w:link w:val="60"/>
    <w:semiHidden/>
    <w:qFormat/>
    <w:uiPriority w:val="0"/>
    <w:rPr>
      <w:kern w:val="0"/>
      <w:sz w:val="18"/>
      <w:szCs w:val="20"/>
    </w:rPr>
  </w:style>
  <w:style w:type="paragraph" w:styleId="33">
    <w:name w:val="footer"/>
    <w:basedOn w:val="1"/>
    <w:link w:val="61"/>
    <w:qFormat/>
    <w:uiPriority w:val="99"/>
    <w:pPr>
      <w:tabs>
        <w:tab w:val="center" w:pos="4153"/>
        <w:tab w:val="right" w:pos="8306"/>
      </w:tabs>
      <w:snapToGrid w:val="0"/>
      <w:jc w:val="left"/>
    </w:pPr>
    <w:rPr>
      <w:kern w:val="0"/>
      <w:sz w:val="18"/>
      <w:szCs w:val="20"/>
    </w:rPr>
  </w:style>
  <w:style w:type="paragraph" w:styleId="34">
    <w:name w:val="envelope return"/>
    <w:basedOn w:val="1"/>
    <w:semiHidden/>
    <w:qFormat/>
    <w:locked/>
    <w:uiPriority w:val="0"/>
    <w:pPr>
      <w:snapToGrid w:val="0"/>
    </w:pPr>
    <w:rPr>
      <w:rFonts w:ascii="Arial" w:hAnsi="Arial" w:cs="Arial"/>
    </w:rPr>
  </w:style>
  <w:style w:type="paragraph" w:styleId="35">
    <w:name w:val="header"/>
    <w:basedOn w:val="1"/>
    <w:next w:val="1"/>
    <w:link w:val="62"/>
    <w:qFormat/>
    <w:uiPriority w:val="0"/>
    <w:pPr>
      <w:pBdr>
        <w:bottom w:val="single" w:color="auto" w:sz="6" w:space="1"/>
      </w:pBdr>
      <w:tabs>
        <w:tab w:val="center" w:pos="4153"/>
        <w:tab w:val="right" w:pos="8306"/>
      </w:tabs>
      <w:snapToGrid w:val="0"/>
      <w:jc w:val="center"/>
    </w:pPr>
    <w:rPr>
      <w:kern w:val="0"/>
      <w:sz w:val="18"/>
      <w:szCs w:val="20"/>
    </w:rPr>
  </w:style>
  <w:style w:type="paragraph" w:styleId="36">
    <w:name w:val="toc 1"/>
    <w:basedOn w:val="1"/>
    <w:next w:val="1"/>
    <w:qFormat/>
    <w:locked/>
    <w:uiPriority w:val="0"/>
  </w:style>
  <w:style w:type="paragraph" w:styleId="37">
    <w:name w:val="index heading"/>
    <w:basedOn w:val="1"/>
    <w:next w:val="38"/>
    <w:qFormat/>
    <w:locked/>
    <w:uiPriority w:val="99"/>
    <w:rPr>
      <w:rFonts w:ascii="Arial" w:hAnsi="Arial" w:cs="Arial"/>
      <w:b/>
      <w:bCs/>
      <w:szCs w:val="24"/>
    </w:rPr>
  </w:style>
  <w:style w:type="paragraph" w:styleId="38">
    <w:name w:val="index 1"/>
    <w:basedOn w:val="1"/>
    <w:next w:val="1"/>
    <w:unhideWhenUsed/>
    <w:qFormat/>
    <w:locked/>
    <w:uiPriority w:val="99"/>
    <w:rPr>
      <w:rFonts w:ascii="Calibri" w:hAnsi="Calibri" w:eastAsia="宋体" w:cs="Times New Roman"/>
    </w:rPr>
  </w:style>
  <w:style w:type="paragraph" w:styleId="39">
    <w:name w:val="List"/>
    <w:basedOn w:val="1"/>
    <w:next w:val="1"/>
    <w:qFormat/>
    <w:locked/>
    <w:uiPriority w:val="0"/>
    <w:pPr>
      <w:ind w:left="200" w:hanging="200" w:hangingChars="200"/>
    </w:pPr>
    <w:rPr>
      <w:szCs w:val="20"/>
    </w:rPr>
  </w:style>
  <w:style w:type="paragraph" w:styleId="40">
    <w:name w:val="toc 2"/>
    <w:basedOn w:val="1"/>
    <w:next w:val="1"/>
    <w:qFormat/>
    <w:locked/>
    <w:uiPriority w:val="0"/>
    <w:pPr>
      <w:ind w:left="420" w:leftChars="200"/>
    </w:pPr>
  </w:style>
  <w:style w:type="paragraph" w:styleId="41">
    <w:name w:val="Normal (Web)"/>
    <w:basedOn w:val="1"/>
    <w:link w:val="63"/>
    <w:qFormat/>
    <w:uiPriority w:val="0"/>
    <w:pPr>
      <w:widowControl/>
      <w:spacing w:before="100" w:beforeAutospacing="1" w:after="100" w:afterAutospacing="1"/>
      <w:jc w:val="left"/>
    </w:pPr>
    <w:rPr>
      <w:rFonts w:ascii="宋体" w:hAnsi="宋体"/>
      <w:kern w:val="0"/>
      <w:sz w:val="24"/>
      <w:szCs w:val="20"/>
    </w:rPr>
  </w:style>
  <w:style w:type="paragraph" w:styleId="42">
    <w:name w:val="Body Text First Indent"/>
    <w:basedOn w:val="2"/>
    <w:qFormat/>
    <w:locked/>
    <w:uiPriority w:val="0"/>
    <w:pPr>
      <w:spacing w:after="120" w:line="240" w:lineRule="auto"/>
      <w:ind w:firstLine="420" w:firstLineChars="100"/>
    </w:pPr>
    <w:rPr>
      <w:rFonts w:ascii="Times New Roman" w:eastAsia="宋体"/>
      <w:sz w:val="21"/>
    </w:rPr>
  </w:style>
  <w:style w:type="paragraph" w:styleId="43">
    <w:name w:val="Body Text First Indent 2"/>
    <w:basedOn w:val="26"/>
    <w:next w:val="42"/>
    <w:qFormat/>
    <w:locked/>
    <w:uiPriority w:val="0"/>
    <w:pPr>
      <w:tabs>
        <w:tab w:val="left" w:pos="420"/>
        <w:tab w:val="left" w:pos="870"/>
        <w:tab w:val="left" w:pos="3150"/>
      </w:tabs>
      <w:autoSpaceDE w:val="0"/>
      <w:autoSpaceDN w:val="0"/>
      <w:adjustRightInd w:val="0"/>
      <w:spacing w:beforeLines="25" w:after="0" w:line="336" w:lineRule="auto"/>
      <w:ind w:left="0" w:leftChars="0" w:firstLine="527"/>
      <w:textAlignment w:val="baseline"/>
    </w:pPr>
    <w:rPr>
      <w:rFonts w:ascii="宋体" w:hAnsi="Times New Roman" w:eastAsia="宋体" w:cs="Times New Roman"/>
      <w:sz w:val="24"/>
      <w:szCs w:val="28"/>
    </w:rPr>
  </w:style>
  <w:style w:type="table" w:styleId="45">
    <w:name w:val="Table Grid"/>
    <w:basedOn w:val="44"/>
    <w:qFormat/>
    <w:uiPriority w:val="99"/>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locked/>
    <w:uiPriority w:val="0"/>
    <w:rPr>
      <w:b/>
    </w:rPr>
  </w:style>
  <w:style w:type="character" w:styleId="48">
    <w:name w:val="page number"/>
    <w:qFormat/>
    <w:locked/>
    <w:uiPriority w:val="0"/>
  </w:style>
  <w:style w:type="character" w:styleId="49">
    <w:name w:val="Emphasis"/>
    <w:basedOn w:val="46"/>
    <w:qFormat/>
    <w:locked/>
    <w:uiPriority w:val="0"/>
    <w:rPr>
      <w:i/>
    </w:rPr>
  </w:style>
  <w:style w:type="character" w:styleId="50">
    <w:name w:val="Hyperlink"/>
    <w:basedOn w:val="46"/>
    <w:qFormat/>
    <w:locked/>
    <w:uiPriority w:val="0"/>
    <w:rPr>
      <w:color w:val="0000FF"/>
      <w:u w:val="single"/>
    </w:rPr>
  </w:style>
  <w:style w:type="character" w:styleId="51">
    <w:name w:val="annotation reference"/>
    <w:qFormat/>
    <w:uiPriority w:val="99"/>
    <w:rPr>
      <w:sz w:val="21"/>
    </w:rPr>
  </w:style>
  <w:style w:type="paragraph" w:customStyle="1" w:styleId="52">
    <w:name w:val="A正文"/>
    <w:basedOn w:val="1"/>
    <w:qFormat/>
    <w:uiPriority w:val="0"/>
  </w:style>
  <w:style w:type="character" w:customStyle="1" w:styleId="53">
    <w:name w:val="标题 2 字符"/>
    <w:link w:val="10"/>
    <w:qFormat/>
    <w:uiPriority w:val="9"/>
    <w:rPr>
      <w:rFonts w:ascii="Times New Roman" w:hAnsi="Times New Roman"/>
      <w:b/>
      <w:bCs/>
      <w:sz w:val="24"/>
      <w:szCs w:val="32"/>
    </w:rPr>
  </w:style>
  <w:style w:type="character" w:customStyle="1" w:styleId="54">
    <w:name w:val="批注文字 字符2"/>
    <w:link w:val="16"/>
    <w:qFormat/>
    <w:locked/>
    <w:uiPriority w:val="0"/>
    <w:rPr>
      <w:rFonts w:ascii="Times New Roman" w:hAnsi="Times New Roman" w:eastAsia="宋体"/>
      <w:sz w:val="24"/>
    </w:rPr>
  </w:style>
  <w:style w:type="character" w:customStyle="1" w:styleId="55">
    <w:name w:val="批注主题 字符"/>
    <w:link w:val="24"/>
    <w:semiHidden/>
    <w:qFormat/>
    <w:locked/>
    <w:uiPriority w:val="0"/>
    <w:rPr>
      <w:rFonts w:ascii="Times New Roman" w:hAnsi="Times New Roman" w:eastAsia="宋体"/>
      <w:b/>
      <w:kern w:val="2"/>
      <w:sz w:val="24"/>
    </w:rPr>
  </w:style>
  <w:style w:type="character" w:customStyle="1" w:styleId="56">
    <w:name w:val="正文文本 字符"/>
    <w:link w:val="2"/>
    <w:qFormat/>
    <w:locked/>
    <w:uiPriority w:val="0"/>
    <w:rPr>
      <w:sz w:val="18"/>
    </w:rPr>
  </w:style>
  <w:style w:type="character" w:customStyle="1" w:styleId="57">
    <w:name w:val="正文文本缩进 Char"/>
    <w:link w:val="26"/>
    <w:qFormat/>
    <w:locked/>
    <w:uiPriority w:val="0"/>
    <w:rPr>
      <w:rFonts w:ascii="Times New Roman" w:hAnsi="Times New Roman" w:eastAsia="宋体"/>
      <w:sz w:val="24"/>
    </w:rPr>
  </w:style>
  <w:style w:type="character" w:customStyle="1" w:styleId="58">
    <w:name w:val="纯文本 字符"/>
    <w:link w:val="28"/>
    <w:qFormat/>
    <w:uiPriority w:val="0"/>
    <w:rPr>
      <w:rFonts w:ascii="宋体" w:hAnsi="Courier New" w:cs="Courier New"/>
      <w:kern w:val="2"/>
      <w:sz w:val="21"/>
      <w:szCs w:val="21"/>
    </w:rPr>
  </w:style>
  <w:style w:type="character" w:customStyle="1" w:styleId="59">
    <w:name w:val="日期 字符1"/>
    <w:link w:val="30"/>
    <w:qFormat/>
    <w:locked/>
    <w:uiPriority w:val="0"/>
    <w:rPr>
      <w:rFonts w:ascii="Times New Roman" w:hAnsi="Times New Roman" w:eastAsia="宋体"/>
      <w:sz w:val="24"/>
    </w:rPr>
  </w:style>
  <w:style w:type="character" w:customStyle="1" w:styleId="60">
    <w:name w:val="批注框文本 字符"/>
    <w:link w:val="32"/>
    <w:semiHidden/>
    <w:qFormat/>
    <w:locked/>
    <w:uiPriority w:val="0"/>
    <w:rPr>
      <w:rFonts w:ascii="Times New Roman" w:hAnsi="Times New Roman" w:eastAsia="宋体"/>
      <w:sz w:val="18"/>
    </w:rPr>
  </w:style>
  <w:style w:type="character" w:customStyle="1" w:styleId="61">
    <w:name w:val="页脚 字符1"/>
    <w:link w:val="33"/>
    <w:qFormat/>
    <w:locked/>
    <w:uiPriority w:val="99"/>
    <w:rPr>
      <w:sz w:val="18"/>
    </w:rPr>
  </w:style>
  <w:style w:type="character" w:customStyle="1" w:styleId="62">
    <w:name w:val="页眉 字符"/>
    <w:link w:val="35"/>
    <w:qFormat/>
    <w:locked/>
    <w:uiPriority w:val="0"/>
    <w:rPr>
      <w:sz w:val="18"/>
    </w:rPr>
  </w:style>
  <w:style w:type="character" w:customStyle="1" w:styleId="63">
    <w:name w:val="普通(网站) 字符1"/>
    <w:link w:val="41"/>
    <w:qFormat/>
    <w:locked/>
    <w:uiPriority w:val="0"/>
    <w:rPr>
      <w:rFonts w:ascii="宋体" w:hAnsi="宋体" w:eastAsia="宋体"/>
      <w:sz w:val="24"/>
    </w:rPr>
  </w:style>
  <w:style w:type="character" w:customStyle="1" w:styleId="64">
    <w:name w:val="正文文本缩进 字符"/>
    <w:link w:val="26"/>
    <w:semiHidden/>
    <w:qFormat/>
    <w:locked/>
    <w:uiPriority w:val="0"/>
    <w:rPr>
      <w:rFonts w:ascii="Times New Roman" w:hAnsi="Times New Roman" w:eastAsia="宋体"/>
      <w:sz w:val="24"/>
    </w:rPr>
  </w:style>
  <w:style w:type="paragraph" w:customStyle="1" w:styleId="65">
    <w:name w:val="一级条标题"/>
    <w:basedOn w:val="5"/>
    <w:next w:val="1"/>
    <w:qFormat/>
    <w:uiPriority w:val="0"/>
    <w:pPr>
      <w:keepNext w:val="0"/>
      <w:keepLines w:val="0"/>
      <w:widowControl/>
      <w:tabs>
        <w:tab w:val="left" w:pos="360"/>
        <w:tab w:val="left" w:pos="432"/>
      </w:tabs>
      <w:spacing w:before="0" w:after="0"/>
      <w:outlineLvl w:val="2"/>
    </w:pPr>
    <w:rPr>
      <w:rFonts w:ascii="黑体" w:eastAsia="黑体"/>
      <w:kern w:val="0"/>
      <w:sz w:val="21"/>
    </w:rPr>
  </w:style>
  <w:style w:type="paragraph" w:customStyle="1" w:styleId="66">
    <w:name w:val="Default"/>
    <w:basedOn w:val="67"/>
    <w:next w:val="1"/>
    <w:unhideWhenUsed/>
    <w:qFormat/>
    <w:uiPriority w:val="99"/>
    <w:pPr>
      <w:widowControl w:val="0"/>
      <w:autoSpaceDE w:val="0"/>
      <w:autoSpaceDN w:val="0"/>
      <w:adjustRightInd w:val="0"/>
      <w:spacing w:beforeLines="0" w:afterLines="0"/>
    </w:pPr>
    <w:rPr>
      <w:rFonts w:hint="eastAsia" w:ascii="Times New Roman" w:hAnsi="Times New Roman" w:eastAsia="Times New Roman"/>
      <w:color w:val="000000"/>
      <w:sz w:val="24"/>
      <w:szCs w:val="24"/>
    </w:rPr>
  </w:style>
  <w:style w:type="paragraph" w:customStyle="1" w:styleId="67">
    <w:name w:val="！正文 Alt+0"/>
    <w:basedOn w:val="1"/>
    <w:qFormat/>
    <w:uiPriority w:val="0"/>
    <w:pPr>
      <w:ind w:firstLine="200"/>
    </w:pPr>
    <w:rPr>
      <w:sz w:val="28"/>
      <w:szCs w:val="28"/>
    </w:rPr>
  </w:style>
  <w:style w:type="paragraph" w:customStyle="1" w:styleId="68">
    <w:name w:val="纯文本1"/>
    <w:basedOn w:val="1"/>
    <w:qFormat/>
    <w:uiPriority w:val="0"/>
    <w:pPr>
      <w:adjustRightInd w:val="0"/>
    </w:pPr>
    <w:rPr>
      <w:rFonts w:ascii="宋体" w:hAnsi="Courier New"/>
      <w:szCs w:val="20"/>
    </w:rPr>
  </w:style>
  <w:style w:type="character" w:customStyle="1" w:styleId="69">
    <w:name w:val="t_tag"/>
    <w:qFormat/>
    <w:uiPriority w:val="0"/>
  </w:style>
  <w:style w:type="character" w:customStyle="1" w:styleId="70">
    <w:name w:val="15"/>
    <w:basedOn w:val="46"/>
    <w:qFormat/>
    <w:uiPriority w:val="0"/>
    <w:rPr>
      <w:rFonts w:ascii="Times New Roman" w:hAnsi="Times New Roman" w:eastAsia="宋体" w:cs="Times New Roman"/>
      <w:color w:val="000000"/>
    </w:rPr>
  </w:style>
  <w:style w:type="character" w:customStyle="1" w:styleId="71">
    <w:name w:val="font11"/>
    <w:basedOn w:val="46"/>
    <w:qFormat/>
    <w:uiPriority w:val="0"/>
    <w:rPr>
      <w:rFonts w:hint="eastAsia" w:ascii="宋体" w:hAnsi="宋体" w:eastAsia="宋体" w:cs="宋体"/>
      <w:color w:val="FF0000"/>
      <w:sz w:val="21"/>
      <w:szCs w:val="21"/>
      <w:u w:val="none"/>
    </w:rPr>
  </w:style>
  <w:style w:type="character" w:customStyle="1" w:styleId="72">
    <w:name w:val="页脚 字符"/>
    <w:qFormat/>
    <w:uiPriority w:val="99"/>
  </w:style>
  <w:style w:type="character" w:customStyle="1" w:styleId="73">
    <w:name w:val="正文文本 Char"/>
    <w:qFormat/>
    <w:locked/>
    <w:uiPriority w:val="0"/>
    <w:rPr>
      <w:sz w:val="18"/>
    </w:rPr>
  </w:style>
  <w:style w:type="character" w:customStyle="1" w:styleId="74">
    <w:name w:val="font21"/>
    <w:basedOn w:val="46"/>
    <w:qFormat/>
    <w:uiPriority w:val="0"/>
    <w:rPr>
      <w:rFonts w:hint="eastAsia" w:ascii="宋体" w:hAnsi="宋体" w:eastAsia="宋体"/>
      <w:color w:val="000000"/>
      <w:sz w:val="21"/>
      <w:szCs w:val="21"/>
    </w:rPr>
  </w:style>
  <w:style w:type="character" w:customStyle="1" w:styleId="75">
    <w:name w:val="批注文字 字符1"/>
    <w:semiHidden/>
    <w:qFormat/>
    <w:uiPriority w:val="0"/>
    <w:rPr>
      <w:rFonts w:ascii="Times New Roman" w:hAnsi="Times New Roman" w:eastAsia="宋体"/>
      <w:sz w:val="24"/>
    </w:rPr>
  </w:style>
  <w:style w:type="character" w:customStyle="1" w:styleId="76">
    <w:name w:val="16"/>
    <w:qFormat/>
    <w:uiPriority w:val="0"/>
    <w:rPr>
      <w:rFonts w:hint="default" w:ascii="Times New Roman" w:hAnsi="Times New Roman" w:cs="Times New Roman"/>
      <w:color w:val="000000"/>
      <w:sz w:val="20"/>
      <w:szCs w:val="20"/>
    </w:rPr>
  </w:style>
  <w:style w:type="character" w:customStyle="1" w:styleId="77">
    <w:name w:val="日期 字符"/>
    <w:semiHidden/>
    <w:qFormat/>
    <w:uiPriority w:val="0"/>
    <w:rPr>
      <w:rFonts w:ascii="Times New Roman" w:hAnsi="Times New Roman" w:eastAsia="宋体"/>
      <w:sz w:val="24"/>
    </w:rPr>
  </w:style>
  <w:style w:type="character" w:customStyle="1" w:styleId="78">
    <w:name w:val="正文文本 字符1"/>
    <w:semiHidden/>
    <w:qFormat/>
    <w:uiPriority w:val="0"/>
    <w:rPr>
      <w:rFonts w:ascii="Times New Roman" w:hAnsi="Times New Roman" w:eastAsia="宋体"/>
      <w:sz w:val="24"/>
    </w:rPr>
  </w:style>
  <w:style w:type="character" w:customStyle="1" w:styleId="79">
    <w:name w:val="表格 Char"/>
    <w:link w:val="80"/>
    <w:qFormat/>
    <w:locked/>
    <w:uiPriority w:val="0"/>
    <w:rPr>
      <w:rFonts w:ascii="宋体"/>
      <w:sz w:val="21"/>
    </w:rPr>
  </w:style>
  <w:style w:type="paragraph" w:customStyle="1" w:styleId="80">
    <w:name w:val="表格"/>
    <w:basedOn w:val="13"/>
    <w:next w:val="1"/>
    <w:link w:val="79"/>
    <w:qFormat/>
    <w:uiPriority w:val="0"/>
    <w:pPr>
      <w:adjustRightInd w:val="0"/>
      <w:snapToGrid w:val="0"/>
      <w:spacing w:beforeLines="10" w:afterLines="10" w:line="259" w:lineRule="auto"/>
      <w:jc w:val="center"/>
    </w:pPr>
    <w:rPr>
      <w:rFonts w:ascii="宋体"/>
      <w:kern w:val="0"/>
      <w:szCs w:val="20"/>
    </w:rPr>
  </w:style>
  <w:style w:type="character" w:customStyle="1" w:styleId="81">
    <w:name w:val="普通(网站) 字符"/>
    <w:qFormat/>
    <w:uiPriority w:val="0"/>
    <w:rPr>
      <w:rFonts w:ascii="宋体" w:hAnsi="宋体" w:cs="宋体"/>
      <w:sz w:val="24"/>
      <w:szCs w:val="24"/>
    </w:rPr>
  </w:style>
  <w:style w:type="character" w:customStyle="1" w:styleId="82">
    <w:name w:val="批注文字 字符"/>
    <w:semiHidden/>
    <w:qFormat/>
    <w:uiPriority w:val="99"/>
    <w:rPr>
      <w:kern w:val="2"/>
      <w:sz w:val="21"/>
      <w:szCs w:val="22"/>
    </w:rPr>
  </w:style>
  <w:style w:type="paragraph" w:customStyle="1" w:styleId="83">
    <w:name w:val="表格文字"/>
    <w:basedOn w:val="1"/>
    <w:next w:val="1"/>
    <w:qFormat/>
    <w:uiPriority w:val="0"/>
    <w:pPr>
      <w:widowControl/>
      <w:adjustRightInd w:val="0"/>
      <w:snapToGrid w:val="0"/>
      <w:jc w:val="center"/>
    </w:pPr>
    <w:rPr>
      <w:rFonts w:ascii="Times New Roman" w:hAnsi="Times New Roman" w:eastAsia="宋体" w:cs="Times New Roman"/>
      <w:szCs w:val="21"/>
    </w:rPr>
  </w:style>
  <w:style w:type="paragraph" w:customStyle="1" w:styleId="84">
    <w:name w:val="333正文"/>
    <w:basedOn w:val="1"/>
    <w:qFormat/>
    <w:uiPriority w:val="0"/>
    <w:pPr>
      <w:spacing w:line="360" w:lineRule="auto"/>
      <w:ind w:firstLine="1440" w:firstLineChars="200"/>
      <w:jc w:val="left"/>
    </w:pPr>
    <w:rPr>
      <w:rFonts w:ascii="Times New Roman" w:hAnsi="Times New Roman" w:eastAsia="宋体"/>
      <w:sz w:val="24"/>
    </w:rPr>
  </w:style>
  <w:style w:type="paragraph" w:customStyle="1" w:styleId="85">
    <w:name w:val=" Char Char1 Char Char"/>
    <w:basedOn w:val="1"/>
    <w:next w:val="86"/>
    <w:qFormat/>
    <w:uiPriority w:val="0"/>
    <w:pPr>
      <w:widowControl w:val="0"/>
      <w:autoSpaceDE/>
      <w:autoSpaceDN/>
      <w:spacing w:before="0" w:after="0" w:line="240" w:lineRule="auto"/>
      <w:ind w:left="0" w:firstLine="0"/>
      <w:jc w:val="both"/>
    </w:pPr>
    <w:rPr>
      <w:rFonts w:ascii="Times New Roman" w:eastAsia="宋体"/>
      <w:sz w:val="24"/>
    </w:rPr>
  </w:style>
  <w:style w:type="paragraph" w:customStyle="1" w:styleId="86">
    <w:name w:val="xl42"/>
    <w:basedOn w:val="1"/>
    <w:next w:val="18"/>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Arial Unicode MS"/>
      <w:kern w:val="0"/>
    </w:rPr>
  </w:style>
  <w:style w:type="paragraph" w:customStyle="1" w:styleId="87">
    <w:name w:val="报告表正文"/>
    <w:basedOn w:val="1"/>
    <w:qFormat/>
    <w:uiPriority w:val="0"/>
    <w:pPr>
      <w:adjustRightInd w:val="0"/>
      <w:spacing w:line="312" w:lineRule="auto"/>
      <w:ind w:left="113" w:right="113" w:firstLine="482"/>
      <w:jc w:val="left"/>
    </w:pPr>
    <w:rPr>
      <w:rFonts w:ascii="Times New Roman" w:hAnsi="Times New Roman" w:eastAsia="宋体" w:cs="Times New Roman"/>
      <w:kern w:val="0"/>
      <w:sz w:val="24"/>
      <w:szCs w:val="20"/>
    </w:rPr>
  </w:style>
  <w:style w:type="paragraph" w:customStyle="1" w:styleId="88">
    <w:name w:val="333表头"/>
    <w:basedOn w:val="1"/>
    <w:next w:val="1"/>
    <w:qFormat/>
    <w:uiPriority w:val="0"/>
    <w:pPr>
      <w:jc w:val="center"/>
    </w:pPr>
    <w:rPr>
      <w:rFonts w:ascii="Times New Roman" w:hAnsi="Times New Roman" w:eastAsia="宋体" w:cs="Times New Roman"/>
      <w:b/>
      <w:sz w:val="21"/>
      <w:szCs w:val="22"/>
    </w:rPr>
  </w:style>
  <w:style w:type="paragraph" w:customStyle="1" w:styleId="89">
    <w:name w:val="大表格标题"/>
    <w:basedOn w:val="1"/>
    <w:qFormat/>
    <w:uiPriority w:val="0"/>
    <w:pPr>
      <w:jc w:val="center"/>
    </w:pPr>
    <w:rPr>
      <w:b/>
      <w:bCs/>
      <w:sz w:val="24"/>
    </w:rPr>
  </w:style>
  <w:style w:type="paragraph" w:customStyle="1" w:styleId="90">
    <w:name w:val="环评正文"/>
    <w:basedOn w:val="1"/>
    <w:qFormat/>
    <w:uiPriority w:val="0"/>
    <w:pPr>
      <w:spacing w:beforeLines="30" w:after="100" w:afterAutospacing="1"/>
      <w:ind w:firstLine="200" w:firstLineChars="200"/>
    </w:pPr>
    <w:rPr>
      <w:rFonts w:ascii="Times New Roman" w:hAnsi="Times New Roman" w:eastAsia="宋体" w:cs="Times New Roman"/>
      <w:kern w:val="0"/>
      <w:sz w:val="24"/>
      <w:szCs w:val="24"/>
    </w:rPr>
  </w:style>
  <w:style w:type="paragraph" w:customStyle="1" w:styleId="91">
    <w:name w:val="环评表头"/>
    <w:basedOn w:val="1"/>
    <w:qFormat/>
    <w:uiPriority w:val="0"/>
    <w:pPr>
      <w:widowControl/>
      <w:spacing w:line="240" w:lineRule="auto"/>
      <w:ind w:firstLine="0" w:firstLineChars="0"/>
      <w:jc w:val="center"/>
    </w:pPr>
    <w:rPr>
      <w:b/>
      <w:kern w:val="0"/>
      <w:szCs w:val="20"/>
    </w:rPr>
  </w:style>
  <w:style w:type="paragraph" w:customStyle="1" w:styleId="92">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9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94">
    <w:name w:val="2级"/>
    <w:basedOn w:val="89"/>
    <w:qFormat/>
    <w:uiPriority w:val="0"/>
    <w:pPr>
      <w:widowControl w:val="0"/>
      <w:spacing w:line="520" w:lineRule="exact"/>
      <w:ind w:firstLine="200" w:firstLineChars="200"/>
    </w:pPr>
    <w:rPr>
      <w:rFonts w:ascii="Times New Roman" w:hAnsi="Times New Roman" w:eastAsia="宋体" w:cs="Times New Roman"/>
      <w:szCs w:val="24"/>
    </w:rPr>
  </w:style>
  <w:style w:type="paragraph" w:customStyle="1" w:styleId="95">
    <w:name w:val="正文5"/>
    <w:qFormat/>
    <w:uiPriority w:val="0"/>
    <w:pPr>
      <w:spacing w:line="360" w:lineRule="auto"/>
      <w:ind w:firstLine="200" w:firstLineChars="200"/>
    </w:pPr>
    <w:rPr>
      <w:rFonts w:ascii="Times New Roman" w:hAnsi="Times New Roman" w:eastAsia="宋体" w:cs="宋体"/>
      <w:sz w:val="24"/>
      <w:szCs w:val="22"/>
      <w:lang w:val="en-US" w:eastAsia="zh-CN" w:bidi="ar-SA"/>
    </w:rPr>
  </w:style>
  <w:style w:type="paragraph" w:customStyle="1" w:styleId="96">
    <w:name w:val="正文文字"/>
    <w:basedOn w:val="1"/>
    <w:qFormat/>
    <w:uiPriority w:val="0"/>
    <w:pPr>
      <w:spacing w:line="560" w:lineRule="exact"/>
      <w:ind w:firstLine="200" w:firstLineChars="200"/>
    </w:pPr>
    <w:rPr>
      <w:rFonts w:ascii="宋体" w:hAnsi="宋体"/>
      <w:sz w:val="24"/>
      <w:szCs w:val="20"/>
    </w:rPr>
  </w:style>
  <w:style w:type="paragraph" w:customStyle="1" w:styleId="97">
    <w:name w:val="表内"/>
    <w:basedOn w:val="1"/>
    <w:qFormat/>
    <w:uiPriority w:val="0"/>
    <w:pPr>
      <w:spacing w:line="360" w:lineRule="auto"/>
      <w:ind w:firstLine="482"/>
    </w:pPr>
    <w:rPr>
      <w:rFonts w:ascii="Times New Roman" w:hAnsi="Times New Roman"/>
    </w:rPr>
  </w:style>
  <w:style w:type="paragraph" w:customStyle="1" w:styleId="98">
    <w:name w:val="列出段落1"/>
    <w:basedOn w:val="1"/>
    <w:qFormat/>
    <w:uiPriority w:val="34"/>
    <w:pPr>
      <w:ind w:firstLine="420" w:firstLineChars="200"/>
    </w:pPr>
    <w:rPr>
      <w:szCs w:val="22"/>
    </w:rPr>
  </w:style>
  <w:style w:type="paragraph" w:customStyle="1" w:styleId="99">
    <w:name w:val="表格文字1"/>
    <w:basedOn w:val="1"/>
    <w:qFormat/>
    <w:uiPriority w:val="0"/>
    <w:pPr>
      <w:widowControl/>
      <w:adjustRightInd w:val="0"/>
      <w:snapToGrid w:val="0"/>
      <w:jc w:val="center"/>
    </w:pPr>
    <w:rPr>
      <w:rFonts w:ascii="Times New Roman" w:hAnsi="Times New Roman" w:eastAsia="宋体" w:cs="Times New Roman"/>
      <w:kern w:val="0"/>
      <w:sz w:val="20"/>
      <w:szCs w:val="20"/>
    </w:rPr>
  </w:style>
  <w:style w:type="paragraph" w:customStyle="1" w:styleId="100">
    <w:name w:val="正文 首行缩进:  2 字符"/>
    <w:basedOn w:val="1"/>
    <w:qFormat/>
    <w:uiPriority w:val="0"/>
    <w:pPr>
      <w:ind w:firstLine="579" w:firstLineChars="200"/>
    </w:pPr>
    <w:rPr>
      <w:rFonts w:cs="宋体"/>
    </w:rPr>
  </w:style>
  <w:style w:type="paragraph" w:customStyle="1" w:styleId="101">
    <w:name w:val="应表格"/>
    <w:basedOn w:val="1"/>
    <w:qFormat/>
    <w:uiPriority w:val="0"/>
    <w:pPr>
      <w:widowControl/>
      <w:adjustRightInd w:val="0"/>
      <w:snapToGrid w:val="0"/>
      <w:spacing w:line="400" w:lineRule="exact"/>
      <w:jc w:val="center"/>
      <w:textAlignment w:val="baseline"/>
    </w:pPr>
    <w:rPr>
      <w:rFonts w:eastAsia="仿宋"/>
      <w:kern w:val="0"/>
      <w:szCs w:val="21"/>
    </w:rPr>
  </w:style>
  <w:style w:type="paragraph" w:customStyle="1" w:styleId="102">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3">
    <w:name w:val="报告书正文"/>
    <w:basedOn w:val="1"/>
    <w:qFormat/>
    <w:uiPriority w:val="0"/>
    <w:pPr>
      <w:adjustRightInd w:val="0"/>
      <w:snapToGrid w:val="0"/>
      <w:ind w:firstLine="425"/>
      <w:textAlignment w:val="baseline"/>
    </w:pPr>
    <w:rPr>
      <w:rFonts w:hAnsi="Arial"/>
    </w:rPr>
  </w:style>
  <w:style w:type="paragraph" w:customStyle="1" w:styleId="104">
    <w:name w:val="浪尖体育"/>
    <w:basedOn w:val="1"/>
    <w:qFormat/>
    <w:uiPriority w:val="0"/>
    <w:pPr>
      <w:autoSpaceDE w:val="0"/>
      <w:autoSpaceDN w:val="0"/>
      <w:adjustRightInd w:val="0"/>
      <w:snapToGrid w:val="0"/>
      <w:spacing w:line="360" w:lineRule="auto"/>
      <w:ind w:firstLine="720" w:firstLineChars="200"/>
    </w:pPr>
    <w:rPr>
      <w:rFonts w:ascii="宋体" w:hAnsi="宋体" w:cs="宋体"/>
      <w:kern w:val="0"/>
      <w:sz w:val="24"/>
      <w:szCs w:val="21"/>
    </w:rPr>
  </w:style>
  <w:style w:type="paragraph" w:customStyle="1" w:styleId="105">
    <w:name w:val="Default2"/>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6">
    <w:name w:val="Normal (Web)"/>
    <w:basedOn w:val="1"/>
    <w:qFormat/>
    <w:uiPriority w:val="0"/>
    <w:pPr>
      <w:widowControl/>
      <w:autoSpaceDE/>
      <w:autoSpaceDN/>
      <w:snapToGrid/>
      <w:spacing w:before="100" w:beforeLines="0" w:beforeAutospacing="1" w:after="100" w:afterLines="0" w:afterAutospacing="1" w:line="240" w:lineRule="auto"/>
      <w:ind w:firstLine="0"/>
      <w:jc w:val="left"/>
    </w:pPr>
    <w:rPr>
      <w:rFonts w:hint="eastAsia" w:ascii="宋体" w:hAnsi="宋体" w:eastAsia="宋体"/>
      <w:sz w:val="24"/>
    </w:rPr>
  </w:style>
  <w:style w:type="paragraph" w:styleId="107">
    <w:name w:val="No Spacing"/>
    <w:qFormat/>
    <w:uiPriority w:val="0"/>
    <w:rPr>
      <w:rFonts w:ascii="Times New Roman" w:hAnsi="Times New Roman" w:eastAsia="宋体" w:cs="Times New Roman"/>
      <w:sz w:val="22"/>
      <w:szCs w:val="21"/>
      <w:lang w:val="en-US" w:eastAsia="zh-CN" w:bidi="ar-SA"/>
    </w:rPr>
  </w:style>
  <w:style w:type="paragraph" w:customStyle="1" w:styleId="108">
    <w:name w:val="样式5"/>
    <w:basedOn w:val="1"/>
    <w:qFormat/>
    <w:uiPriority w:val="0"/>
    <w:pPr>
      <w:widowControl w:val="0"/>
      <w:tabs>
        <w:tab w:val="left" w:pos="420"/>
        <w:tab w:val="left" w:pos="1260"/>
      </w:tabs>
      <w:ind w:left="420" w:hanging="420"/>
      <w:jc w:val="both"/>
    </w:pPr>
    <w:rPr>
      <w:rFonts w:ascii="Times New Roman" w:hAnsi="Times New Roman" w:eastAsia="宋体" w:cs="Times New Roman"/>
      <w:kern w:val="0"/>
      <w:sz w:val="20"/>
      <w:szCs w:val="20"/>
    </w:rPr>
  </w:style>
  <w:style w:type="paragraph" w:customStyle="1" w:styleId="109">
    <w:name w:val="表内表"/>
    <w:basedOn w:val="1"/>
    <w:qFormat/>
    <w:uiPriority w:val="0"/>
    <w:pPr>
      <w:adjustRightInd w:val="0"/>
      <w:snapToGrid w:val="0"/>
      <w:jc w:val="center"/>
    </w:pPr>
    <w:rPr>
      <w:rFonts w:ascii="Times New Roman" w:hAnsi="Times New Roman"/>
      <w:sz w:val="21"/>
    </w:rPr>
  </w:style>
  <w:style w:type="paragraph" w:customStyle="1" w:styleId="110">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111">
    <w:name w:val="新表"/>
    <w:basedOn w:val="1"/>
    <w:qFormat/>
    <w:uiPriority w:val="0"/>
    <w:pPr>
      <w:spacing w:line="360" w:lineRule="exact"/>
    </w:pPr>
    <w:rPr>
      <w:rFonts w:eastAsia="仿宋_GB2312"/>
      <w:bCs/>
      <w:kern w:val="0"/>
      <w:sz w:val="24"/>
    </w:rPr>
  </w:style>
  <w:style w:type="paragraph" w:customStyle="1" w:styleId="11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3">
    <w:name w:val="表题注"/>
    <w:basedOn w:val="1"/>
    <w:qFormat/>
    <w:uiPriority w:val="0"/>
    <w:pPr>
      <w:jc w:val="center"/>
    </w:pPr>
    <w:rPr>
      <w:rFonts w:ascii="Times New Roman" w:hAnsi="宋体"/>
      <w:b/>
      <w:szCs w:val="24"/>
    </w:rPr>
  </w:style>
  <w:style w:type="paragraph" w:customStyle="1" w:styleId="114">
    <w:name w:val="表内样式"/>
    <w:basedOn w:val="1"/>
    <w:next w:val="1"/>
    <w:qFormat/>
    <w:uiPriority w:val="0"/>
    <w:pPr>
      <w:jc w:val="center"/>
    </w:pPr>
    <w:rPr>
      <w:kern w:val="0"/>
    </w:rPr>
  </w:style>
  <w:style w:type="paragraph" w:customStyle="1" w:styleId="115">
    <w:name w:val="1 正文"/>
    <w:basedOn w:val="1"/>
    <w:qFormat/>
    <w:uiPriority w:val="0"/>
    <w:pPr>
      <w:spacing w:line="360" w:lineRule="auto"/>
      <w:ind w:firstLine="200" w:firstLineChars="200"/>
    </w:pPr>
    <w:rPr>
      <w:kern w:val="0"/>
      <w:sz w:val="24"/>
      <w:szCs w:val="20"/>
    </w:rPr>
  </w:style>
  <w:style w:type="paragraph" w:customStyle="1" w:styleId="116">
    <w:name w:val="Table Paragraph"/>
    <w:basedOn w:val="1"/>
    <w:qFormat/>
    <w:uiPriority w:val="0"/>
  </w:style>
  <w:style w:type="paragraph" w:customStyle="1" w:styleId="117">
    <w:name w:val="黄酒表格标题"/>
    <w:qFormat/>
    <w:uiPriority w:val="0"/>
    <w:pPr>
      <w:tabs>
        <w:tab w:val="left" w:pos="-2848"/>
      </w:tabs>
      <w:jc w:val="center"/>
    </w:pPr>
    <w:rPr>
      <w:rFonts w:ascii="Times New Roman" w:hAnsi="Times New Roman" w:eastAsia="宋体" w:cs="宋体"/>
      <w:b/>
      <w:sz w:val="21"/>
      <w:szCs w:val="21"/>
      <w:lang w:val="en-US" w:eastAsia="zh-CN" w:bidi="ar-SA"/>
    </w:rPr>
  </w:style>
  <w:style w:type="paragraph" w:customStyle="1" w:styleId="118">
    <w:name w:val="表头"/>
    <w:basedOn w:val="1"/>
    <w:qFormat/>
    <w:uiPriority w:val="0"/>
    <w:pPr>
      <w:spacing w:line="240" w:lineRule="auto"/>
      <w:jc w:val="center"/>
    </w:pPr>
    <w:rPr>
      <w:rFonts w:eastAsia="黑体"/>
      <w:szCs w:val="18"/>
    </w:rPr>
  </w:style>
  <w:style w:type="paragraph" w:customStyle="1" w:styleId="119">
    <w:name w:val="样式 (符号) 宋体 小四 行距: 1.5 倍行距"/>
    <w:basedOn w:val="1"/>
    <w:qFormat/>
    <w:uiPriority w:val="0"/>
    <w:pPr>
      <w:spacing w:line="360" w:lineRule="auto"/>
      <w:ind w:firstLine="480" w:firstLineChars="200"/>
    </w:pPr>
    <w:rPr>
      <w:rFonts w:ascii="Calibri" w:hAnsi="宋体" w:cs="宋体"/>
      <w:sz w:val="24"/>
      <w:szCs w:val="21"/>
    </w:rPr>
  </w:style>
  <w:style w:type="paragraph" w:customStyle="1" w:styleId="120">
    <w:name w:val="表格正文"/>
    <w:basedOn w:val="1"/>
    <w:next w:val="1"/>
    <w:qFormat/>
    <w:uiPriority w:val="0"/>
    <w:pPr>
      <w:snapToGrid w:val="0"/>
      <w:spacing w:line="240" w:lineRule="auto"/>
      <w:ind w:firstLine="0" w:firstLineChars="0"/>
      <w:jc w:val="center"/>
    </w:pPr>
    <w:rPr>
      <w:color w:val="000000"/>
      <w:kern w:val="0"/>
      <w:sz w:val="21"/>
      <w:szCs w:val="21"/>
    </w:rPr>
  </w:style>
  <w:style w:type="paragraph" w:customStyle="1" w:styleId="121">
    <w:name w:val="333表格"/>
    <w:basedOn w:val="1"/>
    <w:next w:val="1"/>
    <w:qFormat/>
    <w:uiPriority w:val="0"/>
    <w:pPr>
      <w:spacing w:line="240" w:lineRule="auto"/>
      <w:jc w:val="center"/>
    </w:pPr>
    <w:rPr>
      <w:rFonts w:ascii="Times New Roman" w:hAnsi="Times New Roman" w:eastAsia="宋体"/>
      <w:sz w:val="21"/>
      <w:szCs w:val="22"/>
    </w:rPr>
  </w:style>
  <w:style w:type="paragraph" w:customStyle="1" w:styleId="122">
    <w:name w:val="正文2"/>
    <w:basedOn w:val="1"/>
    <w:qFormat/>
    <w:uiPriority w:val="0"/>
    <w:pPr>
      <w:widowControl/>
    </w:pPr>
    <w:rPr>
      <w:rFonts w:ascii="Times New Roman" w:hAnsi="Times New Roman" w:eastAsia="宋体" w:cs="Times New Roman"/>
      <w:szCs w:val="21"/>
    </w:rPr>
  </w:style>
  <w:style w:type="paragraph" w:customStyle="1" w:styleId="123">
    <w:name w:val="p0"/>
    <w:basedOn w:val="1"/>
    <w:qFormat/>
    <w:uiPriority w:val="0"/>
    <w:pPr>
      <w:widowControl/>
    </w:pPr>
    <w:rPr>
      <w:rFonts w:ascii="Times New Roman" w:hAnsi="Times New Roman" w:eastAsia="宋体" w:cs="Times New Roman"/>
      <w:kern w:val="0"/>
      <w:szCs w:val="21"/>
    </w:rPr>
  </w:style>
  <w:style w:type="paragraph" w:customStyle="1" w:styleId="124">
    <w:name w:val="文本"/>
    <w:qFormat/>
    <w:uiPriority w:val="0"/>
    <w:pPr>
      <w:spacing w:line="360" w:lineRule="auto"/>
      <w:ind w:firstLine="200" w:firstLineChars="200"/>
    </w:pPr>
    <w:rPr>
      <w:rFonts w:ascii="仿宋_GB2312" w:hAnsi="仿宋_GB2312" w:eastAsia="仿宋_GB2312" w:cs="Times New Roman"/>
      <w:kern w:val="2"/>
      <w:sz w:val="24"/>
      <w:lang w:val="en-US" w:eastAsia="zh-CN" w:bidi="ar-SA"/>
    </w:rPr>
  </w:style>
  <w:style w:type="paragraph" w:customStyle="1" w:styleId="125">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table" w:customStyle="1" w:styleId="126">
    <w:name w:val="Table Normal"/>
    <w:unhideWhenUsed/>
    <w:qFormat/>
    <w:uiPriority w:val="0"/>
    <w:tblPr>
      <w:tblCellMar>
        <w:top w:w="0" w:type="dxa"/>
        <w:left w:w="0" w:type="dxa"/>
        <w:bottom w:w="0" w:type="dxa"/>
        <w:right w:w="0" w:type="dxa"/>
      </w:tblCellMar>
    </w:tblPr>
  </w:style>
  <w:style w:type="paragraph" w:customStyle="1" w:styleId="127">
    <w:name w:val="正文1"/>
    <w:basedOn w:val="1"/>
    <w:qFormat/>
    <w:uiPriority w:val="0"/>
    <w:pPr>
      <w:spacing w:line="360" w:lineRule="auto"/>
      <w:ind w:firstLine="723" w:firstLineChars="200"/>
    </w:pPr>
    <w:rPr>
      <w:kern w:val="0"/>
      <w:szCs w:val="20"/>
    </w:rPr>
  </w:style>
  <w:style w:type="paragraph" w:customStyle="1" w:styleId="128">
    <w:name w:val="!正文"/>
    <w:basedOn w:val="1"/>
    <w:qFormat/>
    <w:uiPriority w:val="0"/>
    <w:pPr>
      <w:spacing w:line="480" w:lineRule="exact"/>
      <w:ind w:firstLine="480" w:firstLineChars="200"/>
    </w:pPr>
    <w:rPr>
      <w:rFonts w:hAnsi="宋体" w:cs="宋体"/>
    </w:rPr>
  </w:style>
  <w:style w:type="paragraph" w:customStyle="1" w:styleId="129">
    <w:name w:val="表 图 单位"/>
    <w:basedOn w:val="1"/>
    <w:qFormat/>
    <w:uiPriority w:val="0"/>
    <w:pPr>
      <w:jc w:val="right"/>
    </w:pPr>
    <w:rPr>
      <w:sz w:val="18"/>
      <w:szCs w:val="21"/>
    </w:rPr>
  </w:style>
  <w:style w:type="paragraph" w:customStyle="1" w:styleId="130">
    <w:name w:val="至科正文"/>
    <w:basedOn w:val="1"/>
    <w:qFormat/>
    <w:uiPriority w:val="0"/>
    <w:pPr>
      <w:adjustRightInd/>
      <w:snapToGrid/>
      <w:spacing w:line="360" w:lineRule="auto"/>
      <w:ind w:firstLine="720" w:firstLineChars="200"/>
      <w:jc w:val="left"/>
    </w:pPr>
    <w:rPr>
      <w:rFonts w:ascii="宋体" w:hAnsi="宋体" w:eastAsia="宋体" w:cs="宋体"/>
      <w:bCs/>
      <w:sz w:val="24"/>
      <w:szCs w:val="21"/>
    </w:rPr>
  </w:style>
  <w:style w:type="paragraph" w:customStyle="1" w:styleId="131">
    <w:name w:val="万马"/>
    <w:basedOn w:val="1"/>
    <w:qFormat/>
    <w:uiPriority w:val="0"/>
    <w:pPr>
      <w:adjustRightInd/>
      <w:snapToGrid/>
      <w:spacing w:line="360" w:lineRule="auto"/>
      <w:ind w:firstLine="720" w:firstLineChars="200"/>
      <w:jc w:val="left"/>
    </w:pPr>
    <w:rPr>
      <w:rFonts w:ascii="宋体" w:hAnsi="宋体" w:eastAsia="宋体" w:cs="宋体"/>
      <w:bCs/>
      <w:sz w:val="24"/>
      <w:szCs w:val="21"/>
    </w:rPr>
  </w:style>
  <w:style w:type="paragraph" w:customStyle="1" w:styleId="132">
    <w:name w:val="至科表头"/>
    <w:basedOn w:val="1"/>
    <w:qFormat/>
    <w:uiPriority w:val="0"/>
    <w:pPr>
      <w:spacing w:line="240" w:lineRule="auto"/>
      <w:ind w:firstLine="0" w:firstLineChars="0"/>
      <w:jc w:val="center"/>
    </w:pPr>
    <w:rPr>
      <w:rFonts w:ascii="宋体" w:hAnsi="宋体" w:eastAsia="宋体" w:cs="宋体"/>
      <w:b/>
      <w:bCs/>
      <w:szCs w:val="21"/>
    </w:rPr>
  </w:style>
  <w:style w:type="paragraph" w:customStyle="1" w:styleId="133">
    <w:name w:val="样式 样式 样式 小四 首行缩进:  2.25 字符 + 首行缩进:  2.25 字符 + 首行缩进:  2 字符"/>
    <w:basedOn w:val="1"/>
    <w:qFormat/>
    <w:uiPriority w:val="0"/>
    <w:pPr>
      <w:spacing w:line="440" w:lineRule="exact"/>
      <w:ind w:firstLine="200" w:firstLineChars="200"/>
    </w:pPr>
    <w:rPr>
      <w:sz w:val="24"/>
    </w:rPr>
  </w:style>
  <w:style w:type="paragraph" w:customStyle="1" w:styleId="134">
    <w:name w:val="首行缩进正文"/>
    <w:basedOn w:val="1"/>
    <w:qFormat/>
    <w:uiPriority w:val="0"/>
    <w:pPr>
      <w:ind w:firstLine="480" w:firstLineChars="200"/>
    </w:pPr>
  </w:style>
  <w:style w:type="character" w:customStyle="1" w:styleId="135">
    <w:name w:val="font61"/>
    <w:basedOn w:val="46"/>
    <w:qFormat/>
    <w:uiPriority w:val="0"/>
    <w:rPr>
      <w:rFonts w:ascii="宋体" w:hAnsi="宋体" w:eastAsia="宋体" w:cs="宋体"/>
      <w:color w:val="000000"/>
      <w:sz w:val="28"/>
      <w:szCs w:val="28"/>
      <w:u w:val="none"/>
    </w:rPr>
  </w:style>
  <w:style w:type="character" w:customStyle="1" w:styleId="136">
    <w:name w:val="font41"/>
    <w:basedOn w:val="46"/>
    <w:qFormat/>
    <w:uiPriority w:val="0"/>
    <w:rPr>
      <w:rFonts w:ascii="宋体" w:hAnsi="宋体" w:eastAsia="宋体" w:cs="宋体"/>
      <w:color w:val="304040"/>
      <w:sz w:val="28"/>
      <w:szCs w:val="28"/>
      <w:u w:val="none"/>
    </w:rPr>
  </w:style>
  <w:style w:type="character" w:customStyle="1" w:styleId="137">
    <w:name w:val="font51"/>
    <w:basedOn w:val="46"/>
    <w:qFormat/>
    <w:uiPriority w:val="0"/>
    <w:rPr>
      <w:rFonts w:ascii="宋体" w:hAnsi="宋体" w:eastAsia="宋体" w:cs="宋体"/>
      <w:color w:val="000000"/>
      <w:sz w:val="28"/>
      <w:szCs w:val="28"/>
      <w:u w:val="none"/>
    </w:rPr>
  </w:style>
  <w:style w:type="character" w:customStyle="1" w:styleId="138">
    <w:name w:val="font31"/>
    <w:basedOn w:val="46"/>
    <w:qFormat/>
    <w:uiPriority w:val="0"/>
    <w:rPr>
      <w:rFonts w:ascii="宋体" w:hAnsi="宋体" w:eastAsia="宋体" w:cs="宋体"/>
      <w:color w:val="304040"/>
      <w:sz w:val="28"/>
      <w:szCs w:val="28"/>
      <w:u w:val="none"/>
    </w:rPr>
  </w:style>
  <w:style w:type="paragraph" w:customStyle="1" w:styleId="139">
    <w:name w:val="11"/>
    <w:basedOn w:val="2"/>
    <w:next w:val="27"/>
    <w:qFormat/>
    <w:uiPriority w:val="0"/>
    <w:pPr>
      <w:autoSpaceDE w:val="0"/>
      <w:autoSpaceDN w:val="0"/>
      <w:adjustRightInd w:val="0"/>
      <w:spacing w:after="0" w:line="360" w:lineRule="auto"/>
      <w:ind w:firstLine="1320" w:firstLineChars="550"/>
      <w:textAlignment w:val="baseline"/>
    </w:pPr>
    <w:rPr>
      <w:sz w:val="24"/>
    </w:rPr>
  </w:style>
  <w:style w:type="paragraph" w:customStyle="1" w:styleId="140">
    <w:name w:val="表格2"/>
    <w:basedOn w:val="1"/>
    <w:next w:val="1"/>
    <w:qFormat/>
    <w:uiPriority w:val="0"/>
    <w:pPr>
      <w:topLinePunct/>
      <w:autoSpaceDE w:val="0"/>
      <w:autoSpaceDN w:val="0"/>
      <w:adjustRightInd w:val="0"/>
      <w:jc w:val="center"/>
      <w:textAlignment w:val="baseline"/>
    </w:pPr>
    <w:rPr>
      <w:rFonts w:ascii="宋体" w:hAnsi="宋体" w:eastAsia="仿宋体"/>
      <w:kern w:val="0"/>
      <w:sz w:val="24"/>
      <w:szCs w:val="20"/>
    </w:rPr>
  </w:style>
  <w:style w:type="character" w:customStyle="1" w:styleId="141">
    <w:name w:val="font81"/>
    <w:basedOn w:val="46"/>
    <w:qFormat/>
    <w:uiPriority w:val="0"/>
    <w:rPr>
      <w:rFonts w:ascii="宋体" w:hAnsi="宋体" w:eastAsia="宋体" w:cs="宋体"/>
      <w:color w:val="000000"/>
      <w:sz w:val="24"/>
      <w:szCs w:val="24"/>
      <w:u w:val="none"/>
    </w:rPr>
  </w:style>
  <w:style w:type="character" w:customStyle="1" w:styleId="142">
    <w:name w:val="font91"/>
    <w:basedOn w:val="46"/>
    <w:qFormat/>
    <w:uiPriority w:val="0"/>
    <w:rPr>
      <w:rFonts w:ascii="宋体" w:hAnsi="宋体" w:eastAsia="宋体" w:cs="宋体"/>
      <w:b/>
      <w:bCs/>
      <w:color w:val="000000"/>
      <w:sz w:val="24"/>
      <w:szCs w:val="24"/>
      <w:u w:val="none"/>
    </w:rPr>
  </w:style>
  <w:style w:type="paragraph" w:customStyle="1" w:styleId="143">
    <w:name w:val="1正文"/>
    <w:qFormat/>
    <w:uiPriority w:val="0"/>
    <w:pPr>
      <w:spacing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44">
    <w:name w:val="表格32"/>
    <w:basedOn w:val="1"/>
    <w:next w:val="143"/>
    <w:qFormat/>
    <w:uiPriority w:val="0"/>
    <w:pPr>
      <w:autoSpaceDE w:val="0"/>
      <w:autoSpaceDN w:val="0"/>
      <w:adjustRightInd w:val="0"/>
      <w:jc w:val="center"/>
      <w:textAlignment w:val="baseline"/>
    </w:pPr>
    <w:rPr>
      <w:kern w:val="24"/>
      <w:szCs w:val="20"/>
    </w:rPr>
  </w:style>
  <w:style w:type="character" w:customStyle="1" w:styleId="145">
    <w:name w:val="font71"/>
    <w:basedOn w:val="46"/>
    <w:qFormat/>
    <w:uiPriority w:val="0"/>
    <w:rPr>
      <w:rFonts w:hint="default" w:ascii="Arial" w:hAnsi="Arial" w:cs="Arial"/>
      <w:color w:val="000000"/>
      <w:sz w:val="21"/>
      <w:szCs w:val="21"/>
      <w:u w:val="none"/>
    </w:rPr>
  </w:style>
  <w:style w:type="character" w:customStyle="1" w:styleId="146">
    <w:name w:val="font101"/>
    <w:basedOn w:val="46"/>
    <w:qFormat/>
    <w:uiPriority w:val="0"/>
    <w:rPr>
      <w:rFonts w:hint="default" w:ascii="Arial" w:hAnsi="Arial" w:cs="Arial"/>
      <w:color w:val="000000"/>
      <w:sz w:val="13"/>
      <w:szCs w:val="13"/>
      <w:u w:val="none"/>
    </w:rPr>
  </w:style>
  <w:style w:type="paragraph" w:customStyle="1" w:styleId="147">
    <w:name w:val="表标题"/>
    <w:basedOn w:val="1"/>
    <w:next w:val="80"/>
    <w:qFormat/>
    <w:uiPriority w:val="0"/>
    <w:pPr>
      <w:spacing w:line="240" w:lineRule="auto"/>
      <w:jc w:val="center"/>
    </w:pPr>
    <w:rPr>
      <w:b/>
      <w:kern w:val="0"/>
      <w:sz w:val="21"/>
      <w:szCs w:val="20"/>
    </w:rPr>
  </w:style>
  <w:style w:type="paragraph" w:customStyle="1" w:styleId="148">
    <w:name w:val="表格内容"/>
    <w:basedOn w:val="149"/>
    <w:next w:val="1"/>
    <w:qFormat/>
    <w:uiPriority w:val="0"/>
    <w:pPr>
      <w:spacing w:line="240" w:lineRule="auto"/>
    </w:pPr>
    <w:rPr>
      <w:rFonts w:ascii="Times New Roman"/>
    </w:rPr>
  </w:style>
  <w:style w:type="paragraph" w:customStyle="1" w:styleId="149">
    <w:name w:val="图名"/>
    <w:basedOn w:val="150"/>
    <w:next w:val="150"/>
    <w:qFormat/>
    <w:uiPriority w:val="0"/>
    <w:pPr>
      <w:spacing w:line="440" w:lineRule="exact"/>
      <w:jc w:val="center"/>
    </w:pPr>
    <w:rPr>
      <w:b/>
      <w:color w:val="000000"/>
      <w:kern w:val="2"/>
      <w:sz w:val="24"/>
      <w:szCs w:val="24"/>
      <w:lang w:val="en-US" w:eastAsia="zh-CN" w:bidi="ar-SA"/>
    </w:rPr>
  </w:style>
  <w:style w:type="paragraph" w:customStyle="1" w:styleId="150">
    <w:name w:val="内容"/>
    <w:basedOn w:val="1"/>
    <w:qFormat/>
    <w:uiPriority w:val="0"/>
    <w:pPr>
      <w:spacing w:line="360" w:lineRule="auto"/>
      <w:ind w:firstLine="200" w:firstLineChars="200"/>
    </w:pPr>
    <w:rPr>
      <w:sz w:val="24"/>
    </w:rPr>
  </w:style>
  <w:style w:type="paragraph" w:customStyle="1" w:styleId="151">
    <w:name w:val="表体"/>
    <w:basedOn w:val="1"/>
    <w:qFormat/>
    <w:uiPriority w:val="0"/>
    <w:pPr>
      <w:spacing w:before="40" w:after="40"/>
      <w:jc w:val="center"/>
    </w:pPr>
    <w:rPr>
      <w:szCs w:val="21"/>
    </w:rPr>
  </w:style>
  <w:style w:type="paragraph" w:customStyle="1" w:styleId="152">
    <w:name w:val="正文格式"/>
    <w:basedOn w:val="1"/>
    <w:qFormat/>
    <w:uiPriority w:val="0"/>
    <w:pPr>
      <w:spacing w:line="360" w:lineRule="auto"/>
      <w:ind w:firstLine="482"/>
    </w:pPr>
    <w:rPr>
      <w:rFonts w:ascii="宋体" w:eastAsia="宋体" w:cs="Times New Roman"/>
      <w:kern w:val="0"/>
      <w:sz w:val="24"/>
      <w:lang w:bidi="ar-SA"/>
    </w:rPr>
  </w:style>
  <w:style w:type="paragraph" w:customStyle="1" w:styleId="153">
    <w:name w:val="报告正文"/>
    <w:basedOn w:val="1"/>
    <w:qFormat/>
    <w:uiPriority w:val="0"/>
    <w:pPr>
      <w:adjustRightInd w:val="0"/>
      <w:snapToGrid w:val="0"/>
      <w:spacing w:line="360" w:lineRule="auto"/>
      <w:ind w:firstLine="200" w:firstLineChars="200"/>
    </w:pPr>
    <w:rPr>
      <w:rFonts w:ascii="仿宋_GB2312"/>
      <w:sz w:val="24"/>
      <w:szCs w:val="20"/>
    </w:rPr>
  </w:style>
  <w:style w:type="character" w:customStyle="1" w:styleId="154">
    <w:name w:val="font121"/>
    <w:basedOn w:val="46"/>
    <w:qFormat/>
    <w:uiPriority w:val="0"/>
    <w:rPr>
      <w:rFonts w:ascii="宋体" w:hAnsi="宋体" w:eastAsia="宋体" w:cs="宋体"/>
      <w:b/>
      <w:bCs/>
      <w:color w:val="000000"/>
      <w:sz w:val="26"/>
      <w:szCs w:val="26"/>
      <w:u w:val="none"/>
    </w:rPr>
  </w:style>
  <w:style w:type="character" w:customStyle="1" w:styleId="155">
    <w:name w:val="font131"/>
    <w:basedOn w:val="46"/>
    <w:qFormat/>
    <w:uiPriority w:val="0"/>
    <w:rPr>
      <w:rFonts w:ascii="宋体" w:hAnsi="宋体" w:eastAsia="宋体" w:cs="宋体"/>
      <w:color w:val="000000"/>
      <w:sz w:val="26"/>
      <w:szCs w:val="26"/>
      <w:u w:val="none"/>
    </w:rPr>
  </w:style>
  <w:style w:type="character" w:customStyle="1" w:styleId="156">
    <w:name w:val="font112"/>
    <w:basedOn w:val="46"/>
    <w:qFormat/>
    <w:uiPriority w:val="0"/>
    <w:rPr>
      <w:rFonts w:ascii="宋体" w:hAnsi="宋体" w:eastAsia="宋体" w:cs="宋体"/>
      <w:b/>
      <w:bCs/>
      <w:color w:val="000000"/>
      <w:sz w:val="30"/>
      <w:szCs w:val="30"/>
      <w:u w:val="none"/>
    </w:rPr>
  </w:style>
  <w:style w:type="character" w:customStyle="1" w:styleId="157">
    <w:name w:val="font111"/>
    <w:basedOn w:val="46"/>
    <w:qFormat/>
    <w:uiPriority w:val="0"/>
    <w:rPr>
      <w:rFonts w:ascii="宋体" w:hAnsi="宋体" w:eastAsia="宋体" w:cs="宋体"/>
      <w:color w:val="000000"/>
      <w:sz w:val="28"/>
      <w:szCs w:val="28"/>
      <w:u w:val="none"/>
    </w:rPr>
  </w:style>
  <w:style w:type="character" w:customStyle="1" w:styleId="158">
    <w:name w:val="font122"/>
    <w:basedOn w:val="46"/>
    <w:qFormat/>
    <w:uiPriority w:val="0"/>
    <w:rPr>
      <w:rFonts w:hint="default" w:ascii="Arial" w:hAnsi="Arial" w:cs="Arial"/>
      <w:color w:val="000000"/>
      <w:sz w:val="20"/>
      <w:szCs w:val="20"/>
      <w:u w:val="none"/>
    </w:rPr>
  </w:style>
  <w:style w:type="character" w:customStyle="1" w:styleId="159">
    <w:name w:val="font141"/>
    <w:basedOn w:val="46"/>
    <w:qFormat/>
    <w:uiPriority w:val="0"/>
    <w:rPr>
      <w:rFonts w:ascii="宋体" w:hAnsi="宋体" w:eastAsia="宋体" w:cs="宋体"/>
      <w:b/>
      <w:bCs/>
      <w:color w:val="000000"/>
      <w:sz w:val="26"/>
      <w:szCs w:val="26"/>
      <w:u w:val="none"/>
    </w:rPr>
  </w:style>
  <w:style w:type="character" w:customStyle="1" w:styleId="160">
    <w:name w:val="font151"/>
    <w:basedOn w:val="46"/>
    <w:qFormat/>
    <w:uiPriority w:val="0"/>
    <w:rPr>
      <w:rFonts w:ascii="宋体" w:hAnsi="宋体" w:eastAsia="宋体" w:cs="宋体"/>
      <w:color w:val="302010"/>
      <w:sz w:val="26"/>
      <w:szCs w:val="26"/>
      <w:u w:val="none"/>
    </w:rPr>
  </w:style>
  <w:style w:type="character" w:customStyle="1" w:styleId="161">
    <w:name w:val="font161"/>
    <w:basedOn w:val="46"/>
    <w:qFormat/>
    <w:uiPriority w:val="0"/>
    <w:rPr>
      <w:rFonts w:ascii="Calibri" w:hAnsi="Calibri" w:cs="Calibri"/>
      <w:color w:val="000000"/>
      <w:sz w:val="26"/>
      <w:szCs w:val="26"/>
      <w:u w:val="none"/>
    </w:rPr>
  </w:style>
  <w:style w:type="character" w:customStyle="1" w:styleId="162">
    <w:name w:val="font171"/>
    <w:basedOn w:val="46"/>
    <w:qFormat/>
    <w:uiPriority w:val="0"/>
    <w:rPr>
      <w:rFonts w:ascii="宋体" w:hAnsi="宋体" w:eastAsia="宋体" w:cs="宋体"/>
      <w:color w:val="204050"/>
      <w:sz w:val="26"/>
      <w:szCs w:val="26"/>
      <w:u w:val="none"/>
    </w:rPr>
  </w:style>
  <w:style w:type="character" w:customStyle="1" w:styleId="163">
    <w:name w:val="font181"/>
    <w:basedOn w:val="46"/>
    <w:qFormat/>
    <w:uiPriority w:val="0"/>
    <w:rPr>
      <w:rFonts w:ascii="宋体" w:hAnsi="宋体" w:eastAsia="宋体" w:cs="宋体"/>
      <w:color w:val="103020"/>
      <w:sz w:val="26"/>
      <w:szCs w:val="26"/>
      <w:u w:val="none"/>
    </w:rPr>
  </w:style>
  <w:style w:type="character" w:customStyle="1" w:styleId="164">
    <w:name w:val="font191"/>
    <w:basedOn w:val="46"/>
    <w:qFormat/>
    <w:uiPriority w:val="0"/>
    <w:rPr>
      <w:rFonts w:ascii="宋体" w:hAnsi="宋体" w:eastAsia="宋体" w:cs="宋体"/>
      <w:color w:val="304050"/>
      <w:sz w:val="26"/>
      <w:szCs w:val="26"/>
      <w:u w:val="none"/>
    </w:rPr>
  </w:style>
  <w:style w:type="character" w:customStyle="1" w:styleId="165">
    <w:name w:val="font201"/>
    <w:basedOn w:val="46"/>
    <w:qFormat/>
    <w:uiPriority w:val="0"/>
    <w:rPr>
      <w:rFonts w:ascii="宋体" w:hAnsi="宋体" w:eastAsia="宋体" w:cs="宋体"/>
      <w:color w:val="104030"/>
      <w:sz w:val="26"/>
      <w:szCs w:val="26"/>
      <w:u w:val="none"/>
    </w:rPr>
  </w:style>
  <w:style w:type="character" w:customStyle="1" w:styleId="166">
    <w:name w:val="font212"/>
    <w:basedOn w:val="46"/>
    <w:qFormat/>
    <w:uiPriority w:val="0"/>
    <w:rPr>
      <w:rFonts w:hint="default" w:ascii="Calibri" w:hAnsi="Calibri" w:cs="Calibri"/>
      <w:color w:val="104030"/>
      <w:sz w:val="26"/>
      <w:szCs w:val="26"/>
      <w:u w:val="none"/>
    </w:rPr>
  </w:style>
  <w:style w:type="character" w:customStyle="1" w:styleId="167">
    <w:name w:val="font221"/>
    <w:basedOn w:val="46"/>
    <w:qFormat/>
    <w:uiPriority w:val="0"/>
    <w:rPr>
      <w:rFonts w:ascii="宋体" w:hAnsi="宋体" w:eastAsia="宋体" w:cs="宋体"/>
      <w:color w:val="002020"/>
      <w:sz w:val="26"/>
      <w:szCs w:val="26"/>
      <w:u w:val="none"/>
    </w:rPr>
  </w:style>
  <w:style w:type="character" w:customStyle="1" w:styleId="168">
    <w:name w:val="font231"/>
    <w:basedOn w:val="46"/>
    <w:qFormat/>
    <w:uiPriority w:val="0"/>
    <w:rPr>
      <w:rFonts w:ascii="宋体" w:hAnsi="宋体" w:eastAsia="宋体" w:cs="宋体"/>
      <w:color w:val="20406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wmf"/><Relationship Id="rId11" Type="http://schemas.openxmlformats.org/officeDocument/2006/relationships/oleObject" Target="embeddings/oleObject1.bin"/><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71</Pages>
  <Words>16979</Words>
  <Characters>18717</Characters>
  <Lines>325</Lines>
  <Paragraphs>91</Paragraphs>
  <TotalTime>0</TotalTime>
  <ScaleCrop>false</ScaleCrop>
  <LinksUpToDate>false</LinksUpToDate>
  <CharactersWithSpaces>19027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2021-03-30T05:26:00Z</dcterms:created>
  <dc:creator>lhj</dc:creator>
  <cp:lastModifiedBy>yi.w</cp:lastModifiedBy>
  <cp:lastPrinted>2021-04-21T02:38:00Z</cp:lastPrinted>
  <dcterms:modified xsi:type="dcterms:W3CDTF">2026-09-11T03:01:24Z</dcterms:modified>
  <dc:title>附件2</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321073978D7F49E1A23E7D49EE5ECA96_13</vt:lpwstr>
  </property>
  <property fmtid="{D5CDD505-2E9C-101B-9397-08002B2CF9AE}" pid="4" name="KSOTemplateDocerSaveRecord">
    <vt:lpwstr>eyJoZGlkIjoiY2Q2NmI5ZDcyOTIwZmM1N2RmZTczMzMzODQ2NDI5ZDEiLCJ1c2VySWQiOiI1MjAzMTExMDUifQ==</vt:lpwstr>
  </property>
</Properties>
</file>