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D263E">
      <w:pPr>
        <w:rPr>
          <w:rFonts w:eastAsia="仿宋"/>
          <w:color w:val="000000"/>
          <w:sz w:val="44"/>
          <w:szCs w:val="44"/>
        </w:rPr>
      </w:pPr>
    </w:p>
    <w:p w14:paraId="782400A5">
      <w:pPr>
        <w:rPr>
          <w:rFonts w:eastAsia="仿宋"/>
          <w:color w:val="000000"/>
          <w:sz w:val="44"/>
          <w:szCs w:val="44"/>
        </w:rPr>
      </w:pPr>
    </w:p>
    <w:p w14:paraId="70CC16D1">
      <w:pPr>
        <w:rPr>
          <w:rFonts w:eastAsia="仿宋"/>
          <w:color w:val="000000"/>
          <w:sz w:val="44"/>
          <w:szCs w:val="44"/>
        </w:rPr>
      </w:pPr>
    </w:p>
    <w:p w14:paraId="6C84D377">
      <w:pPr>
        <w:adjustRightInd w:val="0"/>
        <w:snapToGrid w:val="0"/>
        <w:jc w:val="center"/>
        <w:rPr>
          <w:rFonts w:ascii="方正小标宋_GBK" w:eastAsia="方正小标宋_GBK"/>
          <w:bCs/>
          <w:color w:val="000000"/>
          <w:sz w:val="72"/>
          <w:szCs w:val="72"/>
        </w:rPr>
      </w:pPr>
      <w:r>
        <w:rPr>
          <w:rFonts w:hint="eastAsia" w:ascii="宋体" w:hAnsi="宋体" w:cs="宋体"/>
          <w:b/>
          <w:bCs w:val="0"/>
          <w:color w:val="000000"/>
          <w:sz w:val="72"/>
          <w:szCs w:val="72"/>
        </w:rPr>
        <w:t>建设项目环境影响报告表</w:t>
      </w:r>
    </w:p>
    <w:p w14:paraId="303A2C4E">
      <w:pPr>
        <w:adjustRightInd w:val="0"/>
        <w:snapToGrid w:val="0"/>
        <w:spacing w:beforeLines="80"/>
        <w:jc w:val="center"/>
        <w:rPr>
          <w:rFonts w:hint="eastAsia" w:ascii="楷体_GB2312" w:eastAsia="楷体_GB2312"/>
          <w:b/>
          <w:bCs w:val="0"/>
          <w:color w:val="000000"/>
          <w:sz w:val="48"/>
          <w:szCs w:val="48"/>
        </w:rPr>
      </w:pPr>
      <w:r>
        <w:rPr>
          <w:rFonts w:hint="eastAsia" w:ascii="楷体_GB2312" w:eastAsia="楷体_GB2312"/>
          <w:b/>
          <w:bCs w:val="0"/>
          <w:color w:val="000000"/>
          <w:sz w:val="48"/>
          <w:szCs w:val="48"/>
        </w:rPr>
        <w:t>（生态影响类）</w:t>
      </w:r>
    </w:p>
    <w:p w14:paraId="25EAE719">
      <w:pPr>
        <w:rPr>
          <w:rFonts w:eastAsia="仿宋"/>
          <w:color w:val="000000"/>
          <w:sz w:val="44"/>
          <w:szCs w:val="44"/>
        </w:rPr>
      </w:pPr>
      <w:bookmarkStart w:id="0" w:name="_Hlk57883728"/>
    </w:p>
    <w:p w14:paraId="52FCDA86">
      <w:pPr>
        <w:pStyle w:val="60"/>
      </w:pPr>
    </w:p>
    <w:p w14:paraId="262FFD1F">
      <w:pPr>
        <w:rPr>
          <w:rFonts w:eastAsia="仿宋"/>
          <w:color w:val="000000"/>
          <w:sz w:val="44"/>
          <w:szCs w:val="44"/>
        </w:rPr>
      </w:pPr>
    </w:p>
    <w:p w14:paraId="093B61F1">
      <w:pPr>
        <w:rPr>
          <w:rFonts w:eastAsia="仿宋"/>
          <w:color w:val="000000"/>
          <w:sz w:val="44"/>
          <w:szCs w:val="44"/>
        </w:rPr>
      </w:pPr>
    </w:p>
    <w:p w14:paraId="7344A30B">
      <w:pPr>
        <w:rPr>
          <w:rFonts w:eastAsia="仿宋"/>
          <w:color w:val="000000"/>
          <w:sz w:val="44"/>
          <w:szCs w:val="44"/>
        </w:rPr>
      </w:pPr>
    </w:p>
    <w:p w14:paraId="0B143181">
      <w:pPr>
        <w:rPr>
          <w:rFonts w:eastAsia="仿宋"/>
          <w:color w:val="000000"/>
          <w:sz w:val="44"/>
          <w:szCs w:val="44"/>
        </w:rPr>
      </w:pPr>
    </w:p>
    <w:p w14:paraId="1947FA03">
      <w:pPr>
        <w:rPr>
          <w:rFonts w:eastAsia="仿宋"/>
          <w:color w:val="000000"/>
          <w:sz w:val="44"/>
          <w:szCs w:val="44"/>
        </w:rPr>
      </w:pPr>
    </w:p>
    <w:p w14:paraId="675BD9C3">
      <w:pPr>
        <w:rPr>
          <w:rFonts w:eastAsia="仿宋"/>
          <w:color w:val="000000"/>
          <w:sz w:val="44"/>
          <w:szCs w:val="44"/>
        </w:rPr>
      </w:pPr>
    </w:p>
    <w:p w14:paraId="51DFAC2C">
      <w:pPr>
        <w:rPr>
          <w:rFonts w:eastAsia="仿宋"/>
          <w:color w:val="000000"/>
          <w:sz w:val="44"/>
          <w:szCs w:val="44"/>
        </w:rPr>
      </w:pPr>
    </w:p>
    <w:bookmarkEnd w:id="0"/>
    <w:p w14:paraId="3F1EC8D9">
      <w:pPr>
        <w:adjustRightInd w:val="0"/>
        <w:snapToGrid w:val="0"/>
        <w:spacing w:line="288" w:lineRule="auto"/>
        <w:ind w:left="1920" w:hanging="1920" w:hangingChars="600"/>
        <w:jc w:val="left"/>
        <w:rPr>
          <w:rFonts w:hint="default" w:ascii="仿宋_GB2312" w:eastAsia="仿宋_GB2312"/>
          <w:color w:val="000000"/>
          <w:sz w:val="32"/>
          <w:szCs w:val="32"/>
          <w:u w:val="single"/>
          <w:lang w:val="en-US"/>
        </w:rPr>
      </w:pPr>
      <w:r>
        <w:rPr>
          <w:rFonts w:hint="eastAsia" w:ascii="仿宋_GB2312" w:eastAsia="仿宋_GB2312"/>
          <w:color w:val="000000"/>
          <w:sz w:val="32"/>
          <w:szCs w:val="32"/>
        </w:rPr>
        <w:t>项目名称：</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u w:val="single"/>
          <w:lang w:eastAsia="zh-CN"/>
        </w:rPr>
        <w:t>祁阳市冷水江河坝水闸除险加固工程</w:t>
      </w:r>
      <w:r>
        <w:rPr>
          <w:rFonts w:hint="eastAsia" w:ascii="仿宋_GB2312" w:eastAsia="仿宋_GB2312"/>
          <w:color w:val="000000"/>
          <w:sz w:val="32"/>
          <w:szCs w:val="32"/>
          <w:u w:val="single"/>
          <w:lang w:val="en-US" w:eastAsia="zh-CN"/>
        </w:rPr>
        <w:t xml:space="preserve">     </w:t>
      </w:r>
    </w:p>
    <w:p w14:paraId="4E52C8BF">
      <w:pPr>
        <w:adjustRightInd w:val="0"/>
        <w:snapToGrid w:val="0"/>
        <w:spacing w:line="288" w:lineRule="auto"/>
        <w:jc w:val="left"/>
        <w:rPr>
          <w:rFonts w:hint="default" w:ascii="仿宋_GB2312" w:eastAsia="仿宋_GB2312"/>
          <w:color w:val="000000"/>
          <w:sz w:val="32"/>
          <w:szCs w:val="32"/>
          <w:u w:val="single"/>
          <w:lang w:val="en-US"/>
        </w:rPr>
      </w:pPr>
      <w:r>
        <w:rPr>
          <w:rFonts w:hint="eastAsia" w:ascii="仿宋_GB2312" w:eastAsia="仿宋_GB2312"/>
          <w:color w:val="000000"/>
          <w:sz w:val="32"/>
          <w:szCs w:val="32"/>
        </w:rPr>
        <w:t>建设单位（盖章）：</w:t>
      </w:r>
      <w:r>
        <w:rPr>
          <w:rFonts w:hint="eastAsia" w:ascii="仿宋_GB2312" w:eastAsia="仿宋_GB2312"/>
          <w:color w:val="000000"/>
          <w:sz w:val="32"/>
          <w:szCs w:val="32"/>
          <w:u w:val="single"/>
          <w:lang w:eastAsia="zh-CN"/>
        </w:rPr>
        <w:t>祁阳市水利建设项目与物资管理中心</w:t>
      </w:r>
      <w:r>
        <w:rPr>
          <w:rFonts w:hint="eastAsia" w:ascii="仿宋_GB2312" w:eastAsia="仿宋_GB2312"/>
          <w:color w:val="000000"/>
          <w:sz w:val="32"/>
          <w:szCs w:val="32"/>
          <w:u w:val="single"/>
          <w:lang w:val="en-US" w:eastAsia="zh-CN"/>
        </w:rPr>
        <w:t xml:space="preserve">      </w:t>
      </w:r>
    </w:p>
    <w:p w14:paraId="1BF31DE4">
      <w:pPr>
        <w:adjustRightInd w:val="0"/>
        <w:snapToGrid w:val="0"/>
        <w:spacing w:line="288" w:lineRule="auto"/>
        <w:jc w:val="left"/>
        <w:rPr>
          <w:rFonts w:ascii="仿宋_GB2312" w:eastAsia="仿宋_GB2312"/>
          <w:color w:val="000000"/>
          <w:sz w:val="32"/>
          <w:szCs w:val="32"/>
          <w:u w:val="single"/>
        </w:rPr>
      </w:pPr>
      <w:r>
        <w:rPr>
          <w:rFonts w:hint="eastAsia" w:ascii="仿宋_GB2312" w:eastAsia="仿宋_GB2312"/>
          <w:color w:val="000000"/>
          <w:sz w:val="32"/>
          <w:szCs w:val="32"/>
        </w:rPr>
        <w:t>编制日期：</w:t>
      </w:r>
      <w:r>
        <w:rPr>
          <w:rFonts w:hint="eastAsia" w:ascii="仿宋_GB2312" w:eastAsia="仿宋_GB2312"/>
          <w:color w:val="000000"/>
          <w:sz w:val="32"/>
          <w:szCs w:val="32"/>
          <w:u w:val="single"/>
        </w:rPr>
        <w:t xml:space="preserve">              二〇二</w:t>
      </w:r>
      <w:r>
        <w:rPr>
          <w:rFonts w:hint="eastAsia" w:ascii="仿宋_GB2312" w:eastAsia="仿宋_GB2312"/>
          <w:color w:val="000000"/>
          <w:sz w:val="32"/>
          <w:szCs w:val="32"/>
          <w:u w:val="single"/>
          <w:lang w:val="en-US" w:eastAsia="zh-CN"/>
        </w:rPr>
        <w:t>六</w:t>
      </w:r>
      <w:r>
        <w:rPr>
          <w:rFonts w:hint="eastAsia" w:ascii="仿宋_GB2312" w:eastAsia="仿宋_GB2312"/>
          <w:color w:val="000000"/>
          <w:sz w:val="32"/>
          <w:szCs w:val="32"/>
          <w:u w:val="single"/>
        </w:rPr>
        <w:t>年</w:t>
      </w:r>
      <w:r>
        <w:rPr>
          <w:rFonts w:hint="eastAsia" w:ascii="仿宋_GB2312" w:eastAsia="仿宋_GB2312"/>
          <w:color w:val="000000"/>
          <w:sz w:val="32"/>
          <w:szCs w:val="32"/>
          <w:u w:val="single"/>
          <w:lang w:val="en-US" w:eastAsia="zh-CN"/>
        </w:rPr>
        <w:t>四</w:t>
      </w:r>
      <w:r>
        <w:rPr>
          <w:rFonts w:hint="eastAsia" w:ascii="仿宋_GB2312" w:eastAsia="仿宋_GB2312"/>
          <w:color w:val="000000"/>
          <w:sz w:val="32"/>
          <w:szCs w:val="32"/>
          <w:u w:val="single"/>
        </w:rPr>
        <w:t xml:space="preserve">月 </w:t>
      </w:r>
      <w:r>
        <w:rPr>
          <w:rFonts w:hint="eastAsia" w:ascii="仿宋_GB2312" w:eastAsia="仿宋_GB2312"/>
          <w:color w:val="000000"/>
          <w:sz w:val="30"/>
          <w:szCs w:val="30"/>
          <w:u w:val="single"/>
        </w:rPr>
        <w:t xml:space="preserve">        </w:t>
      </w:r>
      <w:r>
        <w:rPr>
          <w:rFonts w:hint="eastAsia" w:ascii="仿宋_GB2312" w:eastAsia="仿宋_GB2312"/>
          <w:color w:val="000000"/>
          <w:sz w:val="36"/>
          <w:szCs w:val="36"/>
          <w:u w:val="single"/>
        </w:rPr>
        <w:t xml:space="preserve">      </w:t>
      </w:r>
      <w:r>
        <w:rPr>
          <w:rFonts w:hint="eastAsia" w:ascii="仿宋_GB2312" w:eastAsia="仿宋_GB2312"/>
          <w:color w:val="000000"/>
          <w:sz w:val="36"/>
          <w:szCs w:val="36"/>
          <w:u w:val="single"/>
          <w:lang w:val="en-US" w:eastAsia="zh-CN"/>
        </w:rPr>
        <w:t xml:space="preserve">  </w:t>
      </w:r>
    </w:p>
    <w:p w14:paraId="3CEFE0BA">
      <w:pPr>
        <w:adjustRightInd w:val="0"/>
        <w:snapToGrid w:val="0"/>
        <w:spacing w:line="288" w:lineRule="auto"/>
        <w:ind w:firstLine="1040"/>
        <w:rPr>
          <w:rFonts w:ascii="仿宋_GB2312" w:eastAsia="仿宋_GB2312"/>
          <w:color w:val="000000"/>
          <w:sz w:val="36"/>
          <w:szCs w:val="36"/>
          <w:u w:val="single"/>
        </w:rPr>
      </w:pPr>
    </w:p>
    <w:p w14:paraId="51020B86">
      <w:pPr>
        <w:pStyle w:val="44"/>
      </w:pPr>
    </w:p>
    <w:p w14:paraId="2D6ED28B">
      <w:pPr>
        <w:pStyle w:val="8"/>
        <w:ind w:firstLine="180"/>
      </w:pPr>
    </w:p>
    <w:p w14:paraId="5FC5125E"/>
    <w:p w14:paraId="5D8595A8">
      <w:pPr>
        <w:pStyle w:val="44"/>
      </w:pPr>
    </w:p>
    <w:p w14:paraId="4BB49278">
      <w:pPr>
        <w:adjustRightInd w:val="0"/>
        <w:snapToGrid w:val="0"/>
        <w:spacing w:line="288" w:lineRule="auto"/>
        <w:jc w:val="center"/>
        <w:rPr>
          <w:rFonts w:ascii="楷体_GB2312" w:eastAsia="楷体_GB2312"/>
          <w:color w:val="000000"/>
          <w:sz w:val="36"/>
          <w:szCs w:val="36"/>
        </w:rPr>
      </w:pPr>
      <w:r>
        <w:rPr>
          <w:rFonts w:hint="eastAsia" w:ascii="楷体_GB2312" w:eastAsia="楷体_GB2312"/>
          <w:color w:val="000000"/>
          <w:sz w:val="36"/>
          <w:szCs w:val="36"/>
        </w:rPr>
        <w:t>中华人民共和国生态环境部制</w:t>
      </w:r>
    </w:p>
    <w:p w14:paraId="2FA8B697">
      <w:pPr>
        <w:jc w:val="center"/>
        <w:rPr>
          <w:rFonts w:ascii="宋体" w:hAnsi="宋体"/>
          <w:b/>
          <w:bCs/>
          <w:color w:val="000000"/>
          <w:sz w:val="32"/>
          <w:szCs w:val="40"/>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71F406F8">
      <w:pPr>
        <w:jc w:val="center"/>
        <w:rPr>
          <w:b/>
          <w:bCs/>
          <w:color w:val="000000"/>
          <w:sz w:val="32"/>
          <w:szCs w:val="40"/>
        </w:rPr>
      </w:pPr>
      <w:r>
        <w:rPr>
          <w:rFonts w:ascii="宋体" w:hAnsi="宋体"/>
          <w:b/>
          <w:bCs/>
          <w:color w:val="000000"/>
          <w:sz w:val="32"/>
          <w:szCs w:val="40"/>
        </w:rPr>
        <w:t>目</w:t>
      </w:r>
      <w:r>
        <w:rPr>
          <w:rFonts w:hint="eastAsia" w:ascii="宋体" w:hAnsi="宋体"/>
          <w:b/>
          <w:bCs/>
          <w:color w:val="000000"/>
          <w:sz w:val="32"/>
          <w:szCs w:val="40"/>
        </w:rPr>
        <w:t xml:space="preserve">  </w:t>
      </w:r>
      <w:r>
        <w:rPr>
          <w:rFonts w:ascii="宋体" w:hAnsi="宋体"/>
          <w:b/>
          <w:bCs/>
          <w:color w:val="000000"/>
          <w:sz w:val="32"/>
          <w:szCs w:val="40"/>
        </w:rPr>
        <w:t>录</w:t>
      </w:r>
    </w:p>
    <w:p w14:paraId="44C6B9DA">
      <w:pPr>
        <w:pStyle w:val="37"/>
        <w:keepNext w:val="0"/>
        <w:keepLines w:val="0"/>
        <w:pageBreakBefore w:val="0"/>
        <w:widowControl w:val="0"/>
        <w:tabs>
          <w:tab w:val="right" w:leader="hyphen" w:pos="8306"/>
        </w:tabs>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TOC \o "1-1" \h \u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HYPERLINK \l "_Toc15837"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 xml:space="preserve">一、建设项目基本情况 </w:t>
      </w:r>
      <w:r>
        <w:rPr>
          <w:rFonts w:hint="eastAsia" w:ascii="Times New Roman" w:hAnsi="Times New Roman" w:eastAsia="宋体" w:cs="Times New Roman"/>
          <w:color w:val="000000"/>
          <w:kern w:val="2"/>
          <w:sz w:val="24"/>
          <w:szCs w:val="32"/>
          <w:highlight w:val="none"/>
          <w:lang w:val="en-US" w:eastAsia="zh-CN" w:bidi="ar-SA"/>
        </w:rPr>
        <w:tab/>
      </w: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PAGEREF _Toc15837 \h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1</w:t>
      </w:r>
      <w:r>
        <w:rPr>
          <w:rFonts w:hint="eastAsia" w:ascii="Times New Roman" w:hAnsi="Times New Roman" w:eastAsia="宋体" w:cs="Times New Roman"/>
          <w:color w:val="000000"/>
          <w:kern w:val="2"/>
          <w:sz w:val="24"/>
          <w:szCs w:val="32"/>
          <w:highlight w:val="none"/>
          <w:lang w:val="en-US" w:eastAsia="zh-CN" w:bidi="ar-SA"/>
        </w:rPr>
        <w:fldChar w:fldCharType="end"/>
      </w:r>
      <w:r>
        <w:rPr>
          <w:rFonts w:hint="eastAsia" w:ascii="Times New Roman" w:hAnsi="Times New Roman" w:eastAsia="宋体" w:cs="Times New Roman"/>
          <w:color w:val="000000"/>
          <w:kern w:val="2"/>
          <w:sz w:val="24"/>
          <w:szCs w:val="32"/>
          <w:highlight w:val="none"/>
          <w:lang w:val="en-US" w:eastAsia="zh-CN" w:bidi="ar-SA"/>
        </w:rPr>
        <w:fldChar w:fldCharType="end"/>
      </w:r>
    </w:p>
    <w:p w14:paraId="09DBB8B3">
      <w:pPr>
        <w:pStyle w:val="37"/>
        <w:keepNext w:val="0"/>
        <w:keepLines w:val="0"/>
        <w:pageBreakBefore w:val="0"/>
        <w:widowControl w:val="0"/>
        <w:tabs>
          <w:tab w:val="right" w:leader="hyphen" w:pos="8306"/>
        </w:tabs>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HYPERLINK \l "_Toc9145"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二、建设内容</w:t>
      </w:r>
      <w:r>
        <w:rPr>
          <w:rFonts w:hint="eastAsia" w:ascii="Times New Roman" w:hAnsi="Times New Roman" w:eastAsia="宋体" w:cs="Times New Roman"/>
          <w:color w:val="000000"/>
          <w:kern w:val="2"/>
          <w:sz w:val="24"/>
          <w:szCs w:val="32"/>
          <w:highlight w:val="none"/>
          <w:lang w:val="en-US" w:eastAsia="zh-CN" w:bidi="ar-SA"/>
        </w:rPr>
        <w:tab/>
      </w: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PAGEREF _Toc9145 \h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10</w:t>
      </w:r>
      <w:r>
        <w:rPr>
          <w:rFonts w:hint="eastAsia" w:ascii="Times New Roman" w:hAnsi="Times New Roman" w:eastAsia="宋体" w:cs="Times New Roman"/>
          <w:color w:val="000000"/>
          <w:kern w:val="2"/>
          <w:sz w:val="24"/>
          <w:szCs w:val="32"/>
          <w:highlight w:val="none"/>
          <w:lang w:val="en-US" w:eastAsia="zh-CN" w:bidi="ar-SA"/>
        </w:rPr>
        <w:fldChar w:fldCharType="end"/>
      </w:r>
      <w:r>
        <w:rPr>
          <w:rFonts w:hint="eastAsia" w:ascii="Times New Roman" w:hAnsi="Times New Roman" w:eastAsia="宋体" w:cs="Times New Roman"/>
          <w:color w:val="000000"/>
          <w:kern w:val="2"/>
          <w:sz w:val="24"/>
          <w:szCs w:val="32"/>
          <w:highlight w:val="none"/>
          <w:lang w:val="en-US" w:eastAsia="zh-CN" w:bidi="ar-SA"/>
        </w:rPr>
        <w:fldChar w:fldCharType="end"/>
      </w:r>
    </w:p>
    <w:p w14:paraId="5906C19C">
      <w:pPr>
        <w:pStyle w:val="37"/>
        <w:keepNext w:val="0"/>
        <w:keepLines w:val="0"/>
        <w:pageBreakBefore w:val="0"/>
        <w:widowControl w:val="0"/>
        <w:tabs>
          <w:tab w:val="right" w:leader="hyphen" w:pos="8306"/>
        </w:tabs>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HYPERLINK \l "_Toc21407"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三、生态环境现状、保护目标及评价标准</w:t>
      </w:r>
      <w:r>
        <w:rPr>
          <w:rFonts w:hint="eastAsia" w:ascii="Times New Roman" w:hAnsi="Times New Roman" w:eastAsia="宋体" w:cs="Times New Roman"/>
          <w:color w:val="000000"/>
          <w:kern w:val="2"/>
          <w:sz w:val="24"/>
          <w:szCs w:val="32"/>
          <w:highlight w:val="none"/>
          <w:lang w:val="en-US" w:eastAsia="zh-CN" w:bidi="ar-SA"/>
        </w:rPr>
        <w:tab/>
      </w: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PAGEREF _Toc21407 \h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34</w:t>
      </w:r>
      <w:r>
        <w:rPr>
          <w:rFonts w:hint="eastAsia" w:ascii="Times New Roman" w:hAnsi="Times New Roman" w:eastAsia="宋体" w:cs="Times New Roman"/>
          <w:color w:val="000000"/>
          <w:kern w:val="2"/>
          <w:sz w:val="24"/>
          <w:szCs w:val="32"/>
          <w:highlight w:val="none"/>
          <w:lang w:val="en-US" w:eastAsia="zh-CN" w:bidi="ar-SA"/>
        </w:rPr>
        <w:fldChar w:fldCharType="end"/>
      </w:r>
      <w:r>
        <w:rPr>
          <w:rFonts w:hint="eastAsia" w:ascii="Times New Roman" w:hAnsi="Times New Roman" w:eastAsia="宋体" w:cs="Times New Roman"/>
          <w:color w:val="000000"/>
          <w:kern w:val="2"/>
          <w:sz w:val="24"/>
          <w:szCs w:val="32"/>
          <w:highlight w:val="none"/>
          <w:lang w:val="en-US" w:eastAsia="zh-CN" w:bidi="ar-SA"/>
        </w:rPr>
        <w:fldChar w:fldCharType="end"/>
      </w:r>
    </w:p>
    <w:p w14:paraId="1BBB903B">
      <w:pPr>
        <w:pStyle w:val="37"/>
        <w:keepNext w:val="0"/>
        <w:keepLines w:val="0"/>
        <w:pageBreakBefore w:val="0"/>
        <w:widowControl w:val="0"/>
        <w:tabs>
          <w:tab w:val="right" w:leader="hyphen" w:pos="8306"/>
        </w:tabs>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HYPERLINK \l "_Toc27368"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四、生态环境影响分析</w:t>
      </w:r>
      <w:r>
        <w:rPr>
          <w:rFonts w:hint="eastAsia" w:ascii="Times New Roman" w:hAnsi="Times New Roman" w:eastAsia="宋体" w:cs="Times New Roman"/>
          <w:color w:val="000000"/>
          <w:kern w:val="2"/>
          <w:sz w:val="24"/>
          <w:szCs w:val="32"/>
          <w:highlight w:val="none"/>
          <w:lang w:val="en-US" w:eastAsia="zh-CN" w:bidi="ar-SA"/>
        </w:rPr>
        <w:tab/>
      </w: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PAGEREF _Toc27368 \h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48</w:t>
      </w:r>
      <w:r>
        <w:rPr>
          <w:rFonts w:hint="eastAsia" w:ascii="Times New Roman" w:hAnsi="Times New Roman" w:eastAsia="宋体" w:cs="Times New Roman"/>
          <w:color w:val="000000"/>
          <w:kern w:val="2"/>
          <w:sz w:val="24"/>
          <w:szCs w:val="32"/>
          <w:highlight w:val="none"/>
          <w:lang w:val="en-US" w:eastAsia="zh-CN" w:bidi="ar-SA"/>
        </w:rPr>
        <w:fldChar w:fldCharType="end"/>
      </w:r>
      <w:r>
        <w:rPr>
          <w:rFonts w:hint="eastAsia" w:ascii="Times New Roman" w:hAnsi="Times New Roman" w:eastAsia="宋体" w:cs="Times New Roman"/>
          <w:color w:val="000000"/>
          <w:kern w:val="2"/>
          <w:sz w:val="24"/>
          <w:szCs w:val="32"/>
          <w:highlight w:val="none"/>
          <w:lang w:val="en-US" w:eastAsia="zh-CN" w:bidi="ar-SA"/>
        </w:rPr>
        <w:fldChar w:fldCharType="end"/>
      </w:r>
    </w:p>
    <w:p w14:paraId="210F33B9">
      <w:pPr>
        <w:pStyle w:val="37"/>
        <w:keepNext w:val="0"/>
        <w:keepLines w:val="0"/>
        <w:pageBreakBefore w:val="0"/>
        <w:widowControl w:val="0"/>
        <w:tabs>
          <w:tab w:val="right" w:leader="hyphen" w:pos="8306"/>
        </w:tabs>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HYPERLINK \l "_Toc3531"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五、主要生态环境保护措施</w:t>
      </w:r>
      <w:r>
        <w:rPr>
          <w:rFonts w:hint="eastAsia" w:ascii="Times New Roman" w:hAnsi="Times New Roman" w:eastAsia="宋体" w:cs="Times New Roman"/>
          <w:color w:val="000000"/>
          <w:kern w:val="2"/>
          <w:sz w:val="24"/>
          <w:szCs w:val="32"/>
          <w:highlight w:val="none"/>
          <w:lang w:val="en-US" w:eastAsia="zh-CN" w:bidi="ar-SA"/>
        </w:rPr>
        <w:tab/>
      </w: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PAGEREF _Toc3531 \h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63</w:t>
      </w:r>
      <w:r>
        <w:rPr>
          <w:rFonts w:hint="eastAsia" w:ascii="Times New Roman" w:hAnsi="Times New Roman" w:eastAsia="宋体" w:cs="Times New Roman"/>
          <w:color w:val="000000"/>
          <w:kern w:val="2"/>
          <w:sz w:val="24"/>
          <w:szCs w:val="32"/>
          <w:highlight w:val="none"/>
          <w:lang w:val="en-US" w:eastAsia="zh-CN" w:bidi="ar-SA"/>
        </w:rPr>
        <w:fldChar w:fldCharType="end"/>
      </w:r>
      <w:r>
        <w:rPr>
          <w:rFonts w:hint="eastAsia" w:ascii="Times New Roman" w:hAnsi="Times New Roman" w:eastAsia="宋体" w:cs="Times New Roman"/>
          <w:color w:val="000000"/>
          <w:kern w:val="2"/>
          <w:sz w:val="24"/>
          <w:szCs w:val="32"/>
          <w:highlight w:val="none"/>
          <w:lang w:val="en-US" w:eastAsia="zh-CN" w:bidi="ar-SA"/>
        </w:rPr>
        <w:fldChar w:fldCharType="end"/>
      </w:r>
    </w:p>
    <w:p w14:paraId="31A6ED4F">
      <w:pPr>
        <w:pStyle w:val="37"/>
        <w:keepNext w:val="0"/>
        <w:keepLines w:val="0"/>
        <w:pageBreakBefore w:val="0"/>
        <w:widowControl w:val="0"/>
        <w:tabs>
          <w:tab w:val="right" w:leader="hyphen" w:pos="8306"/>
        </w:tabs>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HYPERLINK \l "_Toc4571"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六、生态环境保护措施监督检查清单</w:t>
      </w:r>
      <w:r>
        <w:rPr>
          <w:rFonts w:hint="eastAsia" w:ascii="Times New Roman" w:hAnsi="Times New Roman" w:eastAsia="宋体" w:cs="Times New Roman"/>
          <w:color w:val="000000"/>
          <w:kern w:val="2"/>
          <w:sz w:val="24"/>
          <w:szCs w:val="32"/>
          <w:highlight w:val="none"/>
          <w:lang w:val="en-US" w:eastAsia="zh-CN" w:bidi="ar-SA"/>
        </w:rPr>
        <w:tab/>
      </w: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PAGEREF _Toc4571 \h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72</w:t>
      </w:r>
      <w:r>
        <w:rPr>
          <w:rFonts w:hint="eastAsia" w:ascii="Times New Roman" w:hAnsi="Times New Roman" w:eastAsia="宋体" w:cs="Times New Roman"/>
          <w:color w:val="000000"/>
          <w:kern w:val="2"/>
          <w:sz w:val="24"/>
          <w:szCs w:val="32"/>
          <w:highlight w:val="none"/>
          <w:lang w:val="en-US" w:eastAsia="zh-CN" w:bidi="ar-SA"/>
        </w:rPr>
        <w:fldChar w:fldCharType="end"/>
      </w:r>
      <w:r>
        <w:rPr>
          <w:rFonts w:hint="eastAsia" w:ascii="Times New Roman" w:hAnsi="Times New Roman" w:eastAsia="宋体" w:cs="Times New Roman"/>
          <w:color w:val="000000"/>
          <w:kern w:val="2"/>
          <w:sz w:val="24"/>
          <w:szCs w:val="32"/>
          <w:highlight w:val="none"/>
          <w:lang w:val="en-US" w:eastAsia="zh-CN" w:bidi="ar-SA"/>
        </w:rPr>
        <w:fldChar w:fldCharType="end"/>
      </w:r>
    </w:p>
    <w:p w14:paraId="7316C135">
      <w:pPr>
        <w:pStyle w:val="37"/>
        <w:keepNext w:val="0"/>
        <w:keepLines w:val="0"/>
        <w:pageBreakBefore w:val="0"/>
        <w:widowControl w:val="0"/>
        <w:tabs>
          <w:tab w:val="right" w:leader="hyphen" w:pos="8306"/>
        </w:tabs>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HYPERLINK \l "_Toc2735"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七、结论</w:t>
      </w:r>
      <w:r>
        <w:rPr>
          <w:rFonts w:hint="eastAsia" w:ascii="Times New Roman" w:hAnsi="Times New Roman" w:eastAsia="宋体" w:cs="Times New Roman"/>
          <w:color w:val="000000"/>
          <w:kern w:val="2"/>
          <w:sz w:val="24"/>
          <w:szCs w:val="32"/>
          <w:highlight w:val="none"/>
          <w:lang w:val="en-US" w:eastAsia="zh-CN" w:bidi="ar-SA"/>
        </w:rPr>
        <w:tab/>
      </w: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PAGEREF _Toc2735 \h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74</w:t>
      </w:r>
      <w:r>
        <w:rPr>
          <w:rFonts w:hint="eastAsia" w:ascii="Times New Roman" w:hAnsi="Times New Roman" w:eastAsia="宋体" w:cs="Times New Roman"/>
          <w:color w:val="000000"/>
          <w:kern w:val="2"/>
          <w:sz w:val="24"/>
          <w:szCs w:val="32"/>
          <w:highlight w:val="none"/>
          <w:lang w:val="en-US" w:eastAsia="zh-CN" w:bidi="ar-SA"/>
        </w:rPr>
        <w:fldChar w:fldCharType="end"/>
      </w:r>
      <w:r>
        <w:rPr>
          <w:rFonts w:hint="eastAsia" w:ascii="Times New Roman" w:hAnsi="Times New Roman" w:eastAsia="宋体" w:cs="Times New Roman"/>
          <w:color w:val="000000"/>
          <w:kern w:val="2"/>
          <w:sz w:val="24"/>
          <w:szCs w:val="32"/>
          <w:highlight w:val="none"/>
          <w:lang w:val="en-US" w:eastAsia="zh-CN" w:bidi="ar-SA"/>
        </w:rPr>
        <w:fldChar w:fldCharType="end"/>
      </w:r>
    </w:p>
    <w:p w14:paraId="52E3471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eastAsia="宋体" w:cs="Times New Roman"/>
          <w:b/>
          <w:bCs/>
          <w:color w:val="000000"/>
          <w:kern w:val="2"/>
          <w:sz w:val="24"/>
          <w:szCs w:val="32"/>
          <w:highlight w:val="none"/>
          <w:lang w:val="en-US" w:eastAsia="zh-CN" w:bidi="ar-SA"/>
        </w:rPr>
      </w:pPr>
    </w:p>
    <w:p w14:paraId="1B674C12">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fldChar w:fldCharType="end"/>
      </w:r>
      <w:bookmarkStart w:id="1" w:name="_Toc15837"/>
    </w:p>
    <w:p w14:paraId="1F9A20B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eastAsia="宋体" w:cs="Times New Roman"/>
          <w:b/>
          <w:bCs/>
          <w:color w:val="000000"/>
          <w:kern w:val="2"/>
          <w:sz w:val="24"/>
          <w:szCs w:val="32"/>
          <w:highlight w:val="none"/>
          <w:lang w:val="en-US" w:eastAsia="zh-CN" w:bidi="ar-SA"/>
        </w:rPr>
      </w:pPr>
      <w:r>
        <w:rPr>
          <w:rFonts w:hint="eastAsia" w:ascii="Times New Roman" w:hAnsi="Times New Roman" w:eastAsia="宋体" w:cs="Times New Roman"/>
          <w:b/>
          <w:bCs/>
          <w:color w:val="000000"/>
          <w:kern w:val="2"/>
          <w:sz w:val="24"/>
          <w:szCs w:val="32"/>
          <w:highlight w:val="none"/>
          <w:lang w:val="en-US" w:eastAsia="zh-CN" w:bidi="ar-SA"/>
        </w:rPr>
        <w:t>附图</w:t>
      </w:r>
    </w:p>
    <w:p w14:paraId="7EE2D304">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t>附图1 项目地理位置图</w:t>
      </w:r>
    </w:p>
    <w:p w14:paraId="4C22A5D1">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u w:val="none"/>
          <w:lang w:val="en-US" w:eastAsia="zh-CN" w:bidi="ar-SA"/>
        </w:rPr>
      </w:pPr>
      <w:r>
        <w:rPr>
          <w:rFonts w:hint="eastAsia" w:ascii="Times New Roman" w:hAnsi="Times New Roman" w:eastAsia="宋体" w:cs="Times New Roman"/>
          <w:color w:val="000000"/>
          <w:kern w:val="2"/>
          <w:sz w:val="24"/>
          <w:szCs w:val="32"/>
          <w:highlight w:val="none"/>
          <w:u w:val="none"/>
          <w:lang w:val="en-US" w:eastAsia="zh-CN" w:bidi="ar-SA"/>
        </w:rPr>
        <w:t xml:space="preserve">附图2 </w:t>
      </w:r>
      <w:r>
        <w:rPr>
          <w:rFonts w:hint="default"/>
          <w:sz w:val="24"/>
          <w:szCs w:val="24"/>
          <w:lang w:val="en-US" w:eastAsia="zh-CN"/>
        </w:rPr>
        <w:t>项目周边水系示意</w:t>
      </w:r>
      <w:r>
        <w:rPr>
          <w:rFonts w:hint="eastAsia"/>
          <w:sz w:val="24"/>
          <w:szCs w:val="24"/>
          <w:lang w:val="en-US" w:eastAsia="zh-CN"/>
        </w:rPr>
        <w:t>图</w:t>
      </w:r>
    </w:p>
    <w:p w14:paraId="6BBA2A56">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u w:val="none"/>
          <w:lang w:val="en-US" w:eastAsia="zh-CN" w:bidi="ar-SA"/>
        </w:rPr>
      </w:pPr>
      <w:r>
        <w:rPr>
          <w:rFonts w:hint="eastAsia" w:ascii="Times New Roman" w:hAnsi="Times New Roman" w:eastAsia="宋体" w:cs="Times New Roman"/>
          <w:color w:val="000000"/>
          <w:kern w:val="2"/>
          <w:sz w:val="24"/>
          <w:szCs w:val="32"/>
          <w:highlight w:val="none"/>
          <w:u w:val="none"/>
          <w:lang w:val="en-US" w:eastAsia="zh-CN" w:bidi="ar-SA"/>
        </w:rPr>
        <w:t xml:space="preserve">附图3 </w:t>
      </w:r>
      <w:r>
        <w:rPr>
          <w:rFonts w:hint="eastAsia"/>
          <w:sz w:val="24"/>
          <w:szCs w:val="22"/>
          <w:lang w:val="en-US" w:eastAsia="zh-CN"/>
        </w:rPr>
        <w:t>项目区域地质图</w:t>
      </w:r>
    </w:p>
    <w:p w14:paraId="77CA9AB2">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u w:val="none"/>
          <w:lang w:val="en-US" w:eastAsia="zh-CN" w:bidi="ar-SA"/>
        </w:rPr>
      </w:pPr>
      <w:r>
        <w:rPr>
          <w:rFonts w:hint="eastAsia" w:ascii="Times New Roman" w:hAnsi="Times New Roman" w:eastAsia="宋体" w:cs="Times New Roman"/>
          <w:color w:val="000000"/>
          <w:kern w:val="2"/>
          <w:sz w:val="24"/>
          <w:szCs w:val="32"/>
          <w:highlight w:val="none"/>
          <w:u w:val="none"/>
          <w:lang w:val="en-US" w:eastAsia="zh-CN" w:bidi="ar-SA"/>
        </w:rPr>
        <w:t>附图4 项目现场照片</w:t>
      </w:r>
    </w:p>
    <w:p w14:paraId="5E0C519C">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u w:val="none"/>
          <w:lang w:val="en-US" w:eastAsia="zh-CN" w:bidi="ar-SA"/>
        </w:rPr>
      </w:pPr>
      <w:r>
        <w:rPr>
          <w:rFonts w:hint="eastAsia" w:ascii="Times New Roman" w:hAnsi="Times New Roman" w:eastAsia="宋体" w:cs="Times New Roman"/>
          <w:color w:val="000000"/>
          <w:kern w:val="2"/>
          <w:sz w:val="24"/>
          <w:szCs w:val="32"/>
          <w:highlight w:val="none"/>
          <w:u w:val="none"/>
          <w:lang w:val="en-US" w:eastAsia="zh-CN" w:bidi="ar-SA"/>
        </w:rPr>
        <w:t xml:space="preserve">附图5 </w:t>
      </w:r>
      <w:r>
        <w:rPr>
          <w:rFonts w:hint="eastAsia"/>
          <w:sz w:val="24"/>
          <w:szCs w:val="22"/>
          <w:lang w:val="en-US" w:eastAsia="zh-CN"/>
        </w:rPr>
        <w:t>环境现状监测布点示意图</w:t>
      </w:r>
    </w:p>
    <w:p w14:paraId="195D9BAB">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u w:val="none"/>
          <w:lang w:val="en-US" w:eastAsia="zh-CN" w:bidi="ar-SA"/>
        </w:rPr>
      </w:pPr>
      <w:r>
        <w:rPr>
          <w:rFonts w:hint="eastAsia" w:ascii="Times New Roman" w:hAnsi="Times New Roman" w:eastAsia="宋体" w:cs="Times New Roman"/>
          <w:color w:val="000000"/>
          <w:kern w:val="2"/>
          <w:sz w:val="24"/>
          <w:szCs w:val="32"/>
          <w:highlight w:val="none"/>
          <w:u w:val="none"/>
          <w:lang w:val="en-US" w:eastAsia="zh-CN" w:bidi="ar-SA"/>
        </w:rPr>
        <w:t xml:space="preserve">附图6 </w:t>
      </w:r>
      <w:r>
        <w:rPr>
          <w:rFonts w:hint="eastAsia"/>
          <w:sz w:val="24"/>
          <w:szCs w:val="22"/>
          <w:lang w:val="en-US" w:eastAsia="zh-CN"/>
        </w:rPr>
        <w:t>项目周边环境保护目标分布图</w:t>
      </w:r>
    </w:p>
    <w:p w14:paraId="0F8EF123">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eastAsia="宋体" w:cs="Times New Roman"/>
          <w:color w:val="000000"/>
          <w:kern w:val="2"/>
          <w:sz w:val="24"/>
          <w:szCs w:val="32"/>
          <w:highlight w:val="none"/>
          <w:u w:val="none"/>
          <w:lang w:val="en-US" w:eastAsia="zh-CN" w:bidi="ar-SA"/>
        </w:rPr>
        <w:t>附</w:t>
      </w:r>
      <w:r>
        <w:rPr>
          <w:rFonts w:hint="eastAsia" w:ascii="Times New Roman" w:hAnsi="Times New Roman" w:cs="Times New Roman"/>
          <w:sz w:val="24"/>
          <w:szCs w:val="24"/>
          <w:lang w:val="en-US" w:eastAsia="zh-CN"/>
        </w:rPr>
        <w:t>图7 项目规划分区套合示意图</w:t>
      </w:r>
    </w:p>
    <w:p w14:paraId="58C3B03A">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附图8 围堰施工示意图</w:t>
      </w:r>
    </w:p>
    <w:p w14:paraId="6936BC00">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附图9 围堰施工平面布置示意图</w:t>
      </w:r>
    </w:p>
    <w:p w14:paraId="6C12059A">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附图十 左岸水轮泵平面布置图</w:t>
      </w:r>
    </w:p>
    <w:p w14:paraId="40E5A744">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附图十一 右岸水轮泵平面布置图</w:t>
      </w:r>
    </w:p>
    <w:p w14:paraId="1DCEF551">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附图十二 中开泵泵房平面布置图</w:t>
      </w:r>
    </w:p>
    <w:p w14:paraId="29145DB6">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附图十三 上、下游岸坡剖面图</w:t>
      </w:r>
    </w:p>
    <w:p w14:paraId="01ACDE03">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附图十四 下游护坦、海鳗段剖面图</w:t>
      </w:r>
    </w:p>
    <w:p w14:paraId="5B85BC7B">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附图十五 项目工程平面布置图</w:t>
      </w:r>
    </w:p>
    <w:p w14:paraId="3CB9B063">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附图十六 弃渣场平面布置图</w:t>
      </w:r>
    </w:p>
    <w:p w14:paraId="2308A969">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附图十七 弃渣场剖面图</w:t>
      </w:r>
    </w:p>
    <w:p w14:paraId="4A579C3C">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附图十八 生态环境保护措施示意图</w:t>
      </w:r>
    </w:p>
    <w:p w14:paraId="7FFF2985">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附图十九 表土堆放生态环境保护措施示意图</w:t>
      </w:r>
    </w:p>
    <w:p w14:paraId="520911CD">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b/>
          <w:bCs/>
          <w:color w:val="000000"/>
          <w:kern w:val="2"/>
          <w:sz w:val="24"/>
          <w:szCs w:val="32"/>
          <w:highlight w:val="none"/>
          <w:u w:val="none"/>
          <w:lang w:val="en-US" w:eastAsia="zh-CN" w:bidi="ar-SA"/>
        </w:rPr>
      </w:pPr>
      <w:r>
        <w:rPr>
          <w:rFonts w:hint="eastAsia" w:ascii="Times New Roman" w:hAnsi="Times New Roman" w:eastAsia="宋体" w:cs="Times New Roman"/>
          <w:b/>
          <w:bCs/>
          <w:color w:val="000000"/>
          <w:kern w:val="2"/>
          <w:sz w:val="24"/>
          <w:szCs w:val="32"/>
          <w:highlight w:val="none"/>
          <w:u w:val="none"/>
          <w:lang w:val="en-US" w:eastAsia="zh-CN" w:bidi="ar-SA"/>
        </w:rPr>
        <w:t>附件</w:t>
      </w:r>
    </w:p>
    <w:p w14:paraId="607B976C">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u w:val="none"/>
          <w:lang w:val="en-US" w:eastAsia="zh-CN" w:bidi="ar-SA"/>
        </w:rPr>
      </w:pPr>
      <w:r>
        <w:rPr>
          <w:rFonts w:hint="eastAsia" w:ascii="Times New Roman" w:hAnsi="Times New Roman" w:eastAsia="宋体" w:cs="Times New Roman"/>
          <w:color w:val="000000"/>
          <w:kern w:val="2"/>
          <w:sz w:val="24"/>
          <w:szCs w:val="32"/>
          <w:highlight w:val="none"/>
          <w:u w:val="none"/>
          <w:lang w:val="en-US" w:eastAsia="zh-CN" w:bidi="ar-SA"/>
        </w:rPr>
        <w:t>附件1 项目委托书</w:t>
      </w:r>
    </w:p>
    <w:p w14:paraId="4BB5BAB8">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u w:val="none"/>
          <w:lang w:val="en-US" w:eastAsia="zh-CN" w:bidi="ar-SA"/>
        </w:rPr>
      </w:pPr>
      <w:r>
        <w:rPr>
          <w:rFonts w:hint="eastAsia" w:ascii="Times New Roman" w:hAnsi="Times New Roman" w:eastAsia="宋体" w:cs="Times New Roman"/>
          <w:color w:val="000000"/>
          <w:kern w:val="2"/>
          <w:sz w:val="24"/>
          <w:szCs w:val="32"/>
          <w:highlight w:val="none"/>
          <w:u w:val="none"/>
          <w:lang w:val="en-US" w:eastAsia="zh-CN" w:bidi="ar-SA"/>
        </w:rPr>
        <w:t xml:space="preserve">附件2 </w:t>
      </w:r>
      <w:r>
        <w:rPr>
          <w:rFonts w:hint="eastAsia" w:cs="Times New Roman"/>
          <w:color w:val="000000"/>
          <w:kern w:val="2"/>
          <w:sz w:val="24"/>
          <w:szCs w:val="32"/>
          <w:highlight w:val="none"/>
          <w:u w:val="none"/>
          <w:lang w:val="en-US" w:eastAsia="zh-CN" w:bidi="ar-SA"/>
        </w:rPr>
        <w:t>环境监测报告及质保单</w:t>
      </w:r>
    </w:p>
    <w:p w14:paraId="26DDE2A4">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u w:val="none"/>
          <w:lang w:val="en-US" w:eastAsia="zh-CN" w:bidi="ar-SA"/>
        </w:rPr>
      </w:pPr>
      <w:r>
        <w:rPr>
          <w:rFonts w:hint="eastAsia" w:ascii="Times New Roman" w:hAnsi="Times New Roman" w:eastAsia="宋体" w:cs="Times New Roman"/>
          <w:color w:val="000000"/>
          <w:kern w:val="2"/>
          <w:sz w:val="24"/>
          <w:szCs w:val="32"/>
          <w:highlight w:val="none"/>
          <w:u w:val="none"/>
          <w:lang w:val="en-US" w:eastAsia="zh-CN" w:bidi="ar-SA"/>
        </w:rPr>
        <w:t xml:space="preserve">附件3 </w:t>
      </w:r>
      <w:r>
        <w:rPr>
          <w:rFonts w:hint="eastAsia"/>
          <w:sz w:val="24"/>
          <w:szCs w:val="22"/>
          <w:lang w:val="en-US" w:eastAsia="zh-CN"/>
        </w:rPr>
        <w:t>项目可研批复</w:t>
      </w:r>
    </w:p>
    <w:p w14:paraId="7A8D103B">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cs="Times New Roman"/>
          <w:color w:val="000000"/>
          <w:kern w:val="2"/>
          <w:sz w:val="24"/>
          <w:szCs w:val="32"/>
          <w:highlight w:val="none"/>
          <w:u w:val="none"/>
          <w:lang w:val="en-US" w:eastAsia="zh-CN" w:bidi="ar-SA"/>
        </w:rPr>
      </w:pPr>
      <w:r>
        <w:rPr>
          <w:rFonts w:hint="eastAsia" w:ascii="Times New Roman" w:hAnsi="Times New Roman" w:eastAsia="宋体" w:cs="Times New Roman"/>
          <w:color w:val="000000"/>
          <w:kern w:val="2"/>
          <w:sz w:val="24"/>
          <w:szCs w:val="32"/>
          <w:highlight w:val="none"/>
          <w:u w:val="none"/>
          <w:lang w:val="en-US" w:eastAsia="zh-CN" w:bidi="ar-SA"/>
        </w:rPr>
        <w:t>附件4 项目水土保持批复</w:t>
      </w:r>
    </w:p>
    <w:p w14:paraId="7B3A5794">
      <w:pPr>
        <w:pStyle w:val="8"/>
        <w:ind w:left="0" w:leftChars="0" w:firstLine="0" w:firstLineChars="0"/>
        <w:rPr>
          <w:rFonts w:hint="default" w:cs="Times New Roman"/>
          <w:color w:val="000000"/>
          <w:kern w:val="2"/>
          <w:sz w:val="24"/>
          <w:szCs w:val="32"/>
          <w:highlight w:val="none"/>
          <w:u w:val="none"/>
          <w:lang w:val="en-US" w:eastAsia="zh-CN" w:bidi="ar-SA"/>
        </w:rPr>
      </w:pPr>
      <w:r>
        <w:rPr>
          <w:rFonts w:hint="eastAsia" w:cs="Times New Roman"/>
          <w:color w:val="000000"/>
          <w:kern w:val="2"/>
          <w:sz w:val="24"/>
          <w:szCs w:val="32"/>
          <w:highlight w:val="none"/>
          <w:u w:val="none"/>
          <w:lang w:val="en-US" w:eastAsia="zh-CN" w:bidi="ar-SA"/>
        </w:rPr>
        <w:t>附件5 初步设计报告的批复及审查意见</w:t>
      </w:r>
    </w:p>
    <w:p w14:paraId="059BB5CC">
      <w:pPr>
        <w:pStyle w:val="8"/>
        <w:ind w:left="0" w:leftChars="0" w:firstLine="0" w:firstLineChars="0"/>
        <w:rPr>
          <w:rFonts w:hint="default"/>
          <w:u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cs="Times New Roman"/>
          <w:color w:val="000000"/>
          <w:kern w:val="2"/>
          <w:sz w:val="24"/>
          <w:szCs w:val="32"/>
          <w:highlight w:val="none"/>
          <w:u w:val="none"/>
          <w:lang w:val="en-US" w:eastAsia="zh-CN" w:bidi="ar-SA"/>
        </w:rPr>
        <w:t>附件6 组织机构法人证书</w:t>
      </w:r>
    </w:p>
    <w:p w14:paraId="10FF5F83">
      <w:pPr>
        <w:widowControl/>
        <w:numPr>
          <w:ilvl w:val="0"/>
          <w:numId w:val="4"/>
        </w:numPr>
        <w:spacing w:before="100" w:beforeAutospacing="1" w:after="100" w:afterAutospacing="1"/>
        <w:jc w:val="center"/>
        <w:outlineLvl w:val="0"/>
        <w:rPr>
          <w:rFonts w:hint="eastAsia" w:ascii="黑体" w:hAnsi="黑体" w:eastAsia="黑体"/>
          <w:snapToGrid w:val="0"/>
          <w:color w:val="000000"/>
          <w:sz w:val="30"/>
          <w:szCs w:val="30"/>
        </w:rPr>
      </w:pPr>
      <w:r>
        <w:rPr>
          <w:rFonts w:hint="eastAsia" w:ascii="黑体" w:hAnsi="黑体" w:eastAsia="黑体"/>
          <w:snapToGrid w:val="0"/>
          <w:color w:val="000000"/>
          <w:sz w:val="30"/>
          <w:szCs w:val="30"/>
        </w:rPr>
        <w:t>建设项目基本情况</w:t>
      </w:r>
      <w:bookmarkEnd w:id="1"/>
    </w:p>
    <w:tbl>
      <w:tblPr>
        <w:tblStyle w:val="45"/>
        <w:tblW w:w="8969" w:type="dxa"/>
        <w:tblInd w:w="-3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931"/>
        <w:gridCol w:w="2238"/>
        <w:gridCol w:w="1891"/>
        <w:gridCol w:w="2909"/>
      </w:tblGrid>
      <w:tr w14:paraId="768AA6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4A3279FC">
            <w:pPr>
              <w:adjustRightInd w:val="0"/>
              <w:snapToGrid w:val="0"/>
              <w:jc w:val="center"/>
              <w:rPr>
                <w:color w:val="000000"/>
                <w:sz w:val="24"/>
                <w:szCs w:val="24"/>
              </w:rPr>
            </w:pPr>
            <w:r>
              <w:rPr>
                <w:color w:val="000000"/>
                <w:sz w:val="24"/>
                <w:szCs w:val="24"/>
              </w:rPr>
              <w:t>建设项目名称</w:t>
            </w:r>
          </w:p>
        </w:tc>
        <w:tc>
          <w:tcPr>
            <w:tcW w:w="7038" w:type="dxa"/>
            <w:gridSpan w:val="3"/>
            <w:vAlign w:val="center"/>
          </w:tcPr>
          <w:p w14:paraId="26474B7C">
            <w:pPr>
              <w:adjustRightInd w:val="0"/>
              <w:snapToGrid w:val="0"/>
              <w:spacing w:line="288"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祁阳市冷水江河坝水闸除险加固工程</w:t>
            </w:r>
          </w:p>
        </w:tc>
      </w:tr>
      <w:tr w14:paraId="6A3F8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604E4133">
            <w:pPr>
              <w:adjustRightInd w:val="0"/>
              <w:snapToGrid w:val="0"/>
              <w:jc w:val="center"/>
              <w:rPr>
                <w:color w:val="000000"/>
                <w:sz w:val="24"/>
                <w:szCs w:val="24"/>
              </w:rPr>
            </w:pPr>
            <w:r>
              <w:rPr>
                <w:color w:val="000000"/>
                <w:sz w:val="24"/>
                <w:szCs w:val="24"/>
              </w:rPr>
              <w:t>项目代码</w:t>
            </w:r>
          </w:p>
        </w:tc>
        <w:tc>
          <w:tcPr>
            <w:tcW w:w="7038" w:type="dxa"/>
            <w:gridSpan w:val="3"/>
            <w:vAlign w:val="center"/>
          </w:tcPr>
          <w:p w14:paraId="0FE4819C">
            <w:pPr>
              <w:adjustRightInd w:val="0"/>
              <w:snapToGrid w:val="0"/>
              <w:jc w:val="center"/>
              <w:rPr>
                <w:rFonts w:hint="default" w:eastAsia="宋体"/>
                <w:color w:val="000000"/>
                <w:sz w:val="24"/>
                <w:szCs w:val="24"/>
                <w:lang w:val="en-US" w:eastAsia="zh-CN"/>
              </w:rPr>
            </w:pPr>
            <w:r>
              <w:rPr>
                <w:rFonts w:hint="default"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lang w:val="en-US" w:eastAsia="zh-CN"/>
              </w:rPr>
              <w:t>309</w:t>
            </w:r>
            <w:r>
              <w:rPr>
                <w:rFonts w:hint="default" w:ascii="Times New Roman" w:hAnsi="Times New Roman" w:eastAsia="宋体" w:cs="Times New Roman"/>
                <w:b w:val="0"/>
                <w:bCs w:val="0"/>
                <w:color w:val="auto"/>
                <w:sz w:val="24"/>
                <w:szCs w:val="24"/>
                <w:lang w:val="en-US" w:eastAsia="zh-CN"/>
              </w:rPr>
              <w:t>-</w:t>
            </w:r>
            <w:r>
              <w:rPr>
                <w:rFonts w:hint="eastAsia" w:ascii="Times New Roman" w:hAnsi="Times New Roman" w:eastAsia="宋体" w:cs="Times New Roman"/>
                <w:b w:val="0"/>
                <w:bCs w:val="0"/>
                <w:color w:val="auto"/>
                <w:sz w:val="24"/>
                <w:szCs w:val="24"/>
                <w:lang w:val="en-US" w:eastAsia="zh-CN"/>
              </w:rPr>
              <w:t>431121</w:t>
            </w:r>
            <w:r>
              <w:rPr>
                <w:rFonts w:hint="default" w:ascii="Times New Roman" w:hAnsi="Times New Roman" w:eastAsia="宋体" w:cs="Times New Roman"/>
                <w:b w:val="0"/>
                <w:bCs w:val="0"/>
                <w:color w:val="auto"/>
                <w:sz w:val="24"/>
                <w:szCs w:val="24"/>
                <w:lang w:val="en-US" w:eastAsia="zh-CN"/>
              </w:rPr>
              <w:t>-04-01-</w:t>
            </w:r>
            <w:r>
              <w:rPr>
                <w:rFonts w:hint="eastAsia" w:ascii="Times New Roman" w:hAnsi="Times New Roman" w:eastAsia="宋体" w:cs="Times New Roman"/>
                <w:b w:val="0"/>
                <w:bCs w:val="0"/>
                <w:color w:val="auto"/>
                <w:sz w:val="24"/>
                <w:szCs w:val="24"/>
                <w:lang w:val="en-US" w:eastAsia="zh-CN"/>
              </w:rPr>
              <w:t>830181</w:t>
            </w:r>
          </w:p>
        </w:tc>
      </w:tr>
      <w:tr w14:paraId="57F448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5638DA73">
            <w:pPr>
              <w:adjustRightInd w:val="0"/>
              <w:snapToGrid w:val="0"/>
              <w:jc w:val="center"/>
              <w:rPr>
                <w:color w:val="000000"/>
                <w:sz w:val="24"/>
                <w:szCs w:val="24"/>
              </w:rPr>
            </w:pPr>
            <w:r>
              <w:rPr>
                <w:color w:val="000000"/>
                <w:sz w:val="24"/>
                <w:szCs w:val="24"/>
              </w:rPr>
              <w:t>建设单位联系人</w:t>
            </w:r>
          </w:p>
        </w:tc>
        <w:tc>
          <w:tcPr>
            <w:tcW w:w="2238" w:type="dxa"/>
            <w:vAlign w:val="center"/>
          </w:tcPr>
          <w:p w14:paraId="6BAAF816">
            <w:pPr>
              <w:adjustRightInd w:val="0"/>
              <w:snapToGrid w:val="0"/>
              <w:jc w:val="center"/>
              <w:rPr>
                <w:rFonts w:hint="default" w:eastAsia="宋体"/>
                <w:color w:val="000000"/>
                <w:sz w:val="24"/>
                <w:szCs w:val="24"/>
                <w:lang w:val="en-US" w:eastAsia="zh-CN"/>
              </w:rPr>
            </w:pPr>
            <w:r>
              <w:rPr>
                <w:rFonts w:hint="default" w:eastAsia="宋体"/>
                <w:color w:val="000000"/>
                <w:sz w:val="24"/>
                <w:szCs w:val="24"/>
                <w:lang w:val="en-US" w:eastAsia="zh-CN"/>
              </w:rPr>
              <w:t>王玲成</w:t>
            </w:r>
          </w:p>
        </w:tc>
        <w:tc>
          <w:tcPr>
            <w:tcW w:w="1891" w:type="dxa"/>
            <w:vAlign w:val="center"/>
          </w:tcPr>
          <w:p w14:paraId="0B887850">
            <w:pPr>
              <w:adjustRightInd w:val="0"/>
              <w:snapToGrid w:val="0"/>
              <w:jc w:val="center"/>
              <w:rPr>
                <w:color w:val="000000"/>
                <w:sz w:val="24"/>
                <w:szCs w:val="24"/>
              </w:rPr>
            </w:pPr>
            <w:r>
              <w:rPr>
                <w:color w:val="000000"/>
                <w:sz w:val="24"/>
                <w:szCs w:val="24"/>
              </w:rPr>
              <w:t>联系方式</w:t>
            </w:r>
          </w:p>
        </w:tc>
        <w:tc>
          <w:tcPr>
            <w:tcW w:w="2909" w:type="dxa"/>
            <w:vAlign w:val="center"/>
          </w:tcPr>
          <w:p w14:paraId="2EDAA691">
            <w:pPr>
              <w:adjustRightInd w:val="0"/>
              <w:snapToGrid w:val="0"/>
              <w:jc w:val="center"/>
              <w:rPr>
                <w:rFonts w:hint="default" w:eastAsia="宋体"/>
                <w:color w:val="000000"/>
                <w:sz w:val="24"/>
                <w:szCs w:val="24"/>
                <w:lang w:val="en-US" w:eastAsia="zh-CN"/>
              </w:rPr>
            </w:pPr>
            <w:r>
              <w:rPr>
                <w:rFonts w:hint="default" w:eastAsia="宋体"/>
                <w:color w:val="000000"/>
                <w:sz w:val="24"/>
                <w:szCs w:val="24"/>
                <w:lang w:val="en-US" w:eastAsia="zh-CN"/>
              </w:rPr>
              <w:t>153</w:t>
            </w:r>
            <w:r>
              <w:rPr>
                <w:rFonts w:hint="eastAsia"/>
                <w:color w:val="000000"/>
                <w:sz w:val="24"/>
                <w:szCs w:val="24"/>
                <w:lang w:val="en-US" w:eastAsia="zh-CN"/>
              </w:rPr>
              <w:t>****</w:t>
            </w:r>
            <w:r>
              <w:rPr>
                <w:rFonts w:hint="default" w:eastAsia="宋体"/>
                <w:color w:val="000000"/>
                <w:sz w:val="24"/>
                <w:szCs w:val="24"/>
                <w:lang w:val="en-US" w:eastAsia="zh-CN"/>
              </w:rPr>
              <w:t xml:space="preserve">7788 </w:t>
            </w:r>
          </w:p>
        </w:tc>
      </w:tr>
      <w:tr w14:paraId="1634B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52B483E4">
            <w:pPr>
              <w:adjustRightInd w:val="0"/>
              <w:snapToGrid w:val="0"/>
              <w:jc w:val="center"/>
              <w:rPr>
                <w:color w:val="000000"/>
                <w:sz w:val="24"/>
                <w:szCs w:val="24"/>
              </w:rPr>
            </w:pPr>
            <w:r>
              <w:rPr>
                <w:color w:val="000000"/>
                <w:sz w:val="24"/>
                <w:szCs w:val="24"/>
              </w:rPr>
              <w:t>建设地点</w:t>
            </w:r>
          </w:p>
        </w:tc>
        <w:tc>
          <w:tcPr>
            <w:tcW w:w="7038" w:type="dxa"/>
            <w:gridSpan w:val="3"/>
            <w:vAlign w:val="center"/>
          </w:tcPr>
          <w:p w14:paraId="5DE54141">
            <w:pPr>
              <w:adjustRightInd w:val="0"/>
              <w:snapToGrid w:val="0"/>
              <w:spacing w:line="240" w:lineRule="auto"/>
              <w:jc w:val="center"/>
              <w:rPr>
                <w:rFonts w:hint="eastAsia"/>
                <w:color w:val="0000FF"/>
                <w:sz w:val="24"/>
                <w:szCs w:val="24"/>
                <w:lang w:eastAsia="zh-CN"/>
              </w:rPr>
            </w:pPr>
            <w:r>
              <w:rPr>
                <w:rFonts w:hint="eastAsia"/>
                <w:color w:val="auto"/>
                <w:sz w:val="24"/>
                <w:szCs w:val="24"/>
                <w:lang w:val="en-US" w:eastAsia="zh-CN"/>
              </w:rPr>
              <w:t>湖南省永州市祁阳市</w:t>
            </w:r>
            <w:r>
              <w:rPr>
                <w:rFonts w:hint="eastAsia" w:ascii="Times New Roman" w:hAnsi="Times New Roman" w:cs="Times New Roman"/>
                <w:b w:val="0"/>
                <w:bCs w:val="0"/>
                <w:color w:val="auto"/>
                <w:sz w:val="24"/>
                <w:lang w:val="en-US" w:eastAsia="zh-CN"/>
              </w:rPr>
              <w:t>黎家坪镇马斯坪村</w:t>
            </w:r>
            <w:bookmarkStart w:id="17" w:name="_GoBack"/>
            <w:bookmarkEnd w:id="17"/>
          </w:p>
        </w:tc>
      </w:tr>
      <w:tr w14:paraId="0DC3F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2EE5DCA3">
            <w:pPr>
              <w:adjustRightInd w:val="0"/>
              <w:snapToGrid w:val="0"/>
              <w:jc w:val="center"/>
              <w:rPr>
                <w:rFonts w:hint="eastAsia" w:ascii="宋体" w:hAnsi="宋体"/>
                <w:sz w:val="24"/>
                <w:szCs w:val="24"/>
                <w:lang w:val="en-US" w:eastAsia="zh-CN"/>
              </w:rPr>
            </w:pPr>
            <w:r>
              <w:rPr>
                <w:rFonts w:hint="eastAsia" w:ascii="宋体" w:hAnsi="宋体"/>
                <w:sz w:val="24"/>
                <w:szCs w:val="24"/>
                <w:lang w:val="en-US" w:eastAsia="zh-CN"/>
              </w:rPr>
              <w:t>地理坐标</w:t>
            </w:r>
          </w:p>
        </w:tc>
        <w:tc>
          <w:tcPr>
            <w:tcW w:w="7038" w:type="dxa"/>
            <w:gridSpan w:val="3"/>
            <w:vAlign w:val="center"/>
          </w:tcPr>
          <w:p w14:paraId="072D1A89">
            <w:pPr>
              <w:numPr>
                <w:ilvl w:val="0"/>
                <w:numId w:val="0"/>
              </w:numPr>
              <w:adjustRightInd w:val="0"/>
              <w:snapToGrid w:val="0"/>
              <w:spacing w:line="240" w:lineRule="auto"/>
              <w:jc w:val="center"/>
              <w:rPr>
                <w:rFonts w:hint="eastAsia"/>
                <w:color w:val="0000FF"/>
                <w:sz w:val="24"/>
                <w:szCs w:val="24"/>
                <w:lang w:val="en-US" w:eastAsia="zh-CN"/>
              </w:rPr>
            </w:pPr>
            <w:r>
              <w:rPr>
                <w:rFonts w:hint="eastAsia"/>
                <w:color w:val="auto"/>
                <w:sz w:val="24"/>
                <w:szCs w:val="24"/>
                <w:lang w:val="en-US" w:eastAsia="zh-CN"/>
              </w:rPr>
              <w:t>中心坐标</w:t>
            </w:r>
            <w:r>
              <w:rPr>
                <w:rFonts w:hint="default"/>
                <w:color w:val="auto"/>
                <w:sz w:val="24"/>
                <w:szCs w:val="24"/>
                <w:lang w:val="en-US" w:eastAsia="zh-CN"/>
              </w:rPr>
              <w:t>E111°</w:t>
            </w:r>
            <w:r>
              <w:rPr>
                <w:rFonts w:hint="eastAsia"/>
                <w:color w:val="auto"/>
                <w:sz w:val="24"/>
                <w:szCs w:val="24"/>
                <w:lang w:val="en-US" w:eastAsia="zh-CN"/>
              </w:rPr>
              <w:t>49</w:t>
            </w:r>
            <w:r>
              <w:rPr>
                <w:rFonts w:hint="default"/>
                <w:color w:val="auto"/>
                <w:sz w:val="24"/>
                <w:szCs w:val="24"/>
                <w:lang w:val="en-US" w:eastAsia="zh-CN"/>
              </w:rPr>
              <w:t>'</w:t>
            </w:r>
            <w:r>
              <w:rPr>
                <w:rFonts w:hint="eastAsia"/>
                <w:color w:val="auto"/>
                <w:sz w:val="24"/>
                <w:szCs w:val="24"/>
                <w:lang w:val="en-US" w:eastAsia="zh-CN"/>
              </w:rPr>
              <w:t>28.062</w:t>
            </w:r>
            <w:r>
              <w:rPr>
                <w:rFonts w:hint="default"/>
                <w:color w:val="auto"/>
                <w:sz w:val="24"/>
                <w:szCs w:val="24"/>
                <w:lang w:val="en-US" w:eastAsia="zh-CN"/>
              </w:rPr>
              <w:t>"</w:t>
            </w:r>
            <w:r>
              <w:rPr>
                <w:rFonts w:hint="eastAsia"/>
                <w:color w:val="auto"/>
                <w:sz w:val="24"/>
                <w:szCs w:val="24"/>
                <w:lang w:val="en-US" w:eastAsia="zh-CN"/>
              </w:rPr>
              <w:t>，</w:t>
            </w:r>
            <w:r>
              <w:rPr>
                <w:rFonts w:hint="default"/>
                <w:color w:val="auto"/>
                <w:sz w:val="24"/>
                <w:szCs w:val="24"/>
                <w:lang w:val="en-US" w:eastAsia="zh-CN"/>
              </w:rPr>
              <w:t>N26°</w:t>
            </w:r>
            <w:r>
              <w:rPr>
                <w:rFonts w:hint="eastAsia"/>
                <w:color w:val="auto"/>
                <w:sz w:val="24"/>
                <w:szCs w:val="24"/>
                <w:lang w:val="en-US" w:eastAsia="zh-CN"/>
              </w:rPr>
              <w:t>44</w:t>
            </w:r>
            <w:r>
              <w:rPr>
                <w:rFonts w:hint="default"/>
                <w:color w:val="auto"/>
                <w:sz w:val="24"/>
                <w:szCs w:val="24"/>
                <w:lang w:val="en-US" w:eastAsia="zh-CN"/>
              </w:rPr>
              <w:t>'</w:t>
            </w:r>
            <w:r>
              <w:rPr>
                <w:rFonts w:hint="eastAsia"/>
                <w:color w:val="auto"/>
                <w:sz w:val="24"/>
                <w:szCs w:val="24"/>
                <w:lang w:val="en-US" w:eastAsia="zh-CN"/>
              </w:rPr>
              <w:t>53.727</w:t>
            </w:r>
            <w:r>
              <w:rPr>
                <w:rFonts w:hint="default"/>
                <w:color w:val="auto"/>
                <w:sz w:val="24"/>
                <w:szCs w:val="24"/>
                <w:lang w:val="en-US" w:eastAsia="zh-CN"/>
              </w:rPr>
              <w:t>"</w:t>
            </w:r>
            <w:r>
              <w:rPr>
                <w:rFonts w:hint="eastAsia"/>
                <w:color w:val="auto"/>
                <w:sz w:val="24"/>
                <w:szCs w:val="24"/>
                <w:lang w:val="en-US" w:eastAsia="zh-CN"/>
              </w:rPr>
              <w:t>；</w:t>
            </w:r>
          </w:p>
        </w:tc>
      </w:tr>
      <w:tr w14:paraId="51A80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5F7A0AC8">
            <w:pPr>
              <w:adjustRightInd w:val="0"/>
              <w:snapToGrid w:val="0"/>
              <w:jc w:val="center"/>
              <w:rPr>
                <w:color w:val="000000"/>
                <w:sz w:val="24"/>
                <w:szCs w:val="24"/>
              </w:rPr>
            </w:pPr>
            <w:r>
              <w:rPr>
                <w:color w:val="000000"/>
                <w:sz w:val="24"/>
                <w:szCs w:val="24"/>
              </w:rPr>
              <w:t>建设项目</w:t>
            </w:r>
          </w:p>
          <w:p w14:paraId="4EF0DE51">
            <w:pPr>
              <w:adjustRightInd w:val="0"/>
              <w:snapToGrid w:val="0"/>
              <w:jc w:val="center"/>
              <w:rPr>
                <w:color w:val="000000"/>
                <w:sz w:val="24"/>
                <w:szCs w:val="24"/>
              </w:rPr>
            </w:pPr>
            <w:r>
              <w:rPr>
                <w:color w:val="000000"/>
                <w:sz w:val="24"/>
                <w:szCs w:val="24"/>
              </w:rPr>
              <w:t>行业类别</w:t>
            </w:r>
          </w:p>
        </w:tc>
        <w:tc>
          <w:tcPr>
            <w:tcW w:w="2238" w:type="dxa"/>
            <w:vAlign w:val="center"/>
          </w:tcPr>
          <w:p w14:paraId="00CF62A6">
            <w:pPr>
              <w:adjustRightInd w:val="0"/>
              <w:snapToGrid w:val="0"/>
              <w:spacing w:line="240" w:lineRule="auto"/>
              <w:jc w:val="center"/>
              <w:rPr>
                <w:rFonts w:hint="eastAsia" w:eastAsia="宋体"/>
                <w:color w:val="000000"/>
                <w:sz w:val="24"/>
                <w:szCs w:val="24"/>
                <w:lang w:eastAsia="zh-CN"/>
              </w:rPr>
            </w:pPr>
            <w:r>
              <w:rPr>
                <w:rFonts w:hint="eastAsia"/>
                <w:color w:val="000000"/>
                <w:sz w:val="24"/>
                <w:szCs w:val="24"/>
              </w:rPr>
              <w:t>五十</w:t>
            </w:r>
            <w:r>
              <w:rPr>
                <w:rFonts w:hint="eastAsia"/>
                <w:color w:val="000000"/>
                <w:sz w:val="24"/>
                <w:szCs w:val="24"/>
                <w:lang w:val="en-US" w:eastAsia="zh-CN"/>
              </w:rPr>
              <w:t>一</w:t>
            </w:r>
            <w:r>
              <w:rPr>
                <w:rFonts w:hint="eastAsia"/>
                <w:color w:val="000000"/>
                <w:sz w:val="24"/>
                <w:szCs w:val="24"/>
              </w:rPr>
              <w:t>、</w:t>
            </w:r>
            <w:r>
              <w:rPr>
                <w:rFonts w:hint="eastAsia"/>
                <w:color w:val="000000"/>
                <w:sz w:val="24"/>
                <w:szCs w:val="24"/>
                <w:lang w:val="en-US" w:eastAsia="zh-CN"/>
              </w:rPr>
              <w:t>水利</w:t>
            </w:r>
            <w:r>
              <w:rPr>
                <w:rFonts w:hint="eastAsia"/>
                <w:color w:val="000000"/>
                <w:sz w:val="24"/>
                <w:szCs w:val="24"/>
              </w:rPr>
              <w:t>-</w:t>
            </w:r>
            <w:r>
              <w:rPr>
                <w:rFonts w:hint="eastAsia"/>
                <w:color w:val="000000"/>
                <w:sz w:val="24"/>
                <w:szCs w:val="24"/>
                <w:lang w:eastAsia="zh-CN"/>
              </w:rPr>
              <w:t>127</w:t>
            </w:r>
            <w:r>
              <w:rPr>
                <w:rFonts w:hint="eastAsia"/>
                <w:color w:val="000000"/>
                <w:sz w:val="24"/>
                <w:szCs w:val="24"/>
                <w:lang w:val="en-US" w:eastAsia="zh-CN"/>
              </w:rPr>
              <w:t xml:space="preserve"> </w:t>
            </w:r>
            <w:r>
              <w:rPr>
                <w:rFonts w:hint="eastAsia"/>
                <w:color w:val="000000"/>
                <w:sz w:val="24"/>
                <w:szCs w:val="24"/>
                <w:lang w:eastAsia="zh-CN"/>
              </w:rPr>
              <w:t>防洪除涝工程</w:t>
            </w:r>
          </w:p>
        </w:tc>
        <w:tc>
          <w:tcPr>
            <w:tcW w:w="1891" w:type="dxa"/>
            <w:vAlign w:val="center"/>
          </w:tcPr>
          <w:p w14:paraId="0C26AFB5">
            <w:pPr>
              <w:adjustRightInd w:val="0"/>
              <w:snapToGrid w:val="0"/>
              <w:spacing w:line="240" w:lineRule="auto"/>
              <w:jc w:val="center"/>
              <w:rPr>
                <w:color w:val="000000"/>
                <w:sz w:val="24"/>
                <w:szCs w:val="24"/>
              </w:rPr>
            </w:pPr>
            <w:r>
              <w:rPr>
                <w:color w:val="000000"/>
                <w:sz w:val="24"/>
                <w:szCs w:val="24"/>
              </w:rPr>
              <w:t>用地（用海）面积（m</w:t>
            </w:r>
            <w:r>
              <w:rPr>
                <w:color w:val="000000"/>
                <w:sz w:val="24"/>
                <w:szCs w:val="24"/>
                <w:vertAlign w:val="superscript"/>
              </w:rPr>
              <w:t>2</w:t>
            </w:r>
            <w:r>
              <w:rPr>
                <w:color w:val="000000"/>
                <w:sz w:val="24"/>
                <w:szCs w:val="24"/>
              </w:rPr>
              <w:t>）/长度（km）</w:t>
            </w:r>
          </w:p>
        </w:tc>
        <w:tc>
          <w:tcPr>
            <w:tcW w:w="2909" w:type="dxa"/>
            <w:vAlign w:val="center"/>
          </w:tcPr>
          <w:p w14:paraId="1A4EC316">
            <w:pPr>
              <w:adjustRightInd w:val="0"/>
              <w:snapToGrid w:val="0"/>
              <w:spacing w:line="240" w:lineRule="auto"/>
              <w:jc w:val="center"/>
              <w:rPr>
                <w:rFonts w:hint="default"/>
                <w:kern w:val="0"/>
                <w:sz w:val="24"/>
                <w:szCs w:val="24"/>
                <w:lang w:val="en-US"/>
              </w:rPr>
            </w:pPr>
            <w:r>
              <w:rPr>
                <w:rFonts w:hint="eastAsia" w:ascii="Times New Roman" w:hAnsi="Times New Roman" w:eastAsia="宋体" w:cs="Times New Roman"/>
                <w:b w:val="0"/>
                <w:bCs w:val="0"/>
                <w:color w:val="auto"/>
                <w:spacing w:val="0"/>
                <w:sz w:val="24"/>
                <w:szCs w:val="24"/>
                <w:lang w:val="en-US" w:eastAsia="zh-CN"/>
              </w:rPr>
              <w:t>新增</w:t>
            </w:r>
            <w:r>
              <w:rPr>
                <w:rFonts w:hint="eastAsia" w:ascii="Times New Roman" w:hAnsi="Times New Roman" w:eastAsia="宋体" w:cs="Times New Roman"/>
                <w:b w:val="0"/>
                <w:bCs w:val="0"/>
                <w:color w:val="auto"/>
                <w:spacing w:val="0"/>
                <w:sz w:val="24"/>
                <w:szCs w:val="24"/>
                <w:lang w:eastAsia="zh-CN"/>
              </w:rPr>
              <w:t>永久占地</w:t>
            </w:r>
            <w:r>
              <w:rPr>
                <w:rFonts w:hint="eastAsia" w:ascii="Times New Roman" w:hAnsi="Times New Roman" w:eastAsia="宋体" w:cs="Times New Roman"/>
                <w:b w:val="0"/>
                <w:bCs w:val="0"/>
                <w:color w:val="auto"/>
                <w:spacing w:val="0"/>
                <w:sz w:val="24"/>
                <w:szCs w:val="24"/>
                <w:lang w:val="en-US" w:eastAsia="zh-CN"/>
              </w:rPr>
              <w:t>总计</w:t>
            </w:r>
            <w:r>
              <w:rPr>
                <w:rFonts w:hint="eastAsia" w:ascii="Times New Roman" w:hAnsi="Times New Roman" w:cs="Times New Roman"/>
                <w:b w:val="0"/>
                <w:bCs w:val="0"/>
                <w:color w:val="auto"/>
                <w:spacing w:val="0"/>
                <w:sz w:val="24"/>
                <w:szCs w:val="24"/>
                <w:lang w:val="en-US" w:eastAsia="zh-CN"/>
              </w:rPr>
              <w:t>1900</w:t>
            </w:r>
            <w:r>
              <w:rPr>
                <w:color w:val="000000"/>
                <w:sz w:val="24"/>
                <w:szCs w:val="24"/>
              </w:rPr>
              <w:t>m</w:t>
            </w:r>
            <w:r>
              <w:rPr>
                <w:color w:val="000000"/>
                <w:sz w:val="24"/>
                <w:szCs w:val="24"/>
                <w:vertAlign w:val="superscript"/>
              </w:rPr>
              <w:t>2</w:t>
            </w:r>
            <w:r>
              <w:rPr>
                <w:rFonts w:hint="eastAsia" w:ascii="Times New Roman" w:hAnsi="Times New Roman" w:cs="Times New Roman"/>
                <w:b w:val="0"/>
                <w:bCs w:val="0"/>
                <w:color w:val="auto"/>
                <w:spacing w:val="0"/>
                <w:sz w:val="24"/>
                <w:szCs w:val="24"/>
                <w:lang w:eastAsia="zh-CN"/>
              </w:rPr>
              <w:t>，</w:t>
            </w:r>
            <w:r>
              <w:rPr>
                <w:rFonts w:hint="eastAsia" w:ascii="Times New Roman" w:hAnsi="Times New Roman" w:cs="Times New Roman"/>
                <w:b w:val="0"/>
                <w:bCs w:val="0"/>
                <w:color w:val="auto"/>
                <w:spacing w:val="0"/>
                <w:sz w:val="24"/>
                <w:szCs w:val="24"/>
                <w:lang w:val="en-US" w:eastAsia="zh-CN"/>
              </w:rPr>
              <w:t>临时占地</w:t>
            </w:r>
            <w:r>
              <w:rPr>
                <w:rFonts w:hint="eastAsia" w:ascii="Times New Roman" w:hAnsi="Times New Roman" w:eastAsia="宋体" w:cs="Times New Roman"/>
                <w:b w:val="0"/>
                <w:bCs w:val="0"/>
                <w:color w:val="auto"/>
                <w:spacing w:val="0"/>
                <w:sz w:val="24"/>
                <w:szCs w:val="24"/>
                <w:lang w:eastAsia="zh-CN"/>
              </w:rPr>
              <w:t>占地</w:t>
            </w:r>
            <w:r>
              <w:rPr>
                <w:rFonts w:hint="eastAsia" w:ascii="Times New Roman" w:hAnsi="Times New Roman" w:cs="Times New Roman"/>
                <w:b w:val="0"/>
                <w:bCs w:val="0"/>
                <w:color w:val="auto"/>
                <w:spacing w:val="0"/>
                <w:sz w:val="24"/>
                <w:szCs w:val="24"/>
                <w:lang w:val="en-US" w:eastAsia="zh-CN"/>
              </w:rPr>
              <w:t>10800</w:t>
            </w:r>
            <w:r>
              <w:rPr>
                <w:color w:val="000000"/>
                <w:sz w:val="24"/>
                <w:szCs w:val="24"/>
              </w:rPr>
              <w:t>m</w:t>
            </w:r>
            <w:r>
              <w:rPr>
                <w:color w:val="000000"/>
                <w:sz w:val="24"/>
                <w:szCs w:val="24"/>
                <w:vertAlign w:val="superscript"/>
              </w:rPr>
              <w:t>2</w:t>
            </w:r>
          </w:p>
        </w:tc>
      </w:tr>
      <w:tr w14:paraId="04410F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3C424863">
            <w:pPr>
              <w:adjustRightInd w:val="0"/>
              <w:snapToGrid w:val="0"/>
              <w:jc w:val="center"/>
              <w:rPr>
                <w:color w:val="000000"/>
                <w:sz w:val="24"/>
                <w:szCs w:val="24"/>
              </w:rPr>
            </w:pPr>
            <w:r>
              <w:rPr>
                <w:color w:val="000000"/>
                <w:sz w:val="24"/>
                <w:szCs w:val="24"/>
              </w:rPr>
              <w:t>建设性质</w:t>
            </w:r>
          </w:p>
        </w:tc>
        <w:tc>
          <w:tcPr>
            <w:tcW w:w="2238" w:type="dxa"/>
            <w:vAlign w:val="center"/>
          </w:tcPr>
          <w:p w14:paraId="6616FEF9">
            <w:pPr>
              <w:spacing w:line="240" w:lineRule="auto"/>
              <w:jc w:val="left"/>
              <w:rPr>
                <w:color w:val="000000"/>
                <w:sz w:val="24"/>
                <w:szCs w:val="24"/>
              </w:rPr>
            </w:pPr>
            <w:r>
              <w:rPr>
                <w:rFonts w:hint="eastAsia"/>
                <w:color w:val="000000"/>
                <w:sz w:val="24"/>
                <w:szCs w:val="24"/>
                <w:lang w:eastAsia="zh-CN"/>
              </w:rPr>
              <w:t>□</w:t>
            </w:r>
            <w:r>
              <w:rPr>
                <w:color w:val="000000"/>
                <w:sz w:val="24"/>
                <w:szCs w:val="24"/>
              </w:rPr>
              <w:t>新建（迁建）</w:t>
            </w:r>
          </w:p>
          <w:p w14:paraId="095F7DF2">
            <w:pPr>
              <w:spacing w:line="240" w:lineRule="auto"/>
              <w:jc w:val="left"/>
              <w:rPr>
                <w:color w:val="000000"/>
                <w:sz w:val="24"/>
                <w:szCs w:val="24"/>
              </w:rPr>
            </w:pPr>
            <w:r>
              <w:rPr>
                <w:rFonts w:hint="eastAsia"/>
                <w:color w:val="000000"/>
                <w:sz w:val="24"/>
                <w:szCs w:val="24"/>
                <w:lang w:eastAsia="zh-CN"/>
              </w:rPr>
              <w:t>☑</w:t>
            </w:r>
            <w:r>
              <w:rPr>
                <w:color w:val="000000"/>
                <w:sz w:val="24"/>
                <w:szCs w:val="24"/>
              </w:rPr>
              <w:t>改建</w:t>
            </w:r>
          </w:p>
          <w:p w14:paraId="1D5CAE2F">
            <w:pPr>
              <w:spacing w:line="240" w:lineRule="auto"/>
              <w:jc w:val="left"/>
              <w:rPr>
                <w:color w:val="000000"/>
                <w:sz w:val="24"/>
                <w:szCs w:val="24"/>
              </w:rPr>
            </w:pPr>
            <w:r>
              <w:rPr>
                <w:rFonts w:hint="eastAsia"/>
                <w:color w:val="000000"/>
                <w:sz w:val="24"/>
                <w:szCs w:val="24"/>
                <w:lang w:eastAsia="zh-CN"/>
              </w:rPr>
              <w:t>□</w:t>
            </w:r>
            <w:r>
              <w:rPr>
                <w:color w:val="000000"/>
                <w:sz w:val="24"/>
                <w:szCs w:val="24"/>
              </w:rPr>
              <w:t>扩建</w:t>
            </w:r>
          </w:p>
          <w:p w14:paraId="198161AA">
            <w:pPr>
              <w:spacing w:line="240" w:lineRule="auto"/>
              <w:jc w:val="left"/>
              <w:rPr>
                <w:color w:val="000000"/>
                <w:sz w:val="24"/>
                <w:szCs w:val="24"/>
              </w:rPr>
            </w:pPr>
            <w:r>
              <w:rPr>
                <w:rFonts w:hint="eastAsia"/>
                <w:color w:val="000000"/>
                <w:sz w:val="24"/>
                <w:szCs w:val="24"/>
                <w:lang w:eastAsia="zh-CN"/>
              </w:rPr>
              <w:t>□</w:t>
            </w:r>
            <w:r>
              <w:rPr>
                <w:color w:val="000000"/>
                <w:sz w:val="24"/>
                <w:szCs w:val="24"/>
              </w:rPr>
              <w:t>技术改造</w:t>
            </w:r>
          </w:p>
        </w:tc>
        <w:tc>
          <w:tcPr>
            <w:tcW w:w="1891" w:type="dxa"/>
            <w:vAlign w:val="center"/>
          </w:tcPr>
          <w:p w14:paraId="3BB52D47">
            <w:pPr>
              <w:adjustRightInd w:val="0"/>
              <w:snapToGrid w:val="0"/>
              <w:spacing w:line="240" w:lineRule="auto"/>
              <w:jc w:val="center"/>
              <w:rPr>
                <w:color w:val="000000"/>
                <w:sz w:val="24"/>
                <w:szCs w:val="24"/>
              </w:rPr>
            </w:pPr>
            <w:r>
              <w:rPr>
                <w:color w:val="000000"/>
                <w:sz w:val="24"/>
                <w:szCs w:val="24"/>
              </w:rPr>
              <w:t>建设项目</w:t>
            </w:r>
          </w:p>
          <w:p w14:paraId="42EC28CA">
            <w:pPr>
              <w:adjustRightInd w:val="0"/>
              <w:snapToGrid w:val="0"/>
              <w:spacing w:line="240" w:lineRule="auto"/>
              <w:jc w:val="center"/>
              <w:rPr>
                <w:color w:val="000000"/>
                <w:sz w:val="24"/>
                <w:szCs w:val="24"/>
              </w:rPr>
            </w:pPr>
            <w:r>
              <w:rPr>
                <w:color w:val="000000"/>
                <w:sz w:val="24"/>
                <w:szCs w:val="24"/>
              </w:rPr>
              <w:t>申报情形</w:t>
            </w:r>
          </w:p>
        </w:tc>
        <w:tc>
          <w:tcPr>
            <w:tcW w:w="2909" w:type="dxa"/>
            <w:vAlign w:val="center"/>
          </w:tcPr>
          <w:p w14:paraId="19764C9B">
            <w:pPr>
              <w:spacing w:line="240" w:lineRule="auto"/>
              <w:jc w:val="left"/>
              <w:rPr>
                <w:color w:val="000000"/>
                <w:sz w:val="24"/>
                <w:szCs w:val="24"/>
              </w:rPr>
            </w:pPr>
            <w:r>
              <w:rPr>
                <w:rFonts w:hint="eastAsia"/>
                <w:color w:val="000000"/>
                <w:sz w:val="24"/>
                <w:szCs w:val="24"/>
                <w:lang w:eastAsia="zh-CN"/>
              </w:rPr>
              <w:t>☑</w:t>
            </w:r>
            <w:r>
              <w:rPr>
                <w:color w:val="000000"/>
                <w:sz w:val="24"/>
                <w:szCs w:val="24"/>
              </w:rPr>
              <w:t xml:space="preserve">首次申报项目             </w:t>
            </w:r>
          </w:p>
          <w:p w14:paraId="6EFAB9C1">
            <w:pPr>
              <w:spacing w:line="240" w:lineRule="auto"/>
              <w:jc w:val="left"/>
              <w:rPr>
                <w:color w:val="000000"/>
                <w:sz w:val="24"/>
                <w:szCs w:val="24"/>
              </w:rPr>
            </w:pPr>
            <w:r>
              <w:rPr>
                <w:rFonts w:hint="eastAsia"/>
                <w:color w:val="000000"/>
                <w:sz w:val="24"/>
                <w:szCs w:val="24"/>
                <w:lang w:eastAsia="zh-CN"/>
              </w:rPr>
              <w:t>□</w:t>
            </w:r>
            <w:r>
              <w:rPr>
                <w:color w:val="000000"/>
                <w:sz w:val="24"/>
                <w:szCs w:val="24"/>
              </w:rPr>
              <w:t>不予批准后再次申报项目</w:t>
            </w:r>
          </w:p>
          <w:p w14:paraId="29FBBED1">
            <w:pPr>
              <w:spacing w:line="240" w:lineRule="auto"/>
              <w:jc w:val="left"/>
              <w:rPr>
                <w:color w:val="000000"/>
                <w:sz w:val="24"/>
                <w:szCs w:val="24"/>
              </w:rPr>
            </w:pPr>
            <w:r>
              <w:rPr>
                <w:rFonts w:hint="eastAsia"/>
                <w:color w:val="000000"/>
                <w:sz w:val="24"/>
                <w:szCs w:val="24"/>
                <w:lang w:eastAsia="zh-CN"/>
              </w:rPr>
              <w:t>□</w:t>
            </w:r>
            <w:r>
              <w:rPr>
                <w:color w:val="000000"/>
                <w:sz w:val="24"/>
                <w:szCs w:val="24"/>
              </w:rPr>
              <w:t xml:space="preserve">超五年重新审核项目     </w:t>
            </w:r>
          </w:p>
          <w:p w14:paraId="54346458">
            <w:pPr>
              <w:spacing w:line="240" w:lineRule="auto"/>
              <w:jc w:val="left"/>
              <w:rPr>
                <w:color w:val="000000"/>
                <w:sz w:val="24"/>
                <w:szCs w:val="24"/>
              </w:rPr>
            </w:pPr>
            <w:r>
              <w:rPr>
                <w:rFonts w:hint="eastAsia"/>
                <w:color w:val="000000"/>
                <w:sz w:val="24"/>
                <w:szCs w:val="24"/>
                <w:lang w:eastAsia="zh-CN"/>
              </w:rPr>
              <w:t>□</w:t>
            </w:r>
            <w:r>
              <w:rPr>
                <w:color w:val="000000"/>
                <w:sz w:val="24"/>
                <w:szCs w:val="24"/>
              </w:rPr>
              <w:t>重大变动重新报批项目</w:t>
            </w:r>
          </w:p>
        </w:tc>
      </w:tr>
      <w:tr w14:paraId="3A52F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256C240B">
            <w:pPr>
              <w:adjustRightInd w:val="0"/>
              <w:snapToGrid w:val="0"/>
              <w:jc w:val="center"/>
              <w:rPr>
                <w:color w:val="000000"/>
                <w:sz w:val="24"/>
                <w:szCs w:val="24"/>
              </w:rPr>
            </w:pPr>
            <w:r>
              <w:rPr>
                <w:color w:val="000000"/>
                <w:sz w:val="24"/>
                <w:szCs w:val="24"/>
              </w:rPr>
              <w:t>项目审批（核准/</w:t>
            </w:r>
          </w:p>
          <w:p w14:paraId="5AD3B894">
            <w:pPr>
              <w:adjustRightInd w:val="0"/>
              <w:snapToGrid w:val="0"/>
              <w:jc w:val="center"/>
              <w:rPr>
                <w:color w:val="000000"/>
                <w:sz w:val="24"/>
                <w:szCs w:val="24"/>
              </w:rPr>
            </w:pPr>
            <w:r>
              <w:rPr>
                <w:color w:val="000000"/>
                <w:sz w:val="24"/>
                <w:szCs w:val="24"/>
              </w:rPr>
              <w:t>备案）部门（选填）</w:t>
            </w:r>
          </w:p>
        </w:tc>
        <w:tc>
          <w:tcPr>
            <w:tcW w:w="2238" w:type="dxa"/>
            <w:vAlign w:val="center"/>
          </w:tcPr>
          <w:p w14:paraId="1B18AB5C">
            <w:pPr>
              <w:adjustRightInd w:val="0"/>
              <w:snapToGrid w:val="0"/>
              <w:spacing w:line="500" w:lineRule="exact"/>
              <w:jc w:val="center"/>
              <w:rPr>
                <w:rFonts w:hint="default" w:eastAsia="宋体"/>
                <w:color w:val="000000"/>
                <w:sz w:val="24"/>
                <w:szCs w:val="24"/>
                <w:lang w:val="en-US" w:eastAsia="zh-CN"/>
              </w:rPr>
            </w:pPr>
            <w:r>
              <w:rPr>
                <w:rFonts w:hint="eastAsia"/>
                <w:color w:val="000000"/>
                <w:sz w:val="24"/>
                <w:szCs w:val="24"/>
                <w:lang w:val="en-US" w:eastAsia="zh-CN"/>
              </w:rPr>
              <w:t>祁阳市发展和改革局</w:t>
            </w:r>
          </w:p>
        </w:tc>
        <w:tc>
          <w:tcPr>
            <w:tcW w:w="1891" w:type="dxa"/>
            <w:vAlign w:val="center"/>
          </w:tcPr>
          <w:p w14:paraId="28CA9AA8">
            <w:pPr>
              <w:adjustRightInd w:val="0"/>
              <w:snapToGrid w:val="0"/>
              <w:spacing w:line="240" w:lineRule="auto"/>
              <w:jc w:val="center"/>
              <w:rPr>
                <w:color w:val="000000"/>
                <w:sz w:val="24"/>
                <w:szCs w:val="24"/>
              </w:rPr>
            </w:pPr>
            <w:r>
              <w:rPr>
                <w:color w:val="000000"/>
                <w:sz w:val="24"/>
                <w:szCs w:val="24"/>
              </w:rPr>
              <w:t>项目审批（核准/</w:t>
            </w:r>
          </w:p>
          <w:p w14:paraId="369C4726">
            <w:pPr>
              <w:adjustRightInd w:val="0"/>
              <w:snapToGrid w:val="0"/>
              <w:spacing w:line="240" w:lineRule="auto"/>
              <w:jc w:val="center"/>
              <w:rPr>
                <w:color w:val="000000"/>
                <w:sz w:val="24"/>
                <w:szCs w:val="24"/>
              </w:rPr>
            </w:pPr>
            <w:r>
              <w:rPr>
                <w:color w:val="000000"/>
                <w:sz w:val="24"/>
                <w:szCs w:val="24"/>
              </w:rPr>
              <w:t>备案）文号（选填）</w:t>
            </w:r>
          </w:p>
        </w:tc>
        <w:tc>
          <w:tcPr>
            <w:tcW w:w="2909" w:type="dxa"/>
            <w:vAlign w:val="center"/>
          </w:tcPr>
          <w:p w14:paraId="1DFFA058">
            <w:pPr>
              <w:adjustRightInd w:val="0"/>
              <w:snapToGrid w:val="0"/>
              <w:spacing w:line="240" w:lineRule="auto"/>
              <w:jc w:val="center"/>
              <w:rPr>
                <w:rFonts w:hint="default" w:eastAsia="宋体"/>
                <w:color w:val="000000"/>
                <w:sz w:val="24"/>
                <w:szCs w:val="24"/>
                <w:lang w:val="en-US" w:eastAsia="zh-CN"/>
              </w:rPr>
            </w:pPr>
            <w:r>
              <w:rPr>
                <w:rFonts w:hint="eastAsia"/>
                <w:color w:val="000000"/>
                <w:sz w:val="24"/>
                <w:szCs w:val="24"/>
                <w:lang w:val="en-US" w:eastAsia="zh-CN"/>
              </w:rPr>
              <w:t>祁发改基字【2024】82号</w:t>
            </w:r>
          </w:p>
        </w:tc>
      </w:tr>
      <w:tr w14:paraId="1056C7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3F46F7E3">
            <w:pPr>
              <w:adjustRightInd w:val="0"/>
              <w:snapToGrid w:val="0"/>
              <w:jc w:val="center"/>
              <w:rPr>
                <w:color w:val="000000"/>
                <w:sz w:val="24"/>
                <w:szCs w:val="24"/>
              </w:rPr>
            </w:pPr>
            <w:r>
              <w:rPr>
                <w:color w:val="000000"/>
                <w:sz w:val="24"/>
                <w:szCs w:val="24"/>
              </w:rPr>
              <w:t>总投资（万元）</w:t>
            </w:r>
          </w:p>
        </w:tc>
        <w:tc>
          <w:tcPr>
            <w:tcW w:w="2238" w:type="dxa"/>
            <w:vAlign w:val="center"/>
          </w:tcPr>
          <w:p w14:paraId="63440D3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sz w:val="24"/>
                <w:szCs w:val="24"/>
                <w:lang w:val="en-US" w:eastAsia="zh-CN"/>
              </w:rPr>
            </w:pPr>
            <w:r>
              <w:rPr>
                <w:rFonts w:hint="eastAsia"/>
                <w:color w:val="auto"/>
                <w:sz w:val="24"/>
                <w:szCs w:val="24"/>
                <w:lang w:val="en-US" w:eastAsia="zh-CN"/>
              </w:rPr>
              <w:t>4217.79</w:t>
            </w:r>
          </w:p>
        </w:tc>
        <w:tc>
          <w:tcPr>
            <w:tcW w:w="1891" w:type="dxa"/>
            <w:tcMar>
              <w:top w:w="16" w:type="dxa"/>
              <w:left w:w="16" w:type="dxa"/>
              <w:bottom w:w="0" w:type="dxa"/>
              <w:right w:w="16" w:type="dxa"/>
            </w:tcMar>
            <w:vAlign w:val="center"/>
          </w:tcPr>
          <w:p w14:paraId="7843DD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4"/>
                <w:szCs w:val="24"/>
                <w:highlight w:val="none"/>
              </w:rPr>
            </w:pPr>
            <w:r>
              <w:rPr>
                <w:color w:val="auto"/>
                <w:sz w:val="24"/>
                <w:szCs w:val="24"/>
                <w:highlight w:val="none"/>
              </w:rPr>
              <w:t>环保投资（万元）</w:t>
            </w:r>
          </w:p>
        </w:tc>
        <w:tc>
          <w:tcPr>
            <w:tcW w:w="2909" w:type="dxa"/>
            <w:vAlign w:val="center"/>
          </w:tcPr>
          <w:p w14:paraId="6E35FB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92.78</w:t>
            </w:r>
          </w:p>
        </w:tc>
      </w:tr>
      <w:tr w14:paraId="6DD0D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10DFC598">
            <w:pPr>
              <w:adjustRightInd w:val="0"/>
              <w:snapToGrid w:val="0"/>
              <w:jc w:val="center"/>
              <w:rPr>
                <w:color w:val="000000"/>
                <w:sz w:val="24"/>
                <w:szCs w:val="24"/>
              </w:rPr>
            </w:pPr>
            <w:r>
              <w:rPr>
                <w:color w:val="000000"/>
                <w:sz w:val="24"/>
                <w:szCs w:val="24"/>
              </w:rPr>
              <w:t>环保投资占比（%）</w:t>
            </w:r>
          </w:p>
        </w:tc>
        <w:tc>
          <w:tcPr>
            <w:tcW w:w="2238" w:type="dxa"/>
            <w:vAlign w:val="center"/>
          </w:tcPr>
          <w:p w14:paraId="69FE891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sz w:val="24"/>
                <w:szCs w:val="24"/>
                <w:lang w:val="en-US" w:eastAsia="zh-CN"/>
              </w:rPr>
            </w:pPr>
            <w:r>
              <w:rPr>
                <w:rFonts w:hint="eastAsia"/>
                <w:color w:val="auto"/>
                <w:sz w:val="24"/>
                <w:szCs w:val="24"/>
                <w:lang w:val="en-US" w:eastAsia="zh-CN"/>
              </w:rPr>
              <w:t>2.2</w:t>
            </w:r>
          </w:p>
        </w:tc>
        <w:tc>
          <w:tcPr>
            <w:tcW w:w="1891" w:type="dxa"/>
            <w:tcMar>
              <w:top w:w="16" w:type="dxa"/>
              <w:left w:w="16" w:type="dxa"/>
              <w:bottom w:w="0" w:type="dxa"/>
              <w:right w:w="16" w:type="dxa"/>
            </w:tcMar>
            <w:vAlign w:val="center"/>
          </w:tcPr>
          <w:p w14:paraId="0FA815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施工工期</w:t>
            </w:r>
          </w:p>
        </w:tc>
        <w:tc>
          <w:tcPr>
            <w:tcW w:w="2909" w:type="dxa"/>
            <w:vAlign w:val="center"/>
          </w:tcPr>
          <w:p w14:paraId="70B209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11</w:t>
            </w:r>
            <w:r>
              <w:rPr>
                <w:rFonts w:ascii="Times New Roman" w:hAnsi="Times New Roman" w:cs="Times New Roman"/>
                <w:color w:val="auto"/>
                <w:sz w:val="24"/>
                <w:szCs w:val="24"/>
                <w:highlight w:val="none"/>
              </w:rPr>
              <w:t>个月</w:t>
            </w:r>
          </w:p>
        </w:tc>
      </w:tr>
      <w:tr w14:paraId="01832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0E529349">
            <w:pPr>
              <w:adjustRightInd w:val="0"/>
              <w:snapToGrid w:val="0"/>
              <w:jc w:val="center"/>
              <w:rPr>
                <w:color w:val="000000"/>
                <w:sz w:val="24"/>
                <w:szCs w:val="24"/>
              </w:rPr>
            </w:pPr>
            <w:r>
              <w:rPr>
                <w:color w:val="000000"/>
                <w:sz w:val="24"/>
                <w:szCs w:val="24"/>
              </w:rPr>
              <w:t>是否开工建设</w:t>
            </w:r>
          </w:p>
        </w:tc>
        <w:tc>
          <w:tcPr>
            <w:tcW w:w="7038" w:type="dxa"/>
            <w:gridSpan w:val="3"/>
            <w:vAlign w:val="center"/>
          </w:tcPr>
          <w:p w14:paraId="24B0DB17">
            <w:pPr>
              <w:adjustRightInd w:val="0"/>
              <w:snapToGrid w:val="0"/>
              <w:ind w:firstLine="105"/>
              <w:jc w:val="left"/>
              <w:rPr>
                <w:color w:val="000000"/>
                <w:sz w:val="24"/>
                <w:szCs w:val="24"/>
              </w:rPr>
            </w:pPr>
            <w:r>
              <w:rPr>
                <w:rFonts w:hint="eastAsia"/>
                <w:color w:val="000000"/>
                <w:sz w:val="24"/>
                <w:szCs w:val="24"/>
                <w:lang w:eastAsia="zh-CN"/>
              </w:rPr>
              <w:t>☑</w:t>
            </w:r>
            <w:r>
              <w:rPr>
                <w:color w:val="000000"/>
                <w:sz w:val="24"/>
                <w:szCs w:val="24"/>
              </w:rPr>
              <w:t>否</w:t>
            </w:r>
          </w:p>
          <w:p w14:paraId="162EDC08">
            <w:pPr>
              <w:adjustRightInd w:val="0"/>
              <w:snapToGrid w:val="0"/>
              <w:ind w:firstLine="92"/>
              <w:jc w:val="left"/>
              <w:rPr>
                <w:color w:val="000000"/>
                <w:sz w:val="24"/>
                <w:szCs w:val="24"/>
              </w:rPr>
            </w:pPr>
            <w:r>
              <w:rPr>
                <w:rFonts w:hint="eastAsia"/>
                <w:color w:val="000000"/>
                <w:sz w:val="24"/>
                <w:szCs w:val="24"/>
                <w:lang w:eastAsia="zh-CN"/>
              </w:rPr>
              <w:t>□</w:t>
            </w:r>
            <w:r>
              <w:rPr>
                <w:color w:val="000000"/>
                <w:sz w:val="24"/>
                <w:szCs w:val="24"/>
              </w:rPr>
              <w:t>是：</w:t>
            </w:r>
            <w:r>
              <w:rPr>
                <w:color w:val="000000"/>
                <w:sz w:val="24"/>
                <w:szCs w:val="24"/>
                <w:u w:val="single"/>
              </w:rPr>
              <w:t xml:space="preserve">                             </w:t>
            </w:r>
          </w:p>
        </w:tc>
      </w:tr>
      <w:tr w14:paraId="494F74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53B519AB">
            <w:pPr>
              <w:autoSpaceDE w:val="0"/>
              <w:autoSpaceDN w:val="0"/>
              <w:adjustRightInd w:val="0"/>
              <w:snapToGrid w:val="0"/>
              <w:jc w:val="center"/>
              <w:rPr>
                <w:color w:val="000000"/>
                <w:kern w:val="0"/>
                <w:sz w:val="24"/>
                <w:szCs w:val="24"/>
              </w:rPr>
            </w:pPr>
            <w:r>
              <w:rPr>
                <w:color w:val="000000"/>
                <w:kern w:val="0"/>
                <w:sz w:val="24"/>
                <w:szCs w:val="24"/>
              </w:rPr>
              <w:t>专项评价设置情况</w:t>
            </w:r>
          </w:p>
        </w:tc>
        <w:tc>
          <w:tcPr>
            <w:tcW w:w="7038" w:type="dxa"/>
            <w:gridSpan w:val="3"/>
            <w:tcMar>
              <w:top w:w="16" w:type="dxa"/>
              <w:left w:w="16" w:type="dxa"/>
              <w:bottom w:w="0" w:type="dxa"/>
              <w:right w:w="16" w:type="dxa"/>
            </w:tcMar>
            <w:vAlign w:val="center"/>
          </w:tcPr>
          <w:p w14:paraId="06E74A1D">
            <w:pPr>
              <w:autoSpaceDE w:val="0"/>
              <w:autoSpaceDN w:val="0"/>
              <w:adjustRightInd w:val="0"/>
              <w:snapToGrid w:val="0"/>
              <w:jc w:val="center"/>
              <w:rPr>
                <w:color w:val="000000"/>
                <w:kern w:val="0"/>
                <w:sz w:val="24"/>
                <w:szCs w:val="24"/>
              </w:rPr>
            </w:pPr>
            <w:r>
              <w:rPr>
                <w:rFonts w:hint="eastAsia"/>
                <w:color w:val="000000"/>
                <w:kern w:val="0"/>
                <w:sz w:val="24"/>
                <w:szCs w:val="24"/>
              </w:rPr>
              <w:t>本项目无需设置专项评价。</w:t>
            </w:r>
          </w:p>
        </w:tc>
      </w:tr>
      <w:tr w14:paraId="1D674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35A1CC00">
            <w:pPr>
              <w:autoSpaceDE w:val="0"/>
              <w:autoSpaceDN w:val="0"/>
              <w:adjustRightInd w:val="0"/>
              <w:snapToGrid w:val="0"/>
              <w:jc w:val="center"/>
              <w:rPr>
                <w:color w:val="000000"/>
                <w:kern w:val="0"/>
                <w:sz w:val="24"/>
                <w:szCs w:val="24"/>
              </w:rPr>
            </w:pPr>
            <w:r>
              <w:rPr>
                <w:color w:val="000000"/>
                <w:sz w:val="24"/>
                <w:szCs w:val="24"/>
              </w:rPr>
              <w:t>规划情况</w:t>
            </w:r>
          </w:p>
        </w:tc>
        <w:tc>
          <w:tcPr>
            <w:tcW w:w="7038" w:type="dxa"/>
            <w:gridSpan w:val="3"/>
            <w:tcMar>
              <w:top w:w="16" w:type="dxa"/>
              <w:left w:w="16" w:type="dxa"/>
              <w:bottom w:w="0" w:type="dxa"/>
              <w:right w:w="16" w:type="dxa"/>
            </w:tcMar>
            <w:vAlign w:val="center"/>
          </w:tcPr>
          <w:p w14:paraId="66710FE3">
            <w:pPr>
              <w:adjustRightInd w:val="0"/>
              <w:snapToGrid w:val="0"/>
              <w:spacing w:line="480" w:lineRule="exact"/>
              <w:jc w:val="center"/>
              <w:rPr>
                <w:sz w:val="24"/>
                <w:szCs w:val="24"/>
              </w:rPr>
            </w:pPr>
            <w:r>
              <w:rPr>
                <w:rFonts w:hint="eastAsia"/>
                <w:color w:val="000000"/>
                <w:kern w:val="0"/>
                <w:sz w:val="24"/>
                <w:szCs w:val="24"/>
              </w:rPr>
              <w:t>无</w:t>
            </w:r>
          </w:p>
        </w:tc>
      </w:tr>
      <w:tr w14:paraId="048ED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315B0E00">
            <w:pPr>
              <w:autoSpaceDE w:val="0"/>
              <w:autoSpaceDN w:val="0"/>
              <w:adjustRightInd w:val="0"/>
              <w:snapToGrid w:val="0"/>
              <w:jc w:val="center"/>
              <w:rPr>
                <w:color w:val="000000"/>
                <w:sz w:val="24"/>
                <w:szCs w:val="24"/>
              </w:rPr>
            </w:pPr>
            <w:r>
              <w:rPr>
                <w:color w:val="000000"/>
                <w:sz w:val="24"/>
                <w:szCs w:val="24"/>
              </w:rPr>
              <w:t>规划环境影响</w:t>
            </w:r>
          </w:p>
          <w:p w14:paraId="0F9E0DC1">
            <w:pPr>
              <w:autoSpaceDE w:val="0"/>
              <w:autoSpaceDN w:val="0"/>
              <w:adjustRightInd w:val="0"/>
              <w:snapToGrid w:val="0"/>
              <w:jc w:val="center"/>
              <w:rPr>
                <w:color w:val="000000"/>
                <w:kern w:val="0"/>
                <w:sz w:val="24"/>
                <w:szCs w:val="24"/>
              </w:rPr>
            </w:pPr>
            <w:r>
              <w:rPr>
                <w:color w:val="000000"/>
                <w:sz w:val="24"/>
                <w:szCs w:val="24"/>
              </w:rPr>
              <w:t>评价情况</w:t>
            </w:r>
          </w:p>
        </w:tc>
        <w:tc>
          <w:tcPr>
            <w:tcW w:w="7038" w:type="dxa"/>
            <w:gridSpan w:val="3"/>
            <w:tcMar>
              <w:top w:w="16" w:type="dxa"/>
              <w:left w:w="16" w:type="dxa"/>
              <w:bottom w:w="0" w:type="dxa"/>
              <w:right w:w="16" w:type="dxa"/>
            </w:tcMar>
            <w:vAlign w:val="center"/>
          </w:tcPr>
          <w:p w14:paraId="52CE0A09">
            <w:pPr>
              <w:adjustRightInd w:val="0"/>
              <w:snapToGrid w:val="0"/>
              <w:spacing w:line="480" w:lineRule="exact"/>
              <w:jc w:val="center"/>
              <w:rPr>
                <w:color w:val="000000"/>
                <w:kern w:val="0"/>
                <w:sz w:val="24"/>
                <w:szCs w:val="24"/>
              </w:rPr>
            </w:pPr>
            <w:r>
              <w:rPr>
                <w:rFonts w:hint="eastAsia"/>
                <w:color w:val="000000"/>
                <w:kern w:val="0"/>
                <w:sz w:val="24"/>
                <w:szCs w:val="24"/>
              </w:rPr>
              <w:t>无</w:t>
            </w:r>
          </w:p>
        </w:tc>
      </w:tr>
      <w:tr w14:paraId="79EE38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1931" w:type="dxa"/>
            <w:tcMar>
              <w:top w:w="16" w:type="dxa"/>
              <w:left w:w="16" w:type="dxa"/>
              <w:bottom w:w="0" w:type="dxa"/>
              <w:right w:w="16" w:type="dxa"/>
            </w:tcMar>
            <w:vAlign w:val="center"/>
          </w:tcPr>
          <w:p w14:paraId="1AAD7B88">
            <w:pPr>
              <w:autoSpaceDE w:val="0"/>
              <w:autoSpaceDN w:val="0"/>
              <w:adjustRightInd w:val="0"/>
              <w:snapToGrid w:val="0"/>
              <w:jc w:val="center"/>
              <w:rPr>
                <w:color w:val="000000"/>
                <w:kern w:val="0"/>
                <w:sz w:val="24"/>
              </w:rPr>
            </w:pPr>
            <w:r>
              <w:rPr>
                <w:color w:val="000000"/>
                <w:kern w:val="0"/>
                <w:sz w:val="24"/>
              </w:rPr>
              <w:t>规划及</w:t>
            </w:r>
            <w:r>
              <w:rPr>
                <w:color w:val="000000"/>
                <w:sz w:val="24"/>
              </w:rPr>
              <w:t>规划环境影响评价</w:t>
            </w:r>
            <w:r>
              <w:rPr>
                <w:color w:val="000000"/>
                <w:kern w:val="0"/>
                <w:sz w:val="24"/>
              </w:rPr>
              <w:t>符合性分析</w:t>
            </w:r>
          </w:p>
        </w:tc>
        <w:tc>
          <w:tcPr>
            <w:tcW w:w="7038" w:type="dxa"/>
            <w:gridSpan w:val="3"/>
            <w:tcMar>
              <w:top w:w="16" w:type="dxa"/>
              <w:left w:w="16" w:type="dxa"/>
              <w:bottom w:w="0" w:type="dxa"/>
              <w:right w:w="16" w:type="dxa"/>
            </w:tcMar>
            <w:vAlign w:val="center"/>
          </w:tcPr>
          <w:p w14:paraId="7AC7306D">
            <w:pPr>
              <w:pStyle w:val="8"/>
              <w:ind w:left="0" w:leftChars="0" w:firstLine="0" w:firstLineChars="0"/>
              <w:jc w:val="center"/>
            </w:pPr>
            <w:r>
              <w:rPr>
                <w:rFonts w:hint="eastAsia"/>
                <w:color w:val="000000"/>
                <w:kern w:val="0"/>
                <w:sz w:val="24"/>
              </w:rPr>
              <w:t>无</w:t>
            </w:r>
          </w:p>
        </w:tc>
      </w:tr>
      <w:tr w14:paraId="007C9B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931" w:type="dxa"/>
            <w:tcMar>
              <w:top w:w="16" w:type="dxa"/>
              <w:left w:w="16" w:type="dxa"/>
              <w:bottom w:w="0" w:type="dxa"/>
              <w:right w:w="16" w:type="dxa"/>
            </w:tcMar>
            <w:vAlign w:val="center"/>
          </w:tcPr>
          <w:p w14:paraId="6632ADE6">
            <w:pPr>
              <w:autoSpaceDE w:val="0"/>
              <w:autoSpaceDN w:val="0"/>
              <w:adjustRightInd w:val="0"/>
              <w:snapToGrid w:val="0"/>
              <w:jc w:val="center"/>
              <w:rPr>
                <w:color w:val="000000"/>
                <w:kern w:val="0"/>
                <w:sz w:val="24"/>
              </w:rPr>
            </w:pPr>
            <w:bookmarkStart w:id="2" w:name="_Hlk56690880"/>
            <w:r>
              <w:rPr>
                <w:color w:val="000000"/>
                <w:kern w:val="0"/>
                <w:sz w:val="24"/>
              </w:rPr>
              <w:t>其他符合性分析</w:t>
            </w:r>
            <w:bookmarkEnd w:id="2"/>
          </w:p>
        </w:tc>
        <w:tc>
          <w:tcPr>
            <w:tcW w:w="7038" w:type="dxa"/>
            <w:gridSpan w:val="3"/>
            <w:tcMar>
              <w:top w:w="16" w:type="dxa"/>
              <w:left w:w="16" w:type="dxa"/>
              <w:bottom w:w="0" w:type="dxa"/>
              <w:right w:w="16" w:type="dxa"/>
            </w:tcMar>
            <w:vAlign w:val="center"/>
          </w:tcPr>
          <w:p w14:paraId="04AB9D21">
            <w:pPr>
              <w:adjustRightInd w:val="0"/>
              <w:snapToGrid w:val="0"/>
              <w:spacing w:line="360" w:lineRule="auto"/>
              <w:ind w:firstLine="482" w:firstLineChars="200"/>
              <w:jc w:val="left"/>
              <w:rPr>
                <w:rFonts w:hint="eastAsia"/>
                <w:b/>
                <w:bCs/>
                <w:sz w:val="24"/>
                <w:szCs w:val="24"/>
                <w:lang w:eastAsia="zh-CN"/>
              </w:rPr>
            </w:pPr>
            <w:r>
              <w:rPr>
                <w:rFonts w:hint="eastAsia"/>
                <w:b/>
                <w:bCs/>
                <w:sz w:val="24"/>
                <w:szCs w:val="24"/>
                <w:lang w:val="en-US" w:eastAsia="zh-CN"/>
              </w:rPr>
              <w:t>一</w:t>
            </w:r>
            <w:r>
              <w:rPr>
                <w:b/>
                <w:bCs/>
                <w:sz w:val="24"/>
                <w:szCs w:val="24"/>
              </w:rPr>
              <w:t>、</w:t>
            </w:r>
            <w:r>
              <w:rPr>
                <w:rFonts w:hint="eastAsia"/>
                <w:b/>
                <w:bCs/>
                <w:sz w:val="24"/>
                <w:szCs w:val="24"/>
                <w:lang w:val="en-US" w:eastAsia="zh-CN"/>
              </w:rPr>
              <w:t>分区管控</w:t>
            </w:r>
            <w:r>
              <w:rPr>
                <w:rFonts w:hint="eastAsia"/>
                <w:b/>
                <w:bCs/>
                <w:sz w:val="24"/>
                <w:szCs w:val="24"/>
                <w:lang w:eastAsia="zh-CN"/>
              </w:rPr>
              <w:t>符合性分析</w:t>
            </w:r>
          </w:p>
          <w:p w14:paraId="31F62837">
            <w:pPr>
              <w:spacing w:line="360" w:lineRule="auto"/>
              <w:ind w:firstLine="480" w:firstLineChars="200"/>
              <w:rPr>
                <w:sz w:val="24"/>
                <w:szCs w:val="24"/>
              </w:rPr>
            </w:pPr>
            <w:r>
              <w:rPr>
                <w:sz w:val="24"/>
                <w:szCs w:val="24"/>
              </w:rPr>
              <w:t>①环境质量底线</w:t>
            </w:r>
          </w:p>
          <w:p w14:paraId="1A5A790A">
            <w:pPr>
              <w:spacing w:line="360" w:lineRule="auto"/>
              <w:ind w:firstLine="480" w:firstLineChars="200"/>
              <w:rPr>
                <w:sz w:val="24"/>
                <w:szCs w:val="24"/>
              </w:rPr>
            </w:pPr>
            <w:r>
              <w:rPr>
                <w:sz w:val="24"/>
                <w:szCs w:val="24"/>
              </w:rPr>
              <w:t>根据引用的环境状况公报中的数据，项目区域环境空气质量达到《环境空气质量标准》（GB3095―20</w:t>
            </w:r>
            <w:r>
              <w:rPr>
                <w:rFonts w:hint="eastAsia"/>
                <w:sz w:val="24"/>
                <w:szCs w:val="24"/>
                <w:lang w:val="en-US" w:eastAsia="zh-CN"/>
              </w:rPr>
              <w:t>26</w:t>
            </w:r>
            <w:r>
              <w:rPr>
                <w:sz w:val="24"/>
                <w:szCs w:val="24"/>
              </w:rPr>
              <w:t>）</w:t>
            </w:r>
            <w:r>
              <w:rPr>
                <w:rFonts w:hint="eastAsia"/>
                <w:sz w:val="24"/>
                <w:szCs w:val="24"/>
                <w:lang w:val="en-US" w:eastAsia="zh-CN"/>
              </w:rPr>
              <w:t>中</w:t>
            </w:r>
            <w:r>
              <w:rPr>
                <w:sz w:val="24"/>
                <w:szCs w:val="24"/>
              </w:rPr>
              <w:t>二级标准</w:t>
            </w:r>
            <w:r>
              <w:rPr>
                <w:rFonts w:hint="eastAsia"/>
                <w:sz w:val="24"/>
                <w:szCs w:val="24"/>
              </w:rPr>
              <w:t>；</w:t>
            </w:r>
            <w:r>
              <w:rPr>
                <w:rFonts w:hint="eastAsia"/>
                <w:sz w:val="24"/>
                <w:szCs w:val="24"/>
                <w:lang w:eastAsia="zh-CN"/>
              </w:rPr>
              <w:t>地表水</w:t>
            </w:r>
            <w:r>
              <w:rPr>
                <w:sz w:val="24"/>
                <w:szCs w:val="24"/>
              </w:rPr>
              <w:t>达到《地表水环境质量标准》（GB3838―2002）</w:t>
            </w:r>
            <w:r>
              <w:rPr>
                <w:rFonts w:hint="eastAsia" w:ascii="Times New Roman" w:hAnsi="Times New Roman" w:eastAsia="宋体" w:cs="Times New Roman"/>
                <w:spacing w:val="0"/>
                <w:sz w:val="24"/>
                <w:szCs w:val="24"/>
                <w:u w:val="none"/>
              </w:rPr>
              <w:t>Ⅲ</w:t>
            </w:r>
            <w:r>
              <w:rPr>
                <w:sz w:val="24"/>
                <w:szCs w:val="24"/>
              </w:rPr>
              <w:t>类标准</w:t>
            </w:r>
            <w:r>
              <w:rPr>
                <w:rFonts w:hint="eastAsia"/>
                <w:sz w:val="24"/>
                <w:szCs w:val="24"/>
              </w:rPr>
              <w:t>；</w:t>
            </w:r>
            <w:r>
              <w:rPr>
                <w:sz w:val="24"/>
                <w:szCs w:val="24"/>
              </w:rPr>
              <w:t>周边声环境达到《声环境质量标准》（GB 3096-2008）</w:t>
            </w:r>
            <w:r>
              <w:rPr>
                <w:rFonts w:hint="eastAsia"/>
                <w:sz w:val="24"/>
                <w:szCs w:val="24"/>
                <w:lang w:val="en-US" w:eastAsia="zh-CN"/>
              </w:rPr>
              <w:t>2类</w:t>
            </w:r>
            <w:r>
              <w:rPr>
                <w:sz w:val="24"/>
                <w:szCs w:val="24"/>
              </w:rPr>
              <w:t>标准</w:t>
            </w:r>
            <w:r>
              <w:rPr>
                <w:rFonts w:hint="eastAsia"/>
                <w:sz w:val="24"/>
                <w:szCs w:val="24"/>
              </w:rPr>
              <w:t>。</w:t>
            </w:r>
          </w:p>
          <w:p w14:paraId="39182D97">
            <w:pPr>
              <w:spacing w:line="360" w:lineRule="auto"/>
              <w:ind w:firstLine="480" w:firstLineChars="200"/>
              <w:rPr>
                <w:sz w:val="24"/>
                <w:szCs w:val="24"/>
              </w:rPr>
            </w:pPr>
            <w:r>
              <w:rPr>
                <w:rFonts w:hint="eastAsia" w:ascii="Times New Roman" w:hAnsi="Times New Roman" w:eastAsia="宋体" w:cs="Times New Roman"/>
                <w:spacing w:val="0"/>
                <w:sz w:val="24"/>
                <w:szCs w:val="24"/>
                <w:u w:val="none"/>
              </w:rPr>
              <w:t>在采取相应的污染防治措施后，本项目各类污染物达标排放，不会对周边环境造成不良影响，即不会改变区域环境功能区质量要求，因此本项目选址与现有环境质量是相容的</w:t>
            </w:r>
            <w:r>
              <w:rPr>
                <w:rFonts w:hint="eastAsia"/>
                <w:sz w:val="24"/>
                <w:szCs w:val="24"/>
              </w:rPr>
              <w:t>。本项目建设过程对大气和声环境造成短暂影响，随着施工结束而结束，项目建设不会对区域大气和声环境造成影响。因此，符合环境质量底线要求</w:t>
            </w:r>
            <w:r>
              <w:rPr>
                <w:sz w:val="24"/>
                <w:szCs w:val="24"/>
              </w:rPr>
              <w:t>。</w:t>
            </w:r>
          </w:p>
          <w:p w14:paraId="38E2AB3C">
            <w:pPr>
              <w:autoSpaceDE w:val="0"/>
              <w:autoSpaceDN w:val="0"/>
              <w:adjustRightInd w:val="0"/>
              <w:snapToGrid w:val="0"/>
              <w:spacing w:line="360" w:lineRule="auto"/>
              <w:ind w:firstLine="480" w:firstLineChars="200"/>
              <w:rPr>
                <w:sz w:val="24"/>
                <w:szCs w:val="24"/>
              </w:rPr>
            </w:pPr>
            <w:r>
              <w:rPr>
                <w:sz w:val="24"/>
                <w:szCs w:val="24"/>
              </w:rPr>
              <w:t>②资源利用上线</w:t>
            </w:r>
          </w:p>
          <w:p w14:paraId="6D4972F7">
            <w:pPr>
              <w:spacing w:before="3" w:line="360" w:lineRule="auto"/>
              <w:ind w:right="86" w:firstLine="496" w:firstLineChars="200"/>
              <w:jc w:val="both"/>
              <w:rPr>
                <w:rFonts w:ascii="Times New Roman" w:hAnsi="Times New Roman" w:eastAsia="宋体" w:cs="Times New Roman"/>
                <w:spacing w:val="4"/>
                <w:sz w:val="24"/>
                <w:szCs w:val="24"/>
                <w:u w:val="none"/>
              </w:rPr>
            </w:pPr>
            <w:r>
              <w:rPr>
                <w:rFonts w:hint="eastAsia" w:ascii="Times New Roman" w:hAnsi="Times New Roman" w:eastAsia="宋体" w:cs="Times New Roman"/>
                <w:spacing w:val="4"/>
                <w:sz w:val="24"/>
                <w:szCs w:val="24"/>
                <w:u w:val="none"/>
              </w:rPr>
              <w:t>资源是环境的载体，资源利用上线是各地区能源、水、土地等资源消耗不得突破的“天花板”。相关规划环评应依据有关资源利用上线，对规划实施以及规划内项目的资源开发利用，区分不同行业，从能源资源开发等量或减量替代、开采方式和规模控制、利用效率和防护措施等方面提出建议，为规划编制和审批决策提供重要依据。</w:t>
            </w:r>
          </w:p>
          <w:p w14:paraId="13B36C42">
            <w:pPr>
              <w:spacing w:line="360" w:lineRule="auto"/>
              <w:ind w:firstLine="496" w:firstLineChars="200"/>
              <w:rPr>
                <w:rFonts w:hint="eastAsia"/>
                <w:sz w:val="24"/>
                <w:szCs w:val="24"/>
              </w:rPr>
            </w:pPr>
            <w:r>
              <w:rPr>
                <w:rFonts w:hint="eastAsia" w:ascii="Times New Roman" w:hAnsi="Times New Roman" w:eastAsia="宋体" w:cs="Times New Roman"/>
                <w:spacing w:val="4"/>
                <w:sz w:val="24"/>
                <w:szCs w:val="24"/>
                <w:u w:val="none"/>
              </w:rPr>
              <w:t>项目采用</w:t>
            </w:r>
            <w:r>
              <w:rPr>
                <w:rFonts w:hint="eastAsia" w:ascii="Times New Roman" w:hAnsi="Times New Roman" w:eastAsia="宋体" w:cs="Times New Roman"/>
                <w:spacing w:val="4"/>
                <w:sz w:val="24"/>
                <w:szCs w:val="24"/>
                <w:u w:val="none"/>
                <w:lang w:val="en-US" w:eastAsia="zh-CN"/>
              </w:rPr>
              <w:t>河道</w:t>
            </w:r>
            <w:r>
              <w:rPr>
                <w:rFonts w:hint="eastAsia" w:ascii="Times New Roman" w:hAnsi="Times New Roman" w:eastAsia="宋体" w:cs="Times New Roman"/>
                <w:spacing w:val="4"/>
                <w:sz w:val="24"/>
                <w:szCs w:val="24"/>
                <w:u w:val="none"/>
              </w:rPr>
              <w:t>供水，</w:t>
            </w:r>
            <w:r>
              <w:rPr>
                <w:rFonts w:hint="eastAsia" w:ascii="Times New Roman" w:hAnsi="Times New Roman" w:eastAsia="宋体" w:cs="Times New Roman"/>
                <w:spacing w:val="4"/>
                <w:sz w:val="24"/>
                <w:szCs w:val="24"/>
                <w:u w:val="none"/>
                <w:lang w:val="en-US" w:eastAsia="zh-CN"/>
              </w:rPr>
              <w:t>乡镇</w:t>
            </w:r>
            <w:r>
              <w:rPr>
                <w:rFonts w:hint="eastAsia" w:ascii="Times New Roman" w:hAnsi="Times New Roman" w:eastAsia="宋体" w:cs="Times New Roman"/>
                <w:spacing w:val="4"/>
                <w:sz w:val="24"/>
                <w:szCs w:val="24"/>
                <w:u w:val="none"/>
              </w:rPr>
              <w:t>供电。营运过程尽可能做到合理利用和节约能耗，最大限度地减少物耗、能耗，不会突破区域资源利用上限</w:t>
            </w:r>
            <w:r>
              <w:rPr>
                <w:rFonts w:hint="eastAsia"/>
                <w:sz w:val="24"/>
                <w:szCs w:val="24"/>
              </w:rPr>
              <w:t>。</w:t>
            </w:r>
          </w:p>
          <w:p w14:paraId="31E5E5B2">
            <w:pPr>
              <w:spacing w:line="360" w:lineRule="auto"/>
              <w:ind w:firstLine="480" w:firstLineChars="200"/>
              <w:rPr>
                <w:rFonts w:hint="eastAsia"/>
                <w:sz w:val="24"/>
                <w:szCs w:val="24"/>
              </w:rPr>
            </w:pPr>
            <w:r>
              <w:rPr>
                <w:rFonts w:hint="eastAsia"/>
                <w:sz w:val="24"/>
                <w:szCs w:val="24"/>
              </w:rPr>
              <w:t>③生态保护红线</w:t>
            </w:r>
          </w:p>
          <w:p w14:paraId="466114F4">
            <w:pPr>
              <w:spacing w:before="3" w:line="360" w:lineRule="auto"/>
              <w:ind w:right="86" w:firstLine="480" w:firstLineChars="200"/>
              <w:jc w:val="both"/>
              <w:rPr>
                <w:rFonts w:ascii="Times New Roman" w:hAnsi="Times New Roman" w:eastAsia="宋体" w:cs="Times New Roman"/>
                <w:spacing w:val="4"/>
                <w:sz w:val="24"/>
                <w:szCs w:val="24"/>
                <w:u w:val="none"/>
              </w:rPr>
            </w:pPr>
            <w:r>
              <w:rPr>
                <w:rFonts w:hint="eastAsia" w:ascii="Times New Roman" w:hAnsi="Times New Roman" w:eastAsia="宋体" w:cs="Times New Roman"/>
                <w:spacing w:val="0"/>
                <w:sz w:val="24"/>
                <w:szCs w:val="24"/>
                <w:u w:val="none"/>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w:t>
            </w:r>
            <w:r>
              <w:rPr>
                <w:rFonts w:hint="eastAsia" w:ascii="Times New Roman" w:hAnsi="Times New Roman" w:eastAsia="宋体" w:cs="Times New Roman"/>
                <w:spacing w:val="0"/>
                <w:sz w:val="24"/>
                <w:szCs w:val="24"/>
                <w:u w:val="none"/>
                <w:lang w:val="en-US" w:eastAsia="zh-CN"/>
              </w:rPr>
              <w:t>基础</w:t>
            </w:r>
            <w:r>
              <w:rPr>
                <w:rFonts w:hint="eastAsia" w:ascii="Times New Roman" w:hAnsi="Times New Roman" w:eastAsia="宋体" w:cs="Times New Roman"/>
                <w:spacing w:val="0"/>
                <w:sz w:val="24"/>
                <w:szCs w:val="24"/>
                <w:u w:val="none"/>
              </w:rPr>
              <w:t>设施项目外，在生态保护红线范围内，严控各类开发建设活动，依法不予审批技改工业项目和矿产开发项目的环评文件</w:t>
            </w:r>
            <w:r>
              <w:rPr>
                <w:rFonts w:hint="eastAsia" w:ascii="Times New Roman" w:hAnsi="Times New Roman" w:eastAsia="宋体" w:cs="Times New Roman"/>
                <w:spacing w:val="4"/>
                <w:sz w:val="24"/>
                <w:szCs w:val="24"/>
                <w:u w:val="none"/>
              </w:rPr>
              <w:t>。</w:t>
            </w:r>
          </w:p>
          <w:p w14:paraId="7A283488">
            <w:pPr>
              <w:spacing w:line="360" w:lineRule="auto"/>
              <w:ind w:firstLine="480" w:firstLineChars="200"/>
              <w:rPr>
                <w:rFonts w:hint="eastAsia"/>
                <w:sz w:val="24"/>
                <w:szCs w:val="24"/>
              </w:rPr>
            </w:pPr>
            <w:r>
              <w:rPr>
                <w:rFonts w:hint="eastAsia" w:ascii="Times New Roman" w:hAnsi="Times New Roman" w:eastAsia="宋体" w:cs="Times New Roman"/>
                <w:spacing w:val="0"/>
                <w:sz w:val="24"/>
                <w:szCs w:val="24"/>
                <w:u w:val="none"/>
              </w:rPr>
              <w:t>本项目建设于</w:t>
            </w:r>
            <w:r>
              <w:rPr>
                <w:rFonts w:hint="eastAsia" w:ascii="Times New Roman" w:hAnsi="Times New Roman" w:eastAsia="宋体" w:cs="Times New Roman"/>
                <w:color w:val="auto"/>
                <w:spacing w:val="0"/>
                <w:sz w:val="24"/>
                <w:szCs w:val="24"/>
                <w:u w:val="none"/>
              </w:rPr>
              <w:t>湖南省永州市</w:t>
            </w:r>
            <w:r>
              <w:rPr>
                <w:rFonts w:hint="eastAsia" w:ascii="Times New Roman" w:hAnsi="Times New Roman" w:eastAsia="宋体" w:cs="Times New Roman"/>
                <w:color w:val="auto"/>
                <w:spacing w:val="0"/>
                <w:sz w:val="24"/>
                <w:szCs w:val="24"/>
                <w:u w:val="none"/>
                <w:lang w:val="en-US" w:eastAsia="zh-CN"/>
              </w:rPr>
              <w:t>祁阳市黎家坪镇，属于拦河闸除险加固</w:t>
            </w:r>
            <w:r>
              <w:rPr>
                <w:rFonts w:hint="eastAsia" w:ascii="Times New Roman" w:hAnsi="Times New Roman" w:eastAsia="宋体" w:cs="Times New Roman"/>
                <w:spacing w:val="0"/>
                <w:sz w:val="24"/>
                <w:szCs w:val="24"/>
                <w:u w:val="none"/>
              </w:rPr>
              <w:t>项目</w:t>
            </w:r>
            <w:r>
              <w:rPr>
                <w:rFonts w:hint="eastAsia" w:ascii="Times New Roman" w:hAnsi="Times New Roman" w:eastAsia="宋体" w:cs="Times New Roman"/>
                <w:color w:val="auto"/>
                <w:spacing w:val="0"/>
                <w:sz w:val="24"/>
                <w:szCs w:val="24"/>
                <w:u w:val="none"/>
              </w:rPr>
              <w:t>。根</w:t>
            </w:r>
            <w:r>
              <w:rPr>
                <w:rFonts w:hint="eastAsia" w:ascii="Times New Roman" w:hAnsi="Times New Roman" w:eastAsia="宋体" w:cs="Times New Roman"/>
                <w:spacing w:val="0"/>
                <w:sz w:val="24"/>
                <w:szCs w:val="24"/>
                <w:u w:val="none"/>
              </w:rPr>
              <w:t>据《湖南省人民政府关于发布&lt;湖南省生态保护红线&gt;的通知》及永州市生态保护红线最终成果，并将工程</w:t>
            </w:r>
            <w:r>
              <w:rPr>
                <w:rFonts w:hint="eastAsia" w:ascii="Times New Roman" w:hAnsi="Times New Roman" w:eastAsia="宋体" w:cs="Times New Roman"/>
                <w:spacing w:val="0"/>
                <w:sz w:val="24"/>
                <w:szCs w:val="24"/>
                <w:u w:val="none"/>
                <w:lang w:val="en-US" w:eastAsia="zh-CN"/>
              </w:rPr>
              <w:t>用地红线</w:t>
            </w:r>
            <w:r>
              <w:rPr>
                <w:rFonts w:hint="eastAsia" w:ascii="Times New Roman" w:hAnsi="Times New Roman" w:eastAsia="宋体" w:cs="Times New Roman"/>
                <w:spacing w:val="0"/>
                <w:sz w:val="24"/>
                <w:szCs w:val="24"/>
                <w:u w:val="none"/>
              </w:rPr>
              <w:t>与生态保护红线范围核对，本工程占地不在生态红线范围内，满足生态保护红线要求</w:t>
            </w:r>
            <w:r>
              <w:rPr>
                <w:rFonts w:hint="eastAsia"/>
                <w:sz w:val="24"/>
                <w:szCs w:val="24"/>
              </w:rPr>
              <w:t>。</w:t>
            </w:r>
          </w:p>
          <w:p w14:paraId="40FADAC7">
            <w:pPr>
              <w:spacing w:line="360" w:lineRule="auto"/>
              <w:ind w:firstLine="480" w:firstLineChars="200"/>
              <w:rPr>
                <w:rFonts w:hint="eastAsia"/>
                <w:sz w:val="24"/>
                <w:szCs w:val="24"/>
                <w:u w:val="none"/>
              </w:rPr>
            </w:pPr>
            <w:r>
              <w:rPr>
                <w:rFonts w:hint="eastAsia"/>
                <w:sz w:val="24"/>
                <w:szCs w:val="24"/>
                <w:u w:val="none"/>
                <w:lang w:val="en-US" w:eastAsia="zh-CN"/>
              </w:rPr>
              <w:t>④</w:t>
            </w:r>
            <w:r>
              <w:rPr>
                <w:rFonts w:hint="eastAsia"/>
                <w:sz w:val="24"/>
                <w:szCs w:val="24"/>
                <w:u w:val="none"/>
              </w:rPr>
              <w:t>与《永州市生态环境分区管控更新成果（2023版）》相符性分析</w:t>
            </w:r>
          </w:p>
          <w:p w14:paraId="561EE26F">
            <w:pPr>
              <w:adjustRightInd w:val="0"/>
              <w:snapToGrid w:val="0"/>
              <w:spacing w:line="480" w:lineRule="exact"/>
              <w:ind w:firstLine="480" w:firstLineChars="200"/>
              <w:jc w:val="both"/>
              <w:rPr>
                <w:rFonts w:hint="default" w:ascii="Times New Roman" w:hAnsi="Times New Roman" w:eastAsia="宋体" w:cs="Times New Roman"/>
                <w:color w:val="auto"/>
                <w:kern w:val="0"/>
                <w:sz w:val="24"/>
                <w:szCs w:val="24"/>
                <w:u w:val="none"/>
                <w:lang w:eastAsia="zh-CN"/>
              </w:rPr>
            </w:pPr>
            <w:r>
              <w:rPr>
                <w:rFonts w:hint="default" w:ascii="Times New Roman" w:hAnsi="Times New Roman" w:cs="Times New Roman"/>
                <w:color w:val="auto"/>
                <w:sz w:val="24"/>
                <w:szCs w:val="24"/>
                <w:highlight w:val="none"/>
                <w:u w:val="none"/>
              </w:rPr>
              <w:t>对照</w:t>
            </w:r>
            <w:r>
              <w:rPr>
                <w:rFonts w:hint="eastAsia" w:ascii="Times New Roman" w:hAnsi="Times New Roman" w:cs="Times New Roman"/>
                <w:color w:val="auto"/>
                <w:sz w:val="24"/>
                <w:szCs w:val="24"/>
                <w:highlight w:val="none"/>
                <w:u w:val="none"/>
                <w:lang w:eastAsia="zh-CN"/>
              </w:rPr>
              <w:t>永州</w:t>
            </w:r>
            <w:r>
              <w:rPr>
                <w:rFonts w:hint="default" w:ascii="Times New Roman" w:hAnsi="Times New Roman" w:cs="Times New Roman"/>
                <w:color w:val="auto"/>
                <w:sz w:val="24"/>
                <w:szCs w:val="24"/>
                <w:highlight w:val="none"/>
                <w:u w:val="none"/>
              </w:rPr>
              <w:t>市</w:t>
            </w:r>
            <w:r>
              <w:rPr>
                <w:rFonts w:hint="eastAsia" w:ascii="Times New Roman" w:hAnsi="Times New Roman" w:cs="Times New Roman"/>
                <w:color w:val="auto"/>
                <w:sz w:val="24"/>
                <w:szCs w:val="24"/>
                <w:highlight w:val="none"/>
                <w:u w:val="none"/>
                <w:lang w:val="en-US" w:eastAsia="zh-CN"/>
              </w:rPr>
              <w:t>生态环境局关于</w:t>
            </w:r>
            <w:r>
              <w:rPr>
                <w:rFonts w:hint="default" w:ascii="Times New Roman" w:hAnsi="Times New Roman" w:cs="Times New Roman"/>
                <w:color w:val="auto"/>
                <w:sz w:val="24"/>
                <w:szCs w:val="24"/>
                <w:highlight w:val="none"/>
                <w:u w:val="none"/>
              </w:rPr>
              <w:t>发布《</w:t>
            </w:r>
            <w:r>
              <w:rPr>
                <w:rFonts w:hint="eastAsia" w:ascii="Times New Roman" w:hAnsi="Times New Roman" w:cs="Times New Roman"/>
                <w:color w:val="auto"/>
                <w:sz w:val="24"/>
                <w:szCs w:val="24"/>
                <w:highlight w:val="none"/>
                <w:u w:val="none"/>
                <w:lang w:eastAsia="zh-CN"/>
              </w:rPr>
              <w:t>永州</w:t>
            </w:r>
            <w:r>
              <w:rPr>
                <w:rFonts w:hint="default" w:ascii="Times New Roman" w:hAnsi="Times New Roman" w:cs="Times New Roman"/>
                <w:color w:val="auto"/>
                <w:sz w:val="24"/>
                <w:szCs w:val="24"/>
                <w:highlight w:val="none"/>
                <w:u w:val="none"/>
              </w:rPr>
              <w:t>市生态环境</w:t>
            </w:r>
            <w:r>
              <w:rPr>
                <w:rFonts w:hint="eastAsia" w:ascii="Times New Roman" w:hAnsi="Times New Roman" w:cs="Times New Roman"/>
                <w:color w:val="auto"/>
                <w:sz w:val="24"/>
                <w:szCs w:val="24"/>
                <w:highlight w:val="none"/>
                <w:u w:val="none"/>
                <w:lang w:val="en-US" w:eastAsia="zh-CN"/>
              </w:rPr>
              <w:t>分区</w:t>
            </w:r>
            <w:r>
              <w:rPr>
                <w:rFonts w:hint="default" w:ascii="Times New Roman" w:hAnsi="Times New Roman" w:cs="Times New Roman"/>
                <w:color w:val="auto"/>
                <w:sz w:val="24"/>
                <w:szCs w:val="24"/>
                <w:highlight w:val="none"/>
                <w:u w:val="none"/>
              </w:rPr>
              <w:t>管控更新成果（2023版）》的通知</w:t>
            </w:r>
            <w:r>
              <w:rPr>
                <w:rFonts w:hint="eastAsia" w:ascii="Times New Roman" w:hAnsi="Times New Roman" w:cs="Times New Roman"/>
                <w:color w:val="auto"/>
                <w:kern w:val="0"/>
                <w:sz w:val="24"/>
                <w:szCs w:val="24"/>
                <w:u w:val="none"/>
                <w:lang w:eastAsia="zh-CN"/>
              </w:rPr>
              <w:t>（</w:t>
            </w:r>
            <w:r>
              <w:rPr>
                <w:rFonts w:hint="eastAsia"/>
                <w:sz w:val="24"/>
                <w:szCs w:val="24"/>
                <w:u w:val="none"/>
              </w:rPr>
              <w:t>永</w:t>
            </w:r>
            <w:r>
              <w:rPr>
                <w:rFonts w:hint="eastAsia"/>
                <w:sz w:val="24"/>
                <w:szCs w:val="24"/>
                <w:u w:val="none"/>
                <w:lang w:val="en-US" w:eastAsia="zh-CN"/>
              </w:rPr>
              <w:t>环</w:t>
            </w:r>
            <w:r>
              <w:rPr>
                <w:rFonts w:hint="eastAsia"/>
                <w:sz w:val="24"/>
                <w:szCs w:val="24"/>
                <w:u w:val="none"/>
              </w:rPr>
              <w:t>发〔202</w:t>
            </w:r>
            <w:r>
              <w:rPr>
                <w:rFonts w:hint="eastAsia"/>
                <w:sz w:val="24"/>
                <w:szCs w:val="24"/>
                <w:u w:val="none"/>
                <w:lang w:val="en-US" w:eastAsia="zh-CN"/>
              </w:rPr>
              <w:t>4</w:t>
            </w:r>
            <w:r>
              <w:rPr>
                <w:rFonts w:hint="eastAsia"/>
                <w:sz w:val="24"/>
                <w:szCs w:val="24"/>
                <w:u w:val="none"/>
              </w:rPr>
              <w:t>〕</w:t>
            </w:r>
            <w:r>
              <w:rPr>
                <w:rFonts w:hint="eastAsia"/>
                <w:sz w:val="24"/>
                <w:szCs w:val="24"/>
                <w:u w:val="none"/>
                <w:lang w:val="en-US" w:eastAsia="zh-CN"/>
              </w:rPr>
              <w:t>3</w:t>
            </w:r>
            <w:r>
              <w:rPr>
                <w:rFonts w:hint="eastAsia"/>
                <w:sz w:val="24"/>
                <w:szCs w:val="24"/>
                <w:u w:val="none"/>
              </w:rPr>
              <w:t>1号</w:t>
            </w:r>
            <w:r>
              <w:rPr>
                <w:rFonts w:hint="eastAsia" w:ascii="Times New Roman" w:hAnsi="Times New Roman" w:cs="Times New Roman"/>
                <w:color w:val="auto"/>
                <w:kern w:val="0"/>
                <w:sz w:val="24"/>
                <w:szCs w:val="24"/>
                <w:u w:val="none"/>
                <w:lang w:eastAsia="zh-CN"/>
              </w:rPr>
              <w:t>）</w:t>
            </w:r>
            <w:r>
              <w:rPr>
                <w:rFonts w:hint="default" w:ascii="Times New Roman" w:hAnsi="Times New Roman" w:cs="Times New Roman"/>
                <w:color w:val="auto"/>
                <w:kern w:val="0"/>
                <w:sz w:val="24"/>
                <w:szCs w:val="24"/>
                <w:u w:val="none"/>
              </w:rPr>
              <w:t>，</w:t>
            </w:r>
            <w:r>
              <w:rPr>
                <w:rFonts w:hint="eastAsia" w:ascii="Times New Roman" w:hAnsi="Times New Roman" w:cs="Times New Roman"/>
                <w:color w:val="auto"/>
                <w:kern w:val="0"/>
                <w:sz w:val="24"/>
                <w:u w:val="none"/>
                <w:lang w:val="en-US" w:eastAsia="zh-CN"/>
              </w:rPr>
              <w:t>本项目</w:t>
            </w:r>
            <w:r>
              <w:rPr>
                <w:rFonts w:hint="default" w:ascii="Times New Roman" w:hAnsi="Times New Roman" w:cs="Times New Roman"/>
                <w:color w:val="auto"/>
                <w:kern w:val="0"/>
                <w:sz w:val="24"/>
                <w:u w:val="none"/>
              </w:rPr>
              <w:t>所在地生态单元</w:t>
            </w:r>
            <w:r>
              <w:rPr>
                <w:rFonts w:hint="default" w:ascii="Times New Roman" w:hAnsi="Times New Roman" w:eastAsia="宋体" w:cs="Times New Roman"/>
                <w:color w:val="auto"/>
                <w:sz w:val="24"/>
                <w:szCs w:val="24"/>
                <w:highlight w:val="none"/>
                <w:u w:val="none"/>
              </w:rPr>
              <w:t>编号</w:t>
            </w:r>
            <w:r>
              <w:rPr>
                <w:rFonts w:hint="eastAsia" w:ascii="Times New Roman" w:hAnsi="Times New Roman" w:eastAsia="宋体" w:cs="Times New Roman"/>
                <w:color w:val="auto"/>
                <w:sz w:val="24"/>
                <w:szCs w:val="24"/>
                <w:highlight w:val="none"/>
                <w:u w:val="none"/>
                <w:lang w:eastAsia="zh-CN"/>
              </w:rPr>
              <w:t>：ZH4311</w:t>
            </w:r>
            <w:r>
              <w:rPr>
                <w:rFonts w:hint="eastAsia" w:ascii="Times New Roman" w:hAnsi="Times New Roman" w:eastAsia="宋体" w:cs="Times New Roman"/>
                <w:color w:val="auto"/>
                <w:sz w:val="24"/>
                <w:szCs w:val="24"/>
                <w:highlight w:val="none"/>
                <w:u w:val="none"/>
                <w:lang w:val="en-US" w:eastAsia="zh-CN"/>
              </w:rPr>
              <w:t>21</w:t>
            </w:r>
            <w:r>
              <w:rPr>
                <w:rFonts w:hint="eastAsia" w:cs="Times New Roman"/>
                <w:color w:val="auto"/>
                <w:sz w:val="24"/>
                <w:szCs w:val="24"/>
                <w:highlight w:val="none"/>
                <w:u w:val="none"/>
                <w:lang w:val="en-US" w:eastAsia="zh-CN"/>
              </w:rPr>
              <w:t>3</w:t>
            </w:r>
            <w:r>
              <w:rPr>
                <w:rFonts w:hint="eastAsia" w:ascii="Times New Roman" w:hAnsi="Times New Roman" w:eastAsia="宋体" w:cs="Times New Roman"/>
                <w:color w:val="auto"/>
                <w:sz w:val="24"/>
                <w:szCs w:val="24"/>
                <w:highlight w:val="none"/>
                <w:u w:val="none"/>
                <w:lang w:eastAsia="zh-CN"/>
              </w:rPr>
              <w:t>000</w:t>
            </w:r>
            <w:r>
              <w:rPr>
                <w:rFonts w:hint="eastAsia" w:ascii="Times New Roman" w:hAnsi="Times New Roman" w:eastAsia="宋体" w:cs="Times New Roman"/>
                <w:color w:val="auto"/>
                <w:sz w:val="24"/>
                <w:szCs w:val="24"/>
                <w:highlight w:val="none"/>
                <w:u w:val="none"/>
                <w:lang w:val="en-US" w:eastAsia="zh-CN"/>
              </w:rPr>
              <w:t>2</w:t>
            </w:r>
            <w:r>
              <w:rPr>
                <w:rFonts w:hint="default" w:ascii="Times New Roman" w:hAnsi="Times New Roman" w:eastAsia="宋体" w:cs="Times New Roman"/>
                <w:color w:val="auto"/>
                <w:sz w:val="24"/>
                <w:szCs w:val="24"/>
                <w:highlight w:val="none"/>
                <w:u w:val="none"/>
              </w:rPr>
              <w:t>，</w:t>
            </w:r>
            <w:r>
              <w:rPr>
                <w:rFonts w:hint="eastAsia" w:ascii="Times New Roman" w:hAnsi="Times New Roman" w:cs="Times New Roman"/>
                <w:color w:val="auto"/>
                <w:kern w:val="0"/>
                <w:sz w:val="24"/>
                <w:u w:val="none"/>
                <w:lang w:val="en-US" w:eastAsia="zh-CN"/>
              </w:rPr>
              <w:t>属于</w:t>
            </w:r>
            <w:r>
              <w:rPr>
                <w:rFonts w:hint="eastAsia" w:cs="Times New Roman"/>
                <w:color w:val="auto"/>
                <w:kern w:val="0"/>
                <w:sz w:val="24"/>
                <w:u w:val="none"/>
                <w:lang w:val="en-US" w:eastAsia="zh-CN"/>
              </w:rPr>
              <w:t>一般</w:t>
            </w:r>
            <w:r>
              <w:rPr>
                <w:rFonts w:hint="eastAsia" w:ascii="Times New Roman" w:hAnsi="Times New Roman" w:cs="Times New Roman"/>
                <w:color w:val="auto"/>
                <w:kern w:val="0"/>
                <w:sz w:val="24"/>
                <w:u w:val="none"/>
                <w:lang w:val="en-US" w:eastAsia="zh-CN"/>
              </w:rPr>
              <w:t>管控</w:t>
            </w:r>
            <w:r>
              <w:rPr>
                <w:rFonts w:hint="default" w:ascii="Times New Roman" w:hAnsi="Times New Roman" w:cs="Times New Roman"/>
                <w:color w:val="auto"/>
                <w:kern w:val="0"/>
                <w:sz w:val="24"/>
                <w:u w:val="none"/>
              </w:rPr>
              <w:t>单元</w:t>
            </w:r>
            <w:r>
              <w:rPr>
                <w:rFonts w:hint="eastAsia" w:ascii="Times New Roman" w:hAnsi="Times New Roman" w:eastAsia="宋体" w:cs="Times New Roman"/>
                <w:color w:val="auto"/>
                <w:kern w:val="0"/>
                <w:sz w:val="24"/>
                <w:szCs w:val="24"/>
                <w:u w:val="none"/>
                <w:lang w:eastAsia="zh-CN"/>
              </w:rPr>
              <w:t>，</w:t>
            </w:r>
            <w:r>
              <w:rPr>
                <w:rFonts w:hint="default" w:ascii="Times New Roman" w:hAnsi="Times New Roman" w:eastAsia="宋体" w:cs="Times New Roman"/>
                <w:color w:val="auto"/>
                <w:kern w:val="0"/>
                <w:sz w:val="24"/>
                <w:szCs w:val="24"/>
                <w:u w:val="none"/>
              </w:rPr>
              <w:t>项目相符性见下表</w:t>
            </w:r>
            <w:r>
              <w:rPr>
                <w:rFonts w:hint="default" w:ascii="Times New Roman" w:hAnsi="Times New Roman" w:eastAsia="宋体" w:cs="Times New Roman"/>
                <w:color w:val="auto"/>
                <w:kern w:val="0"/>
                <w:sz w:val="24"/>
                <w:szCs w:val="24"/>
                <w:u w:val="none"/>
                <w:lang w:eastAsia="zh-CN"/>
              </w:rPr>
              <w:t>：</w:t>
            </w:r>
          </w:p>
          <w:p w14:paraId="3920CA3C">
            <w:pPr>
              <w:adjustRightInd w:val="0"/>
              <w:snapToGrid w:val="0"/>
              <w:spacing w:line="480" w:lineRule="exact"/>
              <w:jc w:val="center"/>
              <w:rPr>
                <w:b/>
                <w:bCs/>
                <w:u w:val="none"/>
              </w:rPr>
            </w:pPr>
            <w:r>
              <w:rPr>
                <w:b/>
                <w:bCs/>
                <w:u w:val="none"/>
              </w:rPr>
              <w:t>表1-</w:t>
            </w:r>
            <w:r>
              <w:rPr>
                <w:rFonts w:hint="eastAsia"/>
                <w:b/>
                <w:bCs/>
                <w:u w:val="none"/>
                <w:lang w:val="en-US" w:eastAsia="zh-CN"/>
              </w:rPr>
              <w:t>1</w:t>
            </w:r>
            <w:r>
              <w:rPr>
                <w:b/>
                <w:bCs/>
                <w:u w:val="none"/>
              </w:rPr>
              <w:t xml:space="preserve"> </w:t>
            </w:r>
            <w:r>
              <w:rPr>
                <w:rFonts w:hint="eastAsia"/>
                <w:b/>
                <w:bCs/>
                <w:u w:val="none"/>
              </w:rPr>
              <w:t xml:space="preserve"> </w:t>
            </w:r>
            <w:r>
              <w:rPr>
                <w:rFonts w:hint="eastAsia"/>
                <w:b/>
                <w:bCs/>
                <w:u w:val="none"/>
                <w:lang w:val="en-US" w:eastAsia="zh-CN"/>
              </w:rPr>
              <w:t>分区管控</w:t>
            </w:r>
            <w:r>
              <w:rPr>
                <w:b/>
                <w:bCs/>
                <w:u w:val="none"/>
              </w:rPr>
              <w:t>相符性</w:t>
            </w:r>
            <w:r>
              <w:rPr>
                <w:rFonts w:hint="eastAsia"/>
                <w:b/>
                <w:bCs/>
                <w:u w:val="none"/>
              </w:rPr>
              <w:t>分析</w:t>
            </w:r>
            <w:r>
              <w:rPr>
                <w:b/>
                <w:bCs/>
                <w:u w:val="none"/>
              </w:rPr>
              <w:t>一览表</w:t>
            </w:r>
          </w:p>
          <w:tbl>
            <w:tblPr>
              <w:tblStyle w:val="45"/>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44"/>
              <w:gridCol w:w="450"/>
              <w:gridCol w:w="479"/>
              <w:gridCol w:w="539"/>
              <w:gridCol w:w="840"/>
              <w:gridCol w:w="1028"/>
              <w:gridCol w:w="294"/>
              <w:gridCol w:w="1081"/>
              <w:gridCol w:w="637"/>
            </w:tblGrid>
            <w:tr w14:paraId="2C84B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2" w:type="pct"/>
                  <w:tcBorders>
                    <w:tl2br w:val="nil"/>
                    <w:tr2bl w:val="nil"/>
                  </w:tcBorders>
                  <w:vAlign w:val="center"/>
                </w:tcPr>
                <w:p w14:paraId="4DBDDAF5">
                  <w:pPr>
                    <w:pStyle w:val="232"/>
                    <w:rPr>
                      <w:color w:val="000000"/>
                      <w:sz w:val="21"/>
                      <w:szCs w:val="21"/>
                      <w:u w:val="none"/>
                    </w:rPr>
                  </w:pPr>
                  <w:r>
                    <w:rPr>
                      <w:rFonts w:hint="eastAsia"/>
                      <w:color w:val="000000"/>
                      <w:sz w:val="21"/>
                      <w:szCs w:val="21"/>
                      <w:u w:val="none"/>
                    </w:rPr>
                    <w:t>环境管控单元编码</w:t>
                  </w:r>
                </w:p>
              </w:tc>
              <w:tc>
                <w:tcPr>
                  <w:tcW w:w="817" w:type="pct"/>
                  <w:gridSpan w:val="2"/>
                  <w:tcBorders>
                    <w:tl2br w:val="nil"/>
                    <w:tr2bl w:val="nil"/>
                  </w:tcBorders>
                  <w:vAlign w:val="center"/>
                </w:tcPr>
                <w:p w14:paraId="0785D56E">
                  <w:pPr>
                    <w:pStyle w:val="232"/>
                    <w:rPr>
                      <w:color w:val="000000"/>
                      <w:sz w:val="21"/>
                      <w:szCs w:val="21"/>
                      <w:u w:val="none"/>
                    </w:rPr>
                  </w:pPr>
                  <w:r>
                    <w:rPr>
                      <w:rFonts w:hint="eastAsia"/>
                      <w:color w:val="000000"/>
                      <w:sz w:val="21"/>
                      <w:szCs w:val="21"/>
                      <w:u w:val="none"/>
                    </w:rPr>
                    <w:t>单元名称</w:t>
                  </w:r>
                </w:p>
              </w:tc>
              <w:tc>
                <w:tcPr>
                  <w:tcW w:w="462" w:type="pct"/>
                  <w:tcBorders>
                    <w:tl2br w:val="nil"/>
                    <w:tr2bl w:val="nil"/>
                  </w:tcBorders>
                  <w:vAlign w:val="center"/>
                </w:tcPr>
                <w:p w14:paraId="34598A12">
                  <w:pPr>
                    <w:pStyle w:val="232"/>
                    <w:rPr>
                      <w:color w:val="000000"/>
                      <w:sz w:val="21"/>
                      <w:szCs w:val="21"/>
                      <w:u w:val="none"/>
                    </w:rPr>
                  </w:pPr>
                  <w:r>
                    <w:rPr>
                      <w:rFonts w:hint="eastAsia"/>
                      <w:color w:val="000000"/>
                      <w:sz w:val="21"/>
                      <w:szCs w:val="21"/>
                      <w:u w:val="none"/>
                    </w:rPr>
                    <w:t>单元分类</w:t>
                  </w:r>
                </w:p>
              </w:tc>
              <w:tc>
                <w:tcPr>
                  <w:tcW w:w="677" w:type="pct"/>
                  <w:tcBorders>
                    <w:tl2br w:val="nil"/>
                    <w:tr2bl w:val="nil"/>
                  </w:tcBorders>
                  <w:vAlign w:val="center"/>
                </w:tcPr>
                <w:p w14:paraId="6A12955A">
                  <w:pPr>
                    <w:pStyle w:val="232"/>
                    <w:rPr>
                      <w:color w:val="000000"/>
                      <w:sz w:val="21"/>
                      <w:szCs w:val="21"/>
                      <w:u w:val="none"/>
                    </w:rPr>
                  </w:pPr>
                  <w:r>
                    <w:rPr>
                      <w:rFonts w:hint="eastAsia"/>
                      <w:color w:val="000000"/>
                      <w:sz w:val="21"/>
                      <w:szCs w:val="21"/>
                      <w:u w:val="none"/>
                    </w:rPr>
                    <w:t>涉及乡镇（街道）</w:t>
                  </w:r>
                </w:p>
              </w:tc>
              <w:tc>
                <w:tcPr>
                  <w:tcW w:w="811" w:type="pct"/>
                  <w:tcBorders>
                    <w:tl2br w:val="nil"/>
                    <w:tr2bl w:val="nil"/>
                  </w:tcBorders>
                  <w:vAlign w:val="center"/>
                </w:tcPr>
                <w:p w14:paraId="65F87C1A">
                  <w:pPr>
                    <w:pStyle w:val="232"/>
                    <w:rPr>
                      <w:color w:val="000000"/>
                      <w:sz w:val="21"/>
                      <w:szCs w:val="21"/>
                      <w:u w:val="none"/>
                    </w:rPr>
                  </w:pPr>
                  <w:r>
                    <w:rPr>
                      <w:rFonts w:hint="eastAsia"/>
                      <w:color w:val="000000"/>
                      <w:sz w:val="21"/>
                      <w:szCs w:val="21"/>
                      <w:u w:val="none"/>
                    </w:rPr>
                    <w:t>主体功能定位</w:t>
                  </w:r>
                </w:p>
              </w:tc>
              <w:tc>
                <w:tcPr>
                  <w:tcW w:w="1135" w:type="pct"/>
                  <w:gridSpan w:val="2"/>
                  <w:tcBorders>
                    <w:tl2br w:val="nil"/>
                    <w:tr2bl w:val="nil"/>
                  </w:tcBorders>
                  <w:vAlign w:val="center"/>
                </w:tcPr>
                <w:p w14:paraId="08BDEC8E">
                  <w:pPr>
                    <w:pStyle w:val="232"/>
                    <w:rPr>
                      <w:color w:val="000000"/>
                      <w:sz w:val="21"/>
                      <w:szCs w:val="21"/>
                      <w:u w:val="none"/>
                    </w:rPr>
                  </w:pPr>
                  <w:r>
                    <w:rPr>
                      <w:rFonts w:hint="eastAsia"/>
                      <w:color w:val="000000"/>
                      <w:sz w:val="21"/>
                      <w:szCs w:val="21"/>
                      <w:u w:val="none"/>
                    </w:rPr>
                    <w:t>经济产业布局</w:t>
                  </w:r>
                </w:p>
              </w:tc>
              <w:tc>
                <w:tcPr>
                  <w:tcW w:w="512" w:type="pct"/>
                  <w:tcBorders>
                    <w:tl2br w:val="nil"/>
                    <w:tr2bl w:val="nil"/>
                  </w:tcBorders>
                  <w:vAlign w:val="center"/>
                </w:tcPr>
                <w:p w14:paraId="7928C7C4">
                  <w:pPr>
                    <w:pStyle w:val="232"/>
                    <w:rPr>
                      <w:color w:val="000000"/>
                      <w:sz w:val="21"/>
                      <w:szCs w:val="21"/>
                      <w:u w:val="none"/>
                    </w:rPr>
                  </w:pPr>
                  <w:r>
                    <w:rPr>
                      <w:rFonts w:hint="eastAsia"/>
                      <w:color w:val="000000"/>
                      <w:sz w:val="21"/>
                      <w:szCs w:val="21"/>
                      <w:u w:val="none"/>
                    </w:rPr>
                    <w:t>主要环境问题</w:t>
                  </w:r>
                </w:p>
              </w:tc>
            </w:tr>
            <w:tr w14:paraId="5FA06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4" w:hRule="atLeast"/>
                <w:jc w:val="center"/>
              </w:trPr>
              <w:tc>
                <w:tcPr>
                  <w:tcW w:w="582" w:type="pct"/>
                  <w:tcBorders>
                    <w:tl2br w:val="nil"/>
                    <w:tr2bl w:val="nil"/>
                  </w:tcBorders>
                  <w:vAlign w:val="center"/>
                </w:tcPr>
                <w:p w14:paraId="7A395620">
                  <w:pPr>
                    <w:pStyle w:val="232"/>
                    <w:rPr>
                      <w:b w:val="0"/>
                      <w:bCs/>
                      <w:color w:val="000000"/>
                      <w:sz w:val="21"/>
                      <w:szCs w:val="21"/>
                      <w:u w:val="none"/>
                    </w:rPr>
                  </w:pPr>
                  <w:r>
                    <w:rPr>
                      <w:rFonts w:hint="eastAsia"/>
                      <w:b w:val="0"/>
                      <w:bCs/>
                      <w:color w:val="000000"/>
                      <w:sz w:val="21"/>
                      <w:szCs w:val="21"/>
                      <w:u w:val="none"/>
                    </w:rPr>
                    <w:t>ZH4311</w:t>
                  </w:r>
                  <w:r>
                    <w:rPr>
                      <w:rFonts w:hint="eastAsia"/>
                      <w:b w:val="0"/>
                      <w:bCs/>
                      <w:color w:val="000000"/>
                      <w:sz w:val="21"/>
                      <w:szCs w:val="21"/>
                      <w:u w:val="none"/>
                      <w:lang w:val="en-US" w:eastAsia="zh-CN"/>
                    </w:rPr>
                    <w:t>21</w:t>
                  </w:r>
                  <w:r>
                    <w:rPr>
                      <w:rFonts w:hint="eastAsia"/>
                      <w:b w:val="0"/>
                      <w:bCs/>
                      <w:color w:val="000000"/>
                      <w:sz w:val="21"/>
                      <w:szCs w:val="21"/>
                      <w:u w:val="none"/>
                    </w:rPr>
                    <w:t>30002</w:t>
                  </w:r>
                </w:p>
              </w:tc>
              <w:tc>
                <w:tcPr>
                  <w:tcW w:w="817" w:type="pct"/>
                  <w:gridSpan w:val="2"/>
                  <w:tcBorders>
                    <w:tl2br w:val="nil"/>
                    <w:tr2bl w:val="nil"/>
                  </w:tcBorders>
                  <w:vAlign w:val="center"/>
                </w:tcPr>
                <w:p w14:paraId="3E87A34E">
                  <w:pPr>
                    <w:pStyle w:val="232"/>
                    <w:jc w:val="both"/>
                    <w:rPr>
                      <w:rFonts w:hint="eastAsia" w:ascii="Times New Roman" w:hAnsi="Times New Roman" w:eastAsia="宋体" w:cs="Times New Roman"/>
                      <w:b w:val="0"/>
                      <w:bCs/>
                      <w:color w:val="000000"/>
                      <w:kern w:val="10"/>
                      <w:sz w:val="21"/>
                      <w:szCs w:val="21"/>
                      <w:u w:val="none"/>
                      <w:lang w:val="en-US" w:eastAsia="zh-CN" w:bidi="ar-SA"/>
                    </w:rPr>
                  </w:pPr>
                  <w:r>
                    <w:rPr>
                      <w:rFonts w:hint="eastAsia" w:ascii="Times New Roman" w:hAnsi="Times New Roman" w:eastAsia="宋体" w:cs="Times New Roman"/>
                      <w:b w:val="0"/>
                      <w:bCs/>
                      <w:color w:val="000000"/>
                      <w:kern w:val="10"/>
                      <w:sz w:val="21"/>
                      <w:szCs w:val="21"/>
                      <w:u w:val="none"/>
                      <w:lang w:val="en-US" w:eastAsia="zh-CN" w:bidi="ar-SA"/>
                    </w:rPr>
                    <w:t>龚家坪镇/</w:t>
                  </w:r>
                </w:p>
                <w:p w14:paraId="534B02B1">
                  <w:pPr>
                    <w:pStyle w:val="232"/>
                    <w:jc w:val="both"/>
                    <w:rPr>
                      <w:rFonts w:hint="eastAsia" w:ascii="Times New Roman" w:hAnsi="Times New Roman" w:eastAsia="宋体" w:cs="Times New Roman"/>
                      <w:b w:val="0"/>
                      <w:bCs/>
                      <w:color w:val="000000"/>
                      <w:kern w:val="10"/>
                      <w:sz w:val="21"/>
                      <w:szCs w:val="21"/>
                      <w:u w:val="none"/>
                      <w:lang w:val="en-US" w:eastAsia="zh-CN" w:bidi="ar-SA"/>
                    </w:rPr>
                  </w:pPr>
                  <w:r>
                    <w:rPr>
                      <w:rFonts w:hint="eastAsia" w:ascii="Times New Roman" w:hAnsi="Times New Roman" w:eastAsia="宋体" w:cs="Times New Roman"/>
                      <w:b w:val="0"/>
                      <w:bCs/>
                      <w:color w:val="000000"/>
                      <w:kern w:val="10"/>
                      <w:sz w:val="21"/>
                      <w:szCs w:val="21"/>
                      <w:u w:val="none"/>
                      <w:lang w:val="en-US" w:eastAsia="zh-CN" w:bidi="ar-SA"/>
                    </w:rPr>
                    <w:t>黎家坪镇/</w:t>
                  </w:r>
                </w:p>
                <w:p w14:paraId="41EA9512">
                  <w:pPr>
                    <w:pStyle w:val="232"/>
                    <w:jc w:val="both"/>
                    <w:rPr>
                      <w:rFonts w:hint="eastAsia" w:ascii="Times New Roman" w:hAnsi="Times New Roman" w:eastAsia="宋体" w:cs="Times New Roman"/>
                      <w:b w:val="0"/>
                      <w:bCs/>
                      <w:color w:val="000000"/>
                      <w:kern w:val="10"/>
                      <w:sz w:val="21"/>
                      <w:szCs w:val="21"/>
                      <w:u w:val="none"/>
                      <w:lang w:val="en-US" w:eastAsia="zh-CN" w:bidi="ar-SA"/>
                    </w:rPr>
                  </w:pPr>
                  <w:r>
                    <w:rPr>
                      <w:rFonts w:hint="eastAsia" w:ascii="Times New Roman" w:hAnsi="Times New Roman" w:eastAsia="宋体" w:cs="Times New Roman"/>
                      <w:b w:val="0"/>
                      <w:bCs/>
                      <w:color w:val="000000"/>
                      <w:kern w:val="10"/>
                      <w:sz w:val="21"/>
                      <w:szCs w:val="21"/>
                      <w:u w:val="none"/>
                      <w:lang w:val="en-US" w:eastAsia="zh-CN" w:bidi="ar-SA"/>
                    </w:rPr>
                    <w:t>文富市镇/</w:t>
                  </w:r>
                </w:p>
                <w:p w14:paraId="0F34A29A">
                  <w:pPr>
                    <w:pStyle w:val="232"/>
                    <w:jc w:val="both"/>
                    <w:rPr>
                      <w:rFonts w:hint="eastAsia" w:ascii="Times New Roman" w:hAnsi="Times New Roman" w:eastAsia="宋体" w:cs="Times New Roman"/>
                      <w:b w:val="0"/>
                      <w:bCs/>
                      <w:color w:val="000000"/>
                      <w:kern w:val="10"/>
                      <w:sz w:val="21"/>
                      <w:szCs w:val="21"/>
                      <w:u w:val="none"/>
                      <w:lang w:val="en-US" w:eastAsia="zh-CN" w:bidi="ar-SA"/>
                    </w:rPr>
                  </w:pPr>
                  <w:r>
                    <w:rPr>
                      <w:rFonts w:hint="eastAsia" w:ascii="Times New Roman" w:hAnsi="Times New Roman" w:eastAsia="宋体" w:cs="Times New Roman"/>
                      <w:b w:val="0"/>
                      <w:bCs/>
                      <w:color w:val="000000"/>
                      <w:kern w:val="10"/>
                      <w:sz w:val="21"/>
                      <w:szCs w:val="21"/>
                      <w:u w:val="none"/>
                      <w:lang w:val="en-US" w:eastAsia="zh-CN" w:bidi="ar-SA"/>
                    </w:rPr>
                    <w:t>文明铺镇/</w:t>
                  </w:r>
                </w:p>
                <w:p w14:paraId="2E8E229F">
                  <w:pPr>
                    <w:pStyle w:val="232"/>
                    <w:jc w:val="both"/>
                    <w:rPr>
                      <w:rFonts w:hint="eastAsia" w:ascii="Times New Roman" w:hAnsi="Times New Roman" w:eastAsia="宋体" w:cs="Times New Roman"/>
                      <w:b w:val="0"/>
                      <w:bCs/>
                      <w:color w:val="000000"/>
                      <w:kern w:val="10"/>
                      <w:sz w:val="21"/>
                      <w:szCs w:val="21"/>
                      <w:u w:val="none"/>
                      <w:lang w:val="en-US" w:eastAsia="zh-CN" w:bidi="ar-SA"/>
                    </w:rPr>
                  </w:pPr>
                  <w:r>
                    <w:rPr>
                      <w:rFonts w:hint="eastAsia" w:ascii="Times New Roman" w:hAnsi="Times New Roman" w:eastAsia="宋体" w:cs="Times New Roman"/>
                      <w:b w:val="0"/>
                      <w:bCs/>
                      <w:color w:val="000000"/>
                      <w:kern w:val="10"/>
                      <w:sz w:val="21"/>
                      <w:szCs w:val="21"/>
                      <w:u w:val="none"/>
                      <w:lang w:val="en-US" w:eastAsia="zh-CN" w:bidi="ar-SA"/>
                    </w:rPr>
                    <w:t>长虹街道</w:t>
                  </w:r>
                </w:p>
              </w:tc>
              <w:tc>
                <w:tcPr>
                  <w:tcW w:w="462" w:type="pct"/>
                  <w:tcBorders>
                    <w:tl2br w:val="nil"/>
                    <w:tr2bl w:val="nil"/>
                  </w:tcBorders>
                  <w:vAlign w:val="center"/>
                </w:tcPr>
                <w:p w14:paraId="1DD3068E">
                  <w:pPr>
                    <w:pStyle w:val="232"/>
                    <w:rPr>
                      <w:rFonts w:hint="eastAsia" w:ascii="Times New Roman" w:hAnsi="Times New Roman" w:eastAsia="宋体" w:cs="Times New Roman"/>
                      <w:b w:val="0"/>
                      <w:bCs/>
                      <w:color w:val="000000"/>
                      <w:kern w:val="10"/>
                      <w:sz w:val="21"/>
                      <w:szCs w:val="21"/>
                      <w:u w:val="none"/>
                      <w:lang w:val="en-US" w:eastAsia="zh-CN" w:bidi="ar-SA"/>
                    </w:rPr>
                  </w:pPr>
                  <w:r>
                    <w:rPr>
                      <w:rFonts w:hint="eastAsia" w:ascii="Times New Roman" w:hAnsi="Times New Roman" w:eastAsia="宋体" w:cs="Times New Roman"/>
                      <w:b w:val="0"/>
                      <w:bCs/>
                      <w:color w:val="000000"/>
                      <w:kern w:val="10"/>
                      <w:sz w:val="21"/>
                      <w:szCs w:val="21"/>
                      <w:u w:val="none"/>
                      <w:lang w:val="en-US" w:eastAsia="zh-CN" w:bidi="ar-SA"/>
                    </w:rPr>
                    <w:t>一般管控单元</w:t>
                  </w:r>
                </w:p>
              </w:tc>
              <w:tc>
                <w:tcPr>
                  <w:tcW w:w="677" w:type="pct"/>
                  <w:tcBorders>
                    <w:tl2br w:val="nil"/>
                    <w:tr2bl w:val="nil"/>
                  </w:tcBorders>
                  <w:vAlign w:val="center"/>
                </w:tcPr>
                <w:p w14:paraId="34DA07DF">
                  <w:pPr>
                    <w:pStyle w:val="232"/>
                    <w:rPr>
                      <w:rFonts w:hint="eastAsia" w:ascii="Times New Roman" w:hAnsi="Times New Roman" w:eastAsia="宋体" w:cs="Times New Roman"/>
                      <w:b w:val="0"/>
                      <w:bCs/>
                      <w:color w:val="000000"/>
                      <w:kern w:val="10"/>
                      <w:sz w:val="21"/>
                      <w:szCs w:val="21"/>
                      <w:u w:val="none"/>
                      <w:lang w:val="en-US" w:eastAsia="zh-CN" w:bidi="ar-SA"/>
                    </w:rPr>
                  </w:pPr>
                  <w:r>
                    <w:rPr>
                      <w:rFonts w:hint="eastAsia" w:ascii="Times New Roman" w:hAnsi="Times New Roman" w:eastAsia="宋体" w:cs="Times New Roman"/>
                      <w:b w:val="0"/>
                      <w:bCs/>
                      <w:color w:val="000000"/>
                      <w:kern w:val="10"/>
                      <w:sz w:val="21"/>
                      <w:szCs w:val="21"/>
                      <w:u w:val="none"/>
                      <w:lang w:val="en-US" w:eastAsia="zh-CN" w:bidi="ar-SA"/>
                    </w:rPr>
                    <w:t>龚家坪镇/黎家坪镇/文富市镇/</w:t>
                  </w:r>
                </w:p>
                <w:p w14:paraId="3520B242">
                  <w:pPr>
                    <w:pStyle w:val="232"/>
                    <w:rPr>
                      <w:rFonts w:hint="eastAsia" w:ascii="Times New Roman" w:hAnsi="Times New Roman" w:eastAsia="宋体" w:cs="Times New Roman"/>
                      <w:b w:val="0"/>
                      <w:bCs/>
                      <w:color w:val="000000"/>
                      <w:kern w:val="10"/>
                      <w:sz w:val="21"/>
                      <w:szCs w:val="21"/>
                      <w:u w:val="none"/>
                      <w:lang w:val="en-US" w:eastAsia="zh-CN" w:bidi="ar-SA"/>
                    </w:rPr>
                  </w:pPr>
                  <w:r>
                    <w:rPr>
                      <w:rFonts w:hint="eastAsia" w:ascii="Times New Roman" w:hAnsi="Times New Roman" w:eastAsia="宋体" w:cs="Times New Roman"/>
                      <w:b w:val="0"/>
                      <w:bCs/>
                      <w:color w:val="000000"/>
                      <w:kern w:val="10"/>
                      <w:sz w:val="21"/>
                      <w:szCs w:val="21"/>
                      <w:u w:val="none"/>
                      <w:lang w:val="en-US" w:eastAsia="zh-CN" w:bidi="ar-SA"/>
                    </w:rPr>
                    <w:t>文明铺镇/长虹街道</w:t>
                  </w:r>
                </w:p>
              </w:tc>
              <w:tc>
                <w:tcPr>
                  <w:tcW w:w="811" w:type="pct"/>
                  <w:tcBorders>
                    <w:tl2br w:val="nil"/>
                    <w:tr2bl w:val="nil"/>
                  </w:tcBorders>
                  <w:vAlign w:val="center"/>
                </w:tcPr>
                <w:p w14:paraId="1136E3D1">
                  <w:pPr>
                    <w:pStyle w:val="232"/>
                    <w:rPr>
                      <w:rFonts w:hint="eastAsia"/>
                      <w:b w:val="0"/>
                      <w:bCs/>
                      <w:color w:val="000000"/>
                      <w:sz w:val="21"/>
                      <w:szCs w:val="21"/>
                      <w:u w:val="none"/>
                    </w:rPr>
                  </w:pPr>
                  <w:r>
                    <w:rPr>
                      <w:rFonts w:hint="eastAsia"/>
                      <w:b w:val="0"/>
                      <w:bCs/>
                      <w:color w:val="000000"/>
                      <w:sz w:val="21"/>
                      <w:szCs w:val="21"/>
                      <w:u w:val="none"/>
                    </w:rPr>
                    <w:t>龚家坪镇、文富</w:t>
                  </w:r>
                </w:p>
                <w:p w14:paraId="47BCDE1D">
                  <w:pPr>
                    <w:pStyle w:val="232"/>
                    <w:rPr>
                      <w:b w:val="0"/>
                      <w:bCs/>
                      <w:color w:val="000000"/>
                      <w:sz w:val="21"/>
                      <w:szCs w:val="21"/>
                      <w:u w:val="none"/>
                    </w:rPr>
                  </w:pPr>
                  <w:r>
                    <w:rPr>
                      <w:rFonts w:hint="eastAsia"/>
                      <w:b w:val="0"/>
                      <w:bCs/>
                      <w:color w:val="000000"/>
                      <w:sz w:val="21"/>
                      <w:szCs w:val="21"/>
                      <w:u w:val="none"/>
                    </w:rPr>
                    <w:t>市镇、文明铺镇：农产品主产区；黎家坪镇、长虹街道：城市化地区；</w:t>
                  </w:r>
                </w:p>
              </w:tc>
              <w:tc>
                <w:tcPr>
                  <w:tcW w:w="1135" w:type="pct"/>
                  <w:gridSpan w:val="2"/>
                  <w:tcBorders>
                    <w:tl2br w:val="nil"/>
                    <w:tr2bl w:val="nil"/>
                  </w:tcBorders>
                  <w:vAlign w:val="center"/>
                </w:tcPr>
                <w:p w14:paraId="3F4233EF">
                  <w:pPr>
                    <w:pStyle w:val="232"/>
                    <w:rPr>
                      <w:rFonts w:hint="eastAsia" w:ascii="Times New Roman" w:hAnsi="Times New Roman" w:eastAsia="宋体" w:cs="Times New Roman"/>
                      <w:b w:val="0"/>
                      <w:bCs/>
                      <w:color w:val="000000"/>
                      <w:sz w:val="21"/>
                      <w:szCs w:val="21"/>
                      <w:u w:val="none"/>
                    </w:rPr>
                  </w:pPr>
                  <w:r>
                    <w:rPr>
                      <w:rFonts w:hint="eastAsia" w:ascii="Times New Roman" w:hAnsi="Times New Roman" w:eastAsia="宋体" w:cs="Times New Roman"/>
                      <w:b w:val="0"/>
                      <w:bCs/>
                      <w:color w:val="000000"/>
                      <w:sz w:val="21"/>
                      <w:szCs w:val="21"/>
                      <w:u w:val="none"/>
                    </w:rPr>
                    <w:t>龚家坪镇：农业、农产品交易。</w:t>
                  </w:r>
                </w:p>
                <w:p w14:paraId="7B19B554">
                  <w:pPr>
                    <w:pStyle w:val="232"/>
                    <w:rPr>
                      <w:rFonts w:hint="eastAsia" w:ascii="Times New Roman" w:hAnsi="Times New Roman" w:eastAsia="宋体" w:cs="Times New Roman"/>
                      <w:b w:val="0"/>
                      <w:bCs/>
                      <w:color w:val="000000"/>
                      <w:sz w:val="21"/>
                      <w:szCs w:val="21"/>
                      <w:u w:val="none"/>
                    </w:rPr>
                  </w:pPr>
                  <w:r>
                    <w:rPr>
                      <w:rFonts w:hint="eastAsia" w:ascii="Times New Roman" w:hAnsi="Times New Roman" w:eastAsia="宋体" w:cs="Times New Roman"/>
                      <w:b w:val="0"/>
                      <w:bCs/>
                      <w:color w:val="000000"/>
                      <w:sz w:val="21"/>
                      <w:szCs w:val="21"/>
                      <w:u w:val="none"/>
                    </w:rPr>
                    <w:t>文富市镇：农业、农林产品加工。</w:t>
                  </w:r>
                </w:p>
                <w:p w14:paraId="2BBA11EB">
                  <w:pPr>
                    <w:pStyle w:val="232"/>
                    <w:rPr>
                      <w:rFonts w:hint="eastAsia" w:ascii="Times New Roman" w:hAnsi="Times New Roman" w:eastAsia="宋体" w:cs="Times New Roman"/>
                      <w:b w:val="0"/>
                      <w:bCs/>
                      <w:color w:val="000000"/>
                      <w:sz w:val="21"/>
                      <w:szCs w:val="21"/>
                      <w:u w:val="none"/>
                    </w:rPr>
                  </w:pPr>
                  <w:r>
                    <w:rPr>
                      <w:rFonts w:hint="eastAsia" w:ascii="Times New Roman" w:hAnsi="Times New Roman" w:eastAsia="宋体" w:cs="Times New Roman"/>
                      <w:b w:val="0"/>
                      <w:bCs/>
                      <w:color w:val="000000"/>
                      <w:sz w:val="21"/>
                      <w:szCs w:val="21"/>
                      <w:u w:val="none"/>
                    </w:rPr>
                    <w:t>文明铺镇：农业、养殖业。</w:t>
                  </w:r>
                </w:p>
                <w:p w14:paraId="65CB0BF4">
                  <w:pPr>
                    <w:pStyle w:val="232"/>
                    <w:rPr>
                      <w:rFonts w:hint="eastAsia" w:ascii="Times New Roman" w:hAnsi="Times New Roman" w:eastAsia="宋体" w:cs="Times New Roman"/>
                      <w:b w:val="0"/>
                      <w:bCs/>
                      <w:color w:val="000000"/>
                      <w:sz w:val="21"/>
                      <w:szCs w:val="21"/>
                      <w:u w:val="none"/>
                    </w:rPr>
                  </w:pPr>
                  <w:r>
                    <w:rPr>
                      <w:rFonts w:hint="eastAsia" w:ascii="Times New Roman" w:hAnsi="Times New Roman" w:eastAsia="宋体" w:cs="Times New Roman"/>
                      <w:b w:val="0"/>
                      <w:bCs/>
                      <w:color w:val="000000"/>
                      <w:sz w:val="21"/>
                      <w:szCs w:val="21"/>
                      <w:u w:val="none"/>
                    </w:rPr>
                    <w:t>长虹街道：服务业。</w:t>
                  </w:r>
                </w:p>
              </w:tc>
              <w:tc>
                <w:tcPr>
                  <w:tcW w:w="512" w:type="pct"/>
                  <w:tcBorders>
                    <w:tl2br w:val="nil"/>
                    <w:tr2bl w:val="nil"/>
                  </w:tcBorders>
                  <w:vAlign w:val="center"/>
                </w:tcPr>
                <w:p w14:paraId="7130489C">
                  <w:pPr>
                    <w:pStyle w:val="232"/>
                    <w:rPr>
                      <w:rFonts w:hint="eastAsia" w:ascii="Times New Roman" w:hAnsi="Times New Roman" w:eastAsia="宋体" w:cs="Times New Roman"/>
                      <w:b w:val="0"/>
                      <w:bCs/>
                      <w:color w:val="000000"/>
                      <w:sz w:val="21"/>
                      <w:szCs w:val="21"/>
                      <w:u w:val="none"/>
                    </w:rPr>
                  </w:pPr>
                  <w:r>
                    <w:rPr>
                      <w:rFonts w:hint="eastAsia" w:ascii="Times New Roman" w:hAnsi="Times New Roman" w:eastAsia="宋体" w:cs="Times New Roman"/>
                      <w:b w:val="0"/>
                      <w:bCs/>
                      <w:color w:val="000000"/>
                      <w:sz w:val="21"/>
                      <w:szCs w:val="21"/>
                      <w:u w:val="none"/>
                      <w:lang w:val="en-US" w:eastAsia="zh-CN"/>
                    </w:rPr>
                    <w:t>无明显环境问题。</w:t>
                  </w:r>
                </w:p>
                <w:p w14:paraId="39968CB2">
                  <w:pPr>
                    <w:pStyle w:val="232"/>
                    <w:rPr>
                      <w:rFonts w:hint="eastAsia" w:ascii="Times New Roman" w:hAnsi="Times New Roman" w:eastAsia="宋体" w:cs="Times New Roman"/>
                      <w:b w:val="0"/>
                      <w:bCs/>
                      <w:color w:val="000000"/>
                      <w:sz w:val="21"/>
                      <w:szCs w:val="21"/>
                      <w:u w:val="none"/>
                    </w:rPr>
                  </w:pPr>
                </w:p>
              </w:tc>
            </w:tr>
            <w:tr w14:paraId="4A370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82" w:type="pct"/>
                  <w:tcBorders>
                    <w:tl2br w:val="nil"/>
                    <w:tr2bl w:val="nil"/>
                  </w:tcBorders>
                  <w:vAlign w:val="center"/>
                </w:tcPr>
                <w:p w14:paraId="27D89610">
                  <w:pPr>
                    <w:jc w:val="center"/>
                    <w:rPr>
                      <w:rFonts w:ascii="Times New Roman" w:hAnsi="Times New Roman" w:eastAsia="宋体"/>
                      <w:b/>
                      <w:bCs/>
                      <w:color w:val="auto"/>
                      <w:u w:val="none"/>
                    </w:rPr>
                  </w:pPr>
                  <w:r>
                    <w:rPr>
                      <w:rFonts w:hint="eastAsia" w:ascii="Times New Roman" w:hAnsi="Times New Roman" w:eastAsia="宋体"/>
                      <w:b/>
                      <w:bCs/>
                      <w:color w:val="auto"/>
                      <w:u w:val="none"/>
                    </w:rPr>
                    <w:t>属性/区域</w:t>
                  </w:r>
                </w:p>
              </w:tc>
              <w:tc>
                <w:tcPr>
                  <w:tcW w:w="398" w:type="pct"/>
                  <w:tcBorders>
                    <w:tl2br w:val="nil"/>
                    <w:tr2bl w:val="nil"/>
                  </w:tcBorders>
                  <w:vAlign w:val="center"/>
                </w:tcPr>
                <w:p w14:paraId="3B01A24E">
                  <w:pPr>
                    <w:jc w:val="center"/>
                    <w:rPr>
                      <w:rFonts w:ascii="Times New Roman" w:hAnsi="Times New Roman" w:eastAsia="宋体"/>
                      <w:b/>
                      <w:bCs/>
                      <w:color w:val="auto"/>
                      <w:u w:val="none"/>
                    </w:rPr>
                  </w:pPr>
                  <w:r>
                    <w:rPr>
                      <w:rFonts w:hint="eastAsia" w:ascii="Times New Roman" w:hAnsi="Times New Roman" w:eastAsia="宋体"/>
                      <w:b/>
                      <w:bCs/>
                      <w:color w:val="auto"/>
                      <w:u w:val="none"/>
                    </w:rPr>
                    <w:t>管控类别</w:t>
                  </w:r>
                </w:p>
              </w:tc>
              <w:tc>
                <w:tcPr>
                  <w:tcW w:w="2655" w:type="pct"/>
                  <w:gridSpan w:val="5"/>
                  <w:tcBorders>
                    <w:tl2br w:val="nil"/>
                    <w:tr2bl w:val="nil"/>
                  </w:tcBorders>
                  <w:vAlign w:val="center"/>
                </w:tcPr>
                <w:p w14:paraId="48BC508B">
                  <w:pPr>
                    <w:jc w:val="center"/>
                    <w:rPr>
                      <w:rFonts w:ascii="Times New Roman" w:hAnsi="Times New Roman" w:eastAsia="宋体"/>
                      <w:b/>
                      <w:bCs/>
                      <w:color w:val="auto"/>
                      <w:u w:val="none"/>
                    </w:rPr>
                  </w:pPr>
                  <w:r>
                    <w:rPr>
                      <w:rFonts w:hint="eastAsia" w:ascii="Times New Roman" w:hAnsi="Times New Roman" w:eastAsia="宋体"/>
                      <w:b/>
                      <w:bCs/>
                      <w:color w:val="auto"/>
                      <w:u w:val="none"/>
                    </w:rPr>
                    <w:t>管控要求</w:t>
                  </w:r>
                </w:p>
              </w:tc>
              <w:tc>
                <w:tcPr>
                  <w:tcW w:w="1364" w:type="pct"/>
                  <w:gridSpan w:val="2"/>
                  <w:tcBorders>
                    <w:tl2br w:val="nil"/>
                    <w:tr2bl w:val="nil"/>
                  </w:tcBorders>
                  <w:vAlign w:val="center"/>
                </w:tcPr>
                <w:p w14:paraId="7B6AC5E6">
                  <w:pPr>
                    <w:jc w:val="center"/>
                    <w:rPr>
                      <w:rFonts w:ascii="Times New Roman" w:hAnsi="Times New Roman" w:eastAsia="宋体"/>
                      <w:b/>
                      <w:bCs/>
                      <w:color w:val="auto"/>
                      <w:u w:val="none"/>
                    </w:rPr>
                  </w:pPr>
                  <w:r>
                    <w:rPr>
                      <w:rFonts w:hint="eastAsia" w:ascii="Times New Roman" w:hAnsi="Times New Roman" w:eastAsia="宋体"/>
                      <w:b/>
                      <w:bCs/>
                      <w:color w:val="auto"/>
                      <w:u w:val="none"/>
                    </w:rPr>
                    <w:t>符合性</w:t>
                  </w:r>
                </w:p>
              </w:tc>
            </w:tr>
            <w:tr w14:paraId="4A667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82" w:type="pct"/>
                  <w:vMerge w:val="restart"/>
                  <w:tcBorders>
                    <w:tl2br w:val="nil"/>
                    <w:tr2bl w:val="nil"/>
                  </w:tcBorders>
                  <w:vAlign w:val="center"/>
                </w:tcPr>
                <w:p w14:paraId="6D9496BE">
                  <w:pPr>
                    <w:jc w:val="center"/>
                    <w:rPr>
                      <w:rFonts w:ascii="Times New Roman" w:hAnsi="Times New Roman" w:eastAsia="宋体"/>
                      <w:color w:val="auto"/>
                      <w:u w:val="none"/>
                    </w:rPr>
                  </w:pPr>
                  <w:r>
                    <w:rPr>
                      <w:rFonts w:hint="eastAsia" w:ascii="Times New Roman" w:hAnsi="Times New Roman" w:eastAsia="宋体"/>
                      <w:color w:val="auto"/>
                      <w:u w:val="none"/>
                    </w:rPr>
                    <w:t>龚家坪镇/黎家坪镇/文富市镇/文明铺镇/长虹街道</w:t>
                  </w:r>
                </w:p>
              </w:tc>
              <w:tc>
                <w:tcPr>
                  <w:tcW w:w="398" w:type="pct"/>
                  <w:tcBorders>
                    <w:tl2br w:val="nil"/>
                    <w:tr2bl w:val="nil"/>
                  </w:tcBorders>
                  <w:vAlign w:val="center"/>
                </w:tcPr>
                <w:p w14:paraId="59F6A7A1">
                  <w:pPr>
                    <w:jc w:val="center"/>
                    <w:rPr>
                      <w:rFonts w:ascii="Times New Roman" w:hAnsi="Times New Roman" w:eastAsia="宋体"/>
                      <w:color w:val="auto"/>
                      <w:u w:val="none"/>
                    </w:rPr>
                  </w:pPr>
                  <w:r>
                    <w:rPr>
                      <w:u w:val="none"/>
                    </w:rPr>
                    <w:t>空间布局约束</w:t>
                  </w:r>
                </w:p>
              </w:tc>
              <w:tc>
                <w:tcPr>
                  <w:tcW w:w="2655" w:type="pct"/>
                  <w:gridSpan w:val="5"/>
                  <w:tcBorders>
                    <w:tl2br w:val="nil"/>
                    <w:tr2bl w:val="nil"/>
                  </w:tcBorders>
                  <w:vAlign w:val="center"/>
                </w:tcPr>
                <w:p w14:paraId="4E04DACE">
                  <w:pPr>
                    <w:jc w:val="both"/>
                    <w:rPr>
                      <w:rFonts w:hint="eastAsia" w:ascii="Times New Roman" w:hAnsi="Times New Roman" w:eastAsia="宋体"/>
                      <w:color w:val="auto"/>
                      <w:u w:val="none"/>
                    </w:rPr>
                  </w:pPr>
                  <w:r>
                    <w:rPr>
                      <w:rFonts w:hint="eastAsia" w:ascii="Times New Roman" w:hAnsi="Times New Roman" w:eastAsia="宋体"/>
                      <w:color w:val="auto"/>
                      <w:u w:val="none"/>
                    </w:rPr>
                    <w:t>（1.1）畜禽养殖产业布局应符合《祁阳县畜禽养殖布局规划》（2020-2024 年）的要求。</w:t>
                  </w:r>
                </w:p>
                <w:p w14:paraId="1569FD0A">
                  <w:pPr>
                    <w:jc w:val="both"/>
                    <w:rPr>
                      <w:rFonts w:hint="eastAsia" w:ascii="Times New Roman" w:hAnsi="Times New Roman" w:eastAsia="宋体"/>
                      <w:color w:val="auto"/>
                      <w:u w:val="none"/>
                    </w:rPr>
                  </w:pPr>
                  <w:r>
                    <w:rPr>
                      <w:rFonts w:hint="eastAsia" w:ascii="Times New Roman" w:hAnsi="Times New Roman" w:eastAsia="宋体"/>
                      <w:color w:val="auto"/>
                      <w:u w:val="none"/>
                    </w:rPr>
                    <w:t>（1.2）湖南祁阳浯溪国家湿地公园：执行《湖南祁阳浯溪国家湿地公园保护管理办法》相关规定。</w:t>
                  </w:r>
                </w:p>
                <w:p w14:paraId="56AF3FE4">
                  <w:pPr>
                    <w:jc w:val="both"/>
                    <w:rPr>
                      <w:rFonts w:hint="eastAsia" w:ascii="Times New Roman" w:hAnsi="Times New Roman" w:eastAsia="宋体"/>
                      <w:color w:val="auto"/>
                      <w:u w:val="none"/>
                    </w:rPr>
                  </w:pPr>
                  <w:r>
                    <w:rPr>
                      <w:rFonts w:hint="eastAsia" w:ascii="Times New Roman" w:hAnsi="Times New Roman" w:eastAsia="宋体"/>
                      <w:color w:val="auto"/>
                      <w:u w:val="none"/>
                    </w:rPr>
                    <w:t>（1.3）开展沿江化工污染整治，落实湘江干流（祁阳段）及主要支流岸线 1 公里范围内不准新建、扩建化工园区和化工项目要求，依法淘汰取缔违法违规工业园区。</w:t>
                  </w:r>
                </w:p>
                <w:p w14:paraId="7464259C">
                  <w:pPr>
                    <w:jc w:val="both"/>
                    <w:rPr>
                      <w:rFonts w:ascii="Times New Roman" w:hAnsi="Times New Roman" w:eastAsia="宋体"/>
                      <w:color w:val="auto"/>
                      <w:u w:val="none"/>
                    </w:rPr>
                  </w:pPr>
                  <w:r>
                    <w:rPr>
                      <w:rFonts w:hint="eastAsia" w:ascii="Times New Roman" w:hAnsi="Times New Roman" w:eastAsia="宋体"/>
                      <w:color w:val="auto"/>
                      <w:u w:val="none"/>
                    </w:rPr>
                    <w:t>（1.4）生态保护红线内自然保护区、风景名胜区、饮用水水源保护区等区域依照法律法规执行。</w:t>
                  </w:r>
                </w:p>
              </w:tc>
              <w:tc>
                <w:tcPr>
                  <w:tcW w:w="1364" w:type="pct"/>
                  <w:gridSpan w:val="2"/>
                  <w:tcBorders>
                    <w:tl2br w:val="nil"/>
                    <w:tr2bl w:val="nil"/>
                  </w:tcBorders>
                  <w:vAlign w:val="center"/>
                </w:tcPr>
                <w:p w14:paraId="4103D09A">
                  <w:pPr>
                    <w:jc w:val="center"/>
                    <w:rPr>
                      <w:rFonts w:ascii="Times New Roman" w:hAnsi="Times New Roman" w:eastAsia="宋体"/>
                      <w:color w:val="auto"/>
                      <w:u w:val="none"/>
                    </w:rPr>
                  </w:pPr>
                  <w:r>
                    <w:rPr>
                      <w:rFonts w:ascii="Times New Roman" w:hAnsi="Times New Roman" w:eastAsia="宋体"/>
                      <w:color w:val="auto"/>
                      <w:u w:val="none"/>
                    </w:rPr>
                    <w:t>符合。本项目为</w:t>
                  </w:r>
                  <w:r>
                    <w:rPr>
                      <w:rFonts w:hint="eastAsia" w:ascii="Times New Roman" w:hAnsi="Times New Roman" w:eastAsia="宋体"/>
                      <w:color w:val="auto"/>
                      <w:u w:val="none"/>
                      <w:lang w:val="en-US" w:eastAsia="zh-CN"/>
                    </w:rPr>
                    <w:t>拦河闸除险加固</w:t>
                  </w:r>
                  <w:r>
                    <w:rPr>
                      <w:rFonts w:hint="eastAsia" w:ascii="Times New Roman" w:hAnsi="Times New Roman" w:eastAsia="宋体"/>
                      <w:color w:val="auto"/>
                      <w:u w:val="none"/>
                    </w:rPr>
                    <w:t>项目</w:t>
                  </w:r>
                  <w:r>
                    <w:rPr>
                      <w:rFonts w:hint="eastAsia" w:ascii="Times New Roman" w:hAnsi="Times New Roman" w:eastAsia="宋体"/>
                      <w:color w:val="auto"/>
                      <w:u w:val="none"/>
                      <w:lang w:eastAsia="zh-CN"/>
                    </w:rPr>
                    <w:t>，</w:t>
                  </w:r>
                  <w:r>
                    <w:rPr>
                      <w:rFonts w:hint="eastAsia" w:ascii="Times New Roman" w:hAnsi="Times New Roman" w:eastAsia="宋体"/>
                      <w:color w:val="auto"/>
                      <w:u w:val="none"/>
                      <w:lang w:val="en-US" w:eastAsia="zh-CN"/>
                    </w:rPr>
                    <w:t>不涉及</w:t>
                  </w:r>
                  <w:r>
                    <w:rPr>
                      <w:rFonts w:hint="eastAsia" w:ascii="Times New Roman" w:hAnsi="Times New Roman" w:eastAsia="宋体"/>
                      <w:color w:val="auto"/>
                      <w:u w:val="none"/>
                    </w:rPr>
                    <w:t>湖南祁阳浯溪国家湿地公园</w:t>
                  </w:r>
                  <w:r>
                    <w:rPr>
                      <w:rFonts w:hint="eastAsia" w:ascii="Times New Roman" w:hAnsi="Times New Roman" w:eastAsia="宋体"/>
                      <w:color w:val="auto"/>
                      <w:u w:val="none"/>
                      <w:lang w:eastAsia="zh-CN"/>
                    </w:rPr>
                    <w:t>、</w:t>
                  </w:r>
                  <w:r>
                    <w:rPr>
                      <w:rFonts w:hint="eastAsia" w:ascii="Times New Roman" w:hAnsi="Times New Roman" w:eastAsia="宋体"/>
                      <w:color w:val="auto"/>
                      <w:u w:val="none"/>
                    </w:rPr>
                    <w:t>生态保护红线内自然保护区、风景名胜区、饮用水水源保护区等区域。</w:t>
                  </w:r>
                </w:p>
              </w:tc>
            </w:tr>
            <w:tr w14:paraId="0A541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82" w:type="pct"/>
                  <w:vMerge w:val="continue"/>
                  <w:tcBorders>
                    <w:tl2br w:val="nil"/>
                    <w:tr2bl w:val="nil"/>
                  </w:tcBorders>
                  <w:vAlign w:val="center"/>
                </w:tcPr>
                <w:p w14:paraId="573F6D59">
                  <w:pPr>
                    <w:jc w:val="center"/>
                    <w:rPr>
                      <w:rFonts w:ascii="Times New Roman" w:hAnsi="Times New Roman" w:eastAsia="宋体"/>
                      <w:color w:val="auto"/>
                      <w:u w:val="none"/>
                    </w:rPr>
                  </w:pPr>
                </w:p>
              </w:tc>
              <w:tc>
                <w:tcPr>
                  <w:tcW w:w="398" w:type="pct"/>
                  <w:tcBorders>
                    <w:tl2br w:val="nil"/>
                    <w:tr2bl w:val="nil"/>
                  </w:tcBorders>
                  <w:vAlign w:val="center"/>
                </w:tcPr>
                <w:p w14:paraId="3752D54F">
                  <w:pPr>
                    <w:jc w:val="center"/>
                    <w:rPr>
                      <w:rFonts w:ascii="Times New Roman" w:hAnsi="Times New Roman" w:eastAsia="宋体"/>
                      <w:color w:val="auto"/>
                      <w:u w:val="none"/>
                    </w:rPr>
                  </w:pPr>
                  <w:r>
                    <w:rPr>
                      <w:u w:val="none"/>
                    </w:rPr>
                    <w:t>污染物排放管控</w:t>
                  </w:r>
                </w:p>
              </w:tc>
              <w:tc>
                <w:tcPr>
                  <w:tcW w:w="2655" w:type="pct"/>
                  <w:gridSpan w:val="5"/>
                  <w:tcBorders>
                    <w:tl2br w:val="nil"/>
                    <w:tr2bl w:val="nil"/>
                  </w:tcBorders>
                  <w:vAlign w:val="center"/>
                </w:tcPr>
                <w:p w14:paraId="5DBD07AD">
                  <w:pPr>
                    <w:jc w:val="both"/>
                    <w:rPr>
                      <w:rFonts w:hint="eastAsia" w:ascii="Times New Roman" w:hAnsi="Times New Roman" w:eastAsia="宋体"/>
                      <w:color w:val="auto"/>
                      <w:u w:val="none"/>
                    </w:rPr>
                  </w:pPr>
                  <w:r>
                    <w:rPr>
                      <w:rFonts w:hint="eastAsia" w:ascii="Times New Roman" w:hAnsi="Times New Roman" w:eastAsia="宋体"/>
                      <w:color w:val="auto"/>
                      <w:u w:val="none"/>
                    </w:rPr>
                    <w:t>（2.1）全域禁止露天焚烧秸秆。城区建成区规模以上的餐饮服务单位全部安装高效油烟净化设施。严格控制烟花爆竹燃放，城区全面禁止燃放烟花爆竹。</w:t>
                  </w:r>
                </w:p>
                <w:p w14:paraId="50A656C4">
                  <w:pPr>
                    <w:jc w:val="both"/>
                    <w:rPr>
                      <w:rFonts w:ascii="Times New Roman" w:hAnsi="Times New Roman" w:eastAsia="宋体"/>
                      <w:color w:val="auto"/>
                      <w:u w:val="none"/>
                    </w:rPr>
                  </w:pPr>
                  <w:r>
                    <w:rPr>
                      <w:rFonts w:hint="eastAsia" w:ascii="Times New Roman" w:hAnsi="Times New Roman" w:eastAsia="宋体"/>
                      <w:color w:val="auto"/>
                      <w:u w:val="none"/>
                    </w:rPr>
                    <w:t>（2.2）严格禁养区管理，依法处理违规畜禽养殖行为。对全市限养区、适养区内传统畜禽养殖场全面进行提质改造，配套建设畜禽废弃物无害化处理和资源化利用设施设备，使畜禽养殖污水稳定达标排放。</w:t>
                  </w:r>
                </w:p>
              </w:tc>
              <w:tc>
                <w:tcPr>
                  <w:tcW w:w="1364" w:type="pct"/>
                  <w:gridSpan w:val="2"/>
                  <w:tcBorders>
                    <w:tl2br w:val="nil"/>
                    <w:tr2bl w:val="nil"/>
                  </w:tcBorders>
                  <w:vAlign w:val="center"/>
                </w:tcPr>
                <w:p w14:paraId="185B86EE">
                  <w:pPr>
                    <w:jc w:val="center"/>
                    <w:rPr>
                      <w:rFonts w:ascii="Times New Roman" w:hAnsi="Times New Roman" w:eastAsia="宋体"/>
                      <w:color w:val="auto"/>
                      <w:u w:val="none"/>
                    </w:rPr>
                  </w:pPr>
                  <w:r>
                    <w:rPr>
                      <w:rFonts w:hint="eastAsia" w:ascii="Times New Roman" w:hAnsi="Times New Roman" w:eastAsia="宋体"/>
                      <w:color w:val="auto"/>
                      <w:u w:val="none"/>
                    </w:rPr>
                    <w:t>符合。</w:t>
                  </w:r>
                  <w:r>
                    <w:rPr>
                      <w:rFonts w:ascii="Times New Roman" w:hAnsi="Times New Roman" w:eastAsia="宋体"/>
                      <w:color w:val="auto"/>
                      <w:u w:val="none"/>
                    </w:rPr>
                    <w:t>本项目为</w:t>
                  </w:r>
                  <w:r>
                    <w:rPr>
                      <w:rFonts w:hint="eastAsia" w:ascii="Times New Roman" w:hAnsi="Times New Roman" w:eastAsia="宋体"/>
                      <w:color w:val="auto"/>
                      <w:u w:val="none"/>
                      <w:lang w:val="en-US" w:eastAsia="zh-CN"/>
                    </w:rPr>
                    <w:t>拦河闸除险加固</w:t>
                  </w:r>
                  <w:r>
                    <w:rPr>
                      <w:rFonts w:hint="eastAsia" w:ascii="Times New Roman" w:hAnsi="Times New Roman" w:eastAsia="宋体"/>
                      <w:color w:val="auto"/>
                      <w:u w:val="none"/>
                    </w:rPr>
                    <w:t>项目</w:t>
                  </w:r>
                  <w:r>
                    <w:rPr>
                      <w:rFonts w:hint="eastAsia" w:ascii="Times New Roman" w:hAnsi="Times New Roman" w:eastAsia="宋体"/>
                      <w:color w:val="auto"/>
                      <w:u w:val="none"/>
                      <w:lang w:eastAsia="zh-CN"/>
                    </w:rPr>
                    <w:t>，</w:t>
                  </w:r>
                  <w:r>
                    <w:rPr>
                      <w:rFonts w:hint="eastAsia" w:ascii="Times New Roman" w:hAnsi="Times New Roman" w:eastAsia="宋体"/>
                      <w:color w:val="auto"/>
                      <w:u w:val="none"/>
                      <w:lang w:val="en-US" w:eastAsia="zh-CN"/>
                    </w:rPr>
                    <w:t>不属于工业企业项目，不涉及</w:t>
                  </w:r>
                  <w:r>
                    <w:rPr>
                      <w:rFonts w:hint="eastAsia" w:ascii="Times New Roman" w:hAnsi="Times New Roman" w:eastAsia="宋体"/>
                      <w:color w:val="auto"/>
                      <w:u w:val="none"/>
                    </w:rPr>
                    <w:t>畜禽粪便。</w:t>
                  </w:r>
                </w:p>
              </w:tc>
            </w:tr>
            <w:tr w14:paraId="6760B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82" w:type="pct"/>
                  <w:vMerge w:val="continue"/>
                  <w:tcBorders>
                    <w:tl2br w:val="nil"/>
                    <w:tr2bl w:val="nil"/>
                  </w:tcBorders>
                  <w:vAlign w:val="center"/>
                </w:tcPr>
                <w:p w14:paraId="570CD454">
                  <w:pPr>
                    <w:jc w:val="center"/>
                    <w:rPr>
                      <w:rFonts w:ascii="Times New Roman" w:hAnsi="Times New Roman" w:eastAsia="宋体"/>
                      <w:color w:val="auto"/>
                      <w:u w:val="none"/>
                    </w:rPr>
                  </w:pPr>
                </w:p>
              </w:tc>
              <w:tc>
                <w:tcPr>
                  <w:tcW w:w="398" w:type="pct"/>
                  <w:tcBorders>
                    <w:tl2br w:val="nil"/>
                    <w:tr2bl w:val="nil"/>
                  </w:tcBorders>
                  <w:vAlign w:val="center"/>
                </w:tcPr>
                <w:p w14:paraId="223A91CE">
                  <w:pPr>
                    <w:jc w:val="center"/>
                    <w:rPr>
                      <w:rFonts w:ascii="Times New Roman" w:hAnsi="Times New Roman" w:eastAsia="宋体"/>
                      <w:color w:val="auto"/>
                      <w:u w:val="none"/>
                    </w:rPr>
                  </w:pPr>
                  <w:r>
                    <w:rPr>
                      <w:u w:val="none"/>
                    </w:rPr>
                    <w:t>环境风险防控</w:t>
                  </w:r>
                </w:p>
              </w:tc>
              <w:tc>
                <w:tcPr>
                  <w:tcW w:w="2655" w:type="pct"/>
                  <w:gridSpan w:val="5"/>
                  <w:tcBorders>
                    <w:tl2br w:val="nil"/>
                    <w:tr2bl w:val="nil"/>
                  </w:tcBorders>
                  <w:vAlign w:val="center"/>
                </w:tcPr>
                <w:p w14:paraId="3BF845E8">
                  <w:pPr>
                    <w:jc w:val="both"/>
                    <w:rPr>
                      <w:rFonts w:ascii="Times New Roman" w:hAnsi="Times New Roman" w:eastAsia="宋体"/>
                      <w:color w:val="auto"/>
                      <w:u w:val="none"/>
                    </w:rPr>
                  </w:pPr>
                  <w:r>
                    <w:rPr>
                      <w:rFonts w:hint="eastAsia" w:ascii="Times New Roman" w:hAnsi="Times New Roman" w:eastAsia="宋体"/>
                      <w:color w:val="auto"/>
                      <w:u w:val="none"/>
                    </w:rPr>
                    <w:t>（3.1）按照《永州市“十四五”生态环境保护规划》、《祁阳市突发环境事件应急预案》强化环境风险管控，完善环境风险防控体系。</w:t>
                  </w:r>
                </w:p>
              </w:tc>
              <w:tc>
                <w:tcPr>
                  <w:tcW w:w="1364" w:type="pct"/>
                  <w:gridSpan w:val="2"/>
                  <w:tcBorders>
                    <w:tl2br w:val="nil"/>
                    <w:tr2bl w:val="nil"/>
                  </w:tcBorders>
                  <w:vAlign w:val="center"/>
                </w:tcPr>
                <w:p w14:paraId="3E9EA65B">
                  <w:pPr>
                    <w:jc w:val="center"/>
                    <w:rPr>
                      <w:rFonts w:hint="default" w:ascii="Times New Roman" w:hAnsi="Times New Roman" w:eastAsia="宋体"/>
                      <w:color w:val="auto"/>
                      <w:u w:val="none"/>
                      <w:lang w:val="en-US" w:eastAsia="zh-CN"/>
                    </w:rPr>
                  </w:pPr>
                  <w:r>
                    <w:rPr>
                      <w:rFonts w:hint="eastAsia" w:ascii="Times New Roman" w:hAnsi="Times New Roman" w:eastAsia="宋体"/>
                      <w:color w:val="auto"/>
                      <w:u w:val="none"/>
                    </w:rPr>
                    <w:t>符合。</w:t>
                  </w:r>
                  <w:r>
                    <w:rPr>
                      <w:rFonts w:hint="eastAsia" w:ascii="Times New Roman" w:hAnsi="Times New Roman" w:eastAsia="宋体"/>
                      <w:color w:val="auto"/>
                      <w:u w:val="none"/>
                      <w:lang w:val="en-US" w:eastAsia="zh-CN"/>
                    </w:rPr>
                    <w:t>本项目会建立健全</w:t>
                  </w:r>
                  <w:r>
                    <w:rPr>
                      <w:rFonts w:hint="eastAsia" w:ascii="Times New Roman" w:hAnsi="Times New Roman" w:eastAsia="宋体"/>
                      <w:color w:val="auto"/>
                      <w:u w:val="none"/>
                    </w:rPr>
                    <w:t>环境风险防控体系。</w:t>
                  </w:r>
                </w:p>
              </w:tc>
            </w:tr>
            <w:tr w14:paraId="2D57F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82" w:type="pct"/>
                  <w:vMerge w:val="continue"/>
                  <w:tcBorders>
                    <w:tl2br w:val="nil"/>
                    <w:tr2bl w:val="nil"/>
                  </w:tcBorders>
                  <w:vAlign w:val="center"/>
                </w:tcPr>
                <w:p w14:paraId="04A88A03">
                  <w:pPr>
                    <w:jc w:val="center"/>
                    <w:rPr>
                      <w:rFonts w:ascii="Times New Roman" w:hAnsi="Times New Roman" w:eastAsia="宋体"/>
                      <w:color w:val="auto"/>
                      <w:u w:val="none"/>
                    </w:rPr>
                  </w:pPr>
                </w:p>
              </w:tc>
              <w:tc>
                <w:tcPr>
                  <w:tcW w:w="398" w:type="pct"/>
                  <w:tcBorders>
                    <w:tl2br w:val="nil"/>
                    <w:tr2bl w:val="nil"/>
                  </w:tcBorders>
                  <w:vAlign w:val="center"/>
                </w:tcPr>
                <w:p w14:paraId="50C3377B">
                  <w:pPr>
                    <w:jc w:val="center"/>
                    <w:rPr>
                      <w:rFonts w:ascii="Times New Roman" w:hAnsi="Times New Roman" w:eastAsia="宋体"/>
                      <w:color w:val="auto"/>
                      <w:u w:val="none"/>
                    </w:rPr>
                  </w:pPr>
                  <w:r>
                    <w:rPr>
                      <w:u w:val="none"/>
                    </w:rPr>
                    <w:t>资源开发效率要求</w:t>
                  </w:r>
                </w:p>
              </w:tc>
              <w:tc>
                <w:tcPr>
                  <w:tcW w:w="2655" w:type="pct"/>
                  <w:gridSpan w:val="5"/>
                  <w:tcBorders>
                    <w:tl2br w:val="nil"/>
                    <w:tr2bl w:val="nil"/>
                  </w:tcBorders>
                  <w:vAlign w:val="center"/>
                </w:tcPr>
                <w:p w14:paraId="78AC38D5">
                  <w:pPr>
                    <w:rPr>
                      <w:rFonts w:hint="eastAsia" w:ascii="Times New Roman" w:hAnsi="Times New Roman" w:eastAsia="宋体"/>
                      <w:color w:val="auto"/>
                      <w:u w:val="none"/>
                    </w:rPr>
                  </w:pPr>
                  <w:r>
                    <w:rPr>
                      <w:rFonts w:hint="eastAsia" w:ascii="Times New Roman" w:hAnsi="Times New Roman" w:eastAsia="宋体"/>
                      <w:color w:val="auto"/>
                      <w:u w:val="none"/>
                    </w:rPr>
                    <w:t>（4.1）能源：</w:t>
                  </w:r>
                </w:p>
                <w:p w14:paraId="6DE26EDB">
                  <w:pPr>
                    <w:rPr>
                      <w:rFonts w:hint="eastAsia" w:ascii="Times New Roman" w:hAnsi="Times New Roman" w:eastAsia="宋体"/>
                      <w:color w:val="auto"/>
                      <w:u w:val="none"/>
                    </w:rPr>
                  </w:pPr>
                  <w:r>
                    <w:rPr>
                      <w:rFonts w:hint="eastAsia" w:ascii="Times New Roman" w:hAnsi="Times New Roman" w:eastAsia="宋体"/>
                      <w:color w:val="auto"/>
                      <w:u w:val="none"/>
                    </w:rPr>
                    <w:t>加快推进煤改气、煤改电、煤改清洁能源等工程实施，拓展天然气供应渠道，加快建设风能、太阳能、生物质能和地热等新能源应用示范项目，并逐步推广，减少煤炭使用量，到 2025 年煤炭占一次能源消费比重控制在 50%以内。</w:t>
                  </w:r>
                </w:p>
                <w:p w14:paraId="5CDF8B0A">
                  <w:pPr>
                    <w:rPr>
                      <w:rFonts w:hint="eastAsia" w:ascii="Times New Roman" w:hAnsi="Times New Roman" w:eastAsia="宋体"/>
                      <w:color w:val="auto"/>
                      <w:u w:val="none"/>
                    </w:rPr>
                  </w:pPr>
                  <w:r>
                    <w:rPr>
                      <w:rFonts w:hint="eastAsia" w:ascii="Times New Roman" w:hAnsi="Times New Roman" w:eastAsia="宋体"/>
                      <w:color w:val="auto"/>
                      <w:u w:val="none"/>
                    </w:rPr>
                    <w:t>（4.2）水资源：</w:t>
                  </w:r>
                </w:p>
                <w:p w14:paraId="7966AD18">
                  <w:pPr>
                    <w:rPr>
                      <w:rFonts w:hint="eastAsia" w:ascii="Times New Roman" w:hAnsi="Times New Roman" w:eastAsia="宋体"/>
                      <w:color w:val="auto"/>
                      <w:u w:val="none"/>
                    </w:rPr>
                  </w:pPr>
                  <w:r>
                    <w:rPr>
                      <w:rFonts w:hint="eastAsia" w:ascii="Times New Roman" w:hAnsi="Times New Roman" w:eastAsia="宋体"/>
                      <w:color w:val="auto"/>
                      <w:u w:val="none"/>
                    </w:rPr>
                    <w:t>（4.2.1）到 2025 年，祁阳市用水总量控制在 34567 万立方米以内，农业用水总量控制在 28071 万立方米以内，万元地区生产总值用水量、万元工业增加值用水量分别比 2020年降低 18.06%、8.87%，农田灌溉水有效利用系数为 0.545。</w:t>
                  </w:r>
                </w:p>
                <w:p w14:paraId="2E3444A7">
                  <w:pPr>
                    <w:rPr>
                      <w:rFonts w:hint="eastAsia" w:ascii="Times New Roman" w:hAnsi="Times New Roman" w:eastAsia="宋体"/>
                      <w:color w:val="auto"/>
                      <w:u w:val="none"/>
                    </w:rPr>
                  </w:pPr>
                  <w:r>
                    <w:rPr>
                      <w:rFonts w:hint="eastAsia" w:ascii="Times New Roman" w:hAnsi="Times New Roman" w:eastAsia="宋体"/>
                      <w:color w:val="auto"/>
                      <w:u w:val="none"/>
                    </w:rPr>
                    <w:t>（4.2.2）加强生态流量保障。“十四五”期间通过明确闸坝、水库生态调度任务和推进农村水电站生态流量监管，对水资源进行优化调度，保障河流生态流量和最小水位要求。</w:t>
                  </w:r>
                </w:p>
                <w:p w14:paraId="5CAABA5C">
                  <w:pPr>
                    <w:rPr>
                      <w:rFonts w:hint="eastAsia" w:ascii="Times New Roman" w:hAnsi="Times New Roman" w:eastAsia="宋体"/>
                      <w:color w:val="auto"/>
                      <w:u w:val="none"/>
                    </w:rPr>
                  </w:pPr>
                  <w:r>
                    <w:rPr>
                      <w:rFonts w:hint="eastAsia" w:ascii="Times New Roman" w:hAnsi="Times New Roman" w:eastAsia="宋体"/>
                      <w:color w:val="auto"/>
                      <w:u w:val="none"/>
                    </w:rPr>
                    <w:t>（4.3）土地资源：</w:t>
                  </w:r>
                </w:p>
                <w:p w14:paraId="491402AF">
                  <w:pPr>
                    <w:rPr>
                      <w:rFonts w:hint="eastAsia" w:ascii="Times New Roman" w:hAnsi="Times New Roman" w:eastAsia="宋体"/>
                      <w:color w:val="auto"/>
                      <w:u w:val="none"/>
                    </w:rPr>
                  </w:pPr>
                  <w:r>
                    <w:rPr>
                      <w:rFonts w:hint="eastAsia" w:ascii="Times New Roman" w:hAnsi="Times New Roman" w:eastAsia="宋体"/>
                      <w:color w:val="auto"/>
                      <w:u w:val="none"/>
                    </w:rPr>
                    <w:t>规划到 2035 年，全市耕地保有量不低于 70.11 万亩（其中金洞管理区 2.62 万亩），永久基本农田保护面积不低于 65 万亩（其中金洞管理区 2.38 万亩），全市生态保护红线面积不低于 523.30 平方千米（其中金洞管理区 104.38 平方千米）；全市划定城镇开发边界 54.96 平方千米以内（其中金洞管理区控制在 0.86 平方千米以内），划定城镇发展区5561.36 公顷，乡村发展区 88006.56 公顷，矿产能源发展区 779.61 公顷。</w:t>
                  </w:r>
                </w:p>
                <w:p w14:paraId="684CFF4A">
                  <w:pPr>
                    <w:rPr>
                      <w:rFonts w:hint="eastAsia" w:ascii="Times New Roman" w:hAnsi="Times New Roman" w:eastAsia="宋体"/>
                      <w:color w:val="auto"/>
                      <w:u w:val="none"/>
                    </w:rPr>
                  </w:pPr>
                  <w:r>
                    <w:rPr>
                      <w:rFonts w:hint="eastAsia" w:ascii="Times New Roman" w:hAnsi="Times New Roman" w:eastAsia="宋体"/>
                      <w:color w:val="auto"/>
                      <w:u w:val="none"/>
                    </w:rPr>
                    <w:t>（4.4）文富市镇、文明铺镇：高污染燃料禁燃区执行《祁阳县人民政府关于调整高污染燃料禁燃区的通知》（祁政发〔2020〕23 号）有关规定。</w:t>
                  </w:r>
                </w:p>
              </w:tc>
              <w:tc>
                <w:tcPr>
                  <w:tcW w:w="1364" w:type="pct"/>
                  <w:gridSpan w:val="2"/>
                  <w:tcBorders>
                    <w:tl2br w:val="nil"/>
                    <w:tr2bl w:val="nil"/>
                  </w:tcBorders>
                  <w:vAlign w:val="center"/>
                </w:tcPr>
                <w:p w14:paraId="263A8047">
                  <w:pPr>
                    <w:jc w:val="center"/>
                    <w:rPr>
                      <w:rFonts w:hint="default" w:ascii="Times New Roman" w:hAnsi="Times New Roman" w:eastAsia="宋体"/>
                      <w:color w:val="auto"/>
                      <w:u w:val="none"/>
                      <w:lang w:val="en-US" w:eastAsia="zh-CN"/>
                    </w:rPr>
                  </w:pPr>
                  <w:r>
                    <w:rPr>
                      <w:rFonts w:hint="eastAsia" w:ascii="Times New Roman" w:hAnsi="Times New Roman" w:eastAsia="宋体"/>
                      <w:color w:val="auto"/>
                      <w:u w:val="none"/>
                    </w:rPr>
                    <w:t>符合。项目不新建、扩建燃用高污染燃料的锅炉、炉窑、炉灶等燃烧设施。</w:t>
                  </w:r>
                  <w:r>
                    <w:rPr>
                      <w:rFonts w:hint="eastAsia" w:ascii="Times New Roman" w:hAnsi="Times New Roman" w:eastAsia="宋体"/>
                      <w:color w:val="auto"/>
                      <w:u w:val="none"/>
                      <w:lang w:val="en-US" w:eastAsia="zh-CN"/>
                    </w:rPr>
                    <w:t>本工程运行期间会保障</w:t>
                  </w:r>
                  <w:r>
                    <w:rPr>
                      <w:rFonts w:hint="eastAsia" w:ascii="Times New Roman" w:hAnsi="Times New Roman" w:eastAsia="宋体"/>
                      <w:color w:val="auto"/>
                      <w:u w:val="none"/>
                    </w:rPr>
                    <w:t>河流生态流量和最小水位要求。</w:t>
                  </w:r>
                  <w:r>
                    <w:rPr>
                      <w:rFonts w:hint="eastAsia" w:ascii="Times New Roman" w:hAnsi="Times New Roman" w:eastAsia="宋体"/>
                      <w:color w:val="auto"/>
                      <w:u w:val="none"/>
                      <w:lang w:val="en-US" w:eastAsia="zh-CN"/>
                    </w:rPr>
                    <w:t>本项目不涉及永久基本农田和生态保护红线。</w:t>
                  </w:r>
                </w:p>
              </w:tc>
            </w:tr>
          </w:tbl>
          <w:p w14:paraId="7882A6B6">
            <w:pPr>
              <w:autoSpaceDE w:val="0"/>
              <w:autoSpaceDN w:val="0"/>
              <w:adjustRightInd w:val="0"/>
              <w:snapToGrid w:val="0"/>
              <w:spacing w:line="360" w:lineRule="auto"/>
              <w:ind w:firstLine="480" w:firstLineChars="200"/>
              <w:rPr>
                <w:sz w:val="24"/>
                <w:szCs w:val="24"/>
                <w:u w:val="single"/>
              </w:rPr>
            </w:pPr>
          </w:p>
          <w:p w14:paraId="2DC4C7C7">
            <w:pPr>
              <w:autoSpaceDE w:val="0"/>
              <w:autoSpaceDN w:val="0"/>
              <w:adjustRightInd w:val="0"/>
              <w:snapToGrid w:val="0"/>
              <w:spacing w:line="360" w:lineRule="auto"/>
              <w:ind w:firstLine="480" w:firstLineChars="200"/>
              <w:rPr>
                <w:rFonts w:hint="eastAsia" w:eastAsia="宋体"/>
                <w:sz w:val="24"/>
                <w:szCs w:val="24"/>
                <w:u w:val="none"/>
                <w:lang w:eastAsia="zh-CN"/>
              </w:rPr>
            </w:pPr>
            <w:r>
              <w:rPr>
                <w:sz w:val="24"/>
                <w:szCs w:val="24"/>
                <w:u w:val="none"/>
              </w:rPr>
              <w:t>综上，本项目与</w:t>
            </w:r>
            <w:r>
              <w:rPr>
                <w:rFonts w:hint="default" w:ascii="Times New Roman" w:hAnsi="Times New Roman" w:cs="Times New Roman"/>
                <w:color w:val="auto"/>
                <w:sz w:val="24"/>
                <w:szCs w:val="24"/>
                <w:highlight w:val="none"/>
                <w:u w:val="none"/>
              </w:rPr>
              <w:t>《</w:t>
            </w:r>
            <w:r>
              <w:rPr>
                <w:rFonts w:hint="eastAsia" w:ascii="Times New Roman" w:hAnsi="Times New Roman" w:cs="Times New Roman"/>
                <w:color w:val="auto"/>
                <w:sz w:val="24"/>
                <w:szCs w:val="24"/>
                <w:highlight w:val="none"/>
                <w:u w:val="none"/>
                <w:lang w:eastAsia="zh-CN"/>
              </w:rPr>
              <w:t>永州</w:t>
            </w:r>
            <w:r>
              <w:rPr>
                <w:rFonts w:hint="default" w:ascii="Times New Roman" w:hAnsi="Times New Roman" w:cs="Times New Roman"/>
                <w:color w:val="auto"/>
                <w:sz w:val="24"/>
                <w:szCs w:val="24"/>
                <w:highlight w:val="none"/>
                <w:u w:val="none"/>
              </w:rPr>
              <w:t>市生态环境</w:t>
            </w:r>
            <w:r>
              <w:rPr>
                <w:rFonts w:hint="eastAsia" w:ascii="Times New Roman" w:hAnsi="Times New Roman" w:cs="Times New Roman"/>
                <w:color w:val="auto"/>
                <w:sz w:val="24"/>
                <w:szCs w:val="24"/>
                <w:highlight w:val="none"/>
                <w:u w:val="none"/>
                <w:lang w:val="en-US" w:eastAsia="zh-CN"/>
              </w:rPr>
              <w:t>分区</w:t>
            </w:r>
            <w:r>
              <w:rPr>
                <w:rFonts w:hint="default" w:ascii="Times New Roman" w:hAnsi="Times New Roman" w:cs="Times New Roman"/>
                <w:color w:val="auto"/>
                <w:sz w:val="24"/>
                <w:szCs w:val="24"/>
                <w:highlight w:val="none"/>
                <w:u w:val="none"/>
              </w:rPr>
              <w:t>管控更新成果（2023版）》</w:t>
            </w:r>
            <w:r>
              <w:rPr>
                <w:sz w:val="24"/>
                <w:szCs w:val="24"/>
                <w:u w:val="none"/>
              </w:rPr>
              <w:t>要求相符合</w:t>
            </w:r>
            <w:r>
              <w:rPr>
                <w:rFonts w:hint="eastAsia"/>
                <w:color w:val="auto"/>
                <w:sz w:val="24"/>
                <w:u w:val="none"/>
                <w:lang w:eastAsia="zh-CN"/>
              </w:rPr>
              <w:t>。</w:t>
            </w:r>
          </w:p>
          <w:p w14:paraId="6EE1A7C7">
            <w:pPr>
              <w:spacing w:line="360" w:lineRule="auto"/>
              <w:ind w:firstLine="472" w:firstLineChars="196"/>
              <w:rPr>
                <w:sz w:val="24"/>
                <w:szCs w:val="24"/>
              </w:rPr>
            </w:pPr>
            <w:r>
              <w:rPr>
                <w:rFonts w:hint="eastAsia"/>
                <w:b/>
                <w:bCs/>
                <w:sz w:val="24"/>
                <w:szCs w:val="24"/>
                <w:lang w:val="en-US" w:eastAsia="zh-CN"/>
              </w:rPr>
              <w:t>二、</w:t>
            </w:r>
            <w:r>
              <w:rPr>
                <w:b/>
                <w:bCs/>
                <w:sz w:val="24"/>
                <w:szCs w:val="24"/>
              </w:rPr>
              <w:t>产业政策</w:t>
            </w:r>
          </w:p>
          <w:p w14:paraId="4C96D14B">
            <w:pPr>
              <w:spacing w:line="360" w:lineRule="auto"/>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本项目属于《产业结构调整指导目录</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20</w:t>
            </w:r>
            <w:r>
              <w:rPr>
                <w:rFonts w:hint="eastAsia" w:ascii="Times New Roman" w:hAnsi="Times New Roman" w:eastAsia="宋体" w:cs="Times New Roman"/>
                <w:b w:val="0"/>
                <w:bCs w:val="0"/>
                <w:color w:val="auto"/>
                <w:sz w:val="24"/>
                <w:szCs w:val="24"/>
                <w:lang w:val="en-US" w:eastAsia="zh-CN"/>
              </w:rPr>
              <w:t>24</w:t>
            </w:r>
            <w:r>
              <w:rPr>
                <w:rFonts w:hint="default" w:ascii="Times New Roman" w:hAnsi="Times New Roman" w:eastAsia="宋体" w:cs="Times New Roman"/>
                <w:b w:val="0"/>
                <w:bCs w:val="0"/>
                <w:color w:val="auto"/>
                <w:sz w:val="24"/>
                <w:szCs w:val="24"/>
              </w:rPr>
              <w:t>年本</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》中</w:t>
            </w:r>
            <w:r>
              <w:rPr>
                <w:rFonts w:hint="eastAsia" w:ascii="宋体" w:hAnsi="宋体" w:eastAsia="宋体" w:cs="宋体"/>
                <w:b w:val="0"/>
                <w:bCs w:val="0"/>
                <w:color w:val="auto"/>
                <w:sz w:val="24"/>
                <w:szCs w:val="24"/>
              </w:rPr>
              <w:t>“第一类鼓励类”中“二、水利”中的“3</w:t>
            </w:r>
            <w:r>
              <w:rPr>
                <w:rFonts w:hint="default" w:ascii="Times New Roman" w:hAnsi="Times New Roman" w:eastAsia="宋体" w:cs="Times New Roman"/>
                <w:b w:val="0"/>
                <w:bCs w:val="0"/>
                <w:color w:val="auto"/>
                <w:sz w:val="24"/>
                <w:szCs w:val="24"/>
              </w:rPr>
              <w:t>．</w:t>
            </w:r>
            <w:r>
              <w:rPr>
                <w:rFonts w:hint="default" w:ascii="Times New Roman" w:hAnsi="Times New Roman" w:cs="Times New Roman"/>
                <w:b w:val="0"/>
                <w:bCs w:val="0"/>
                <w:color w:val="auto"/>
                <w:sz w:val="24"/>
                <w:lang w:val="en-US" w:eastAsia="zh-CN"/>
              </w:rPr>
              <w:t>防洪提升工程：病险水闸、水闸除险加固工程</w:t>
            </w:r>
            <w:r>
              <w:rPr>
                <w:rFonts w:hint="eastAsia" w:ascii="宋体" w:hAnsi="宋体" w:eastAsia="宋体" w:cs="宋体"/>
                <w:b w:val="0"/>
                <w:bCs w:val="0"/>
                <w:color w:val="auto"/>
                <w:sz w:val="24"/>
                <w:szCs w:val="24"/>
              </w:rPr>
              <w:t>”，</w:t>
            </w:r>
            <w:r>
              <w:rPr>
                <w:rFonts w:hint="default" w:ascii="Times New Roman" w:hAnsi="Times New Roman" w:eastAsia="宋体" w:cs="Times New Roman"/>
                <w:b w:val="0"/>
                <w:bCs w:val="0"/>
                <w:color w:val="auto"/>
                <w:sz w:val="24"/>
                <w:szCs w:val="24"/>
              </w:rPr>
              <w:t>属于鼓励类建设项目，符合国家产业政策。</w:t>
            </w:r>
          </w:p>
          <w:p w14:paraId="23C736C4">
            <w:pPr>
              <w:spacing w:line="360" w:lineRule="auto"/>
              <w:ind w:firstLine="480" w:firstLineChars="200"/>
              <w:rPr>
                <w:rFonts w:hint="eastAsia"/>
                <w:sz w:val="24"/>
                <w:szCs w:val="24"/>
              </w:rPr>
            </w:pPr>
            <w:r>
              <w:rPr>
                <w:rFonts w:hint="default" w:ascii="Times New Roman" w:hAnsi="Times New Roman" w:eastAsia="宋体" w:cs="Times New Roman"/>
                <w:b w:val="0"/>
                <w:bCs w:val="0"/>
                <w:color w:val="auto"/>
                <w:sz w:val="24"/>
                <w:szCs w:val="24"/>
                <w:lang w:eastAsia="zh-CN"/>
              </w:rPr>
              <w:t>同时，</w:t>
            </w:r>
            <w:r>
              <w:rPr>
                <w:rFonts w:hint="eastAsia" w:ascii="Times New Roman" w:hAnsi="Times New Roman" w:eastAsia="宋体" w:cs="Times New Roman"/>
                <w:b w:val="0"/>
                <w:bCs w:val="0"/>
                <w:color w:val="auto"/>
                <w:sz w:val="24"/>
                <w:szCs w:val="24"/>
                <w:lang w:val="en-US" w:eastAsia="zh-CN"/>
              </w:rPr>
              <w:t>祁阳市</w:t>
            </w:r>
            <w:r>
              <w:rPr>
                <w:rFonts w:hint="default" w:ascii="Times New Roman" w:hAnsi="Times New Roman" w:eastAsia="宋体" w:cs="Times New Roman"/>
                <w:b w:val="0"/>
                <w:bCs w:val="0"/>
                <w:color w:val="auto"/>
                <w:sz w:val="24"/>
                <w:szCs w:val="24"/>
                <w:lang w:eastAsia="zh-CN"/>
              </w:rPr>
              <w:t>发展和改革</w:t>
            </w:r>
            <w:r>
              <w:rPr>
                <w:rFonts w:hint="eastAsia" w:ascii="Times New Roman" w:hAnsi="Times New Roman" w:eastAsia="宋体" w:cs="Times New Roman"/>
                <w:b w:val="0"/>
                <w:bCs w:val="0"/>
                <w:color w:val="auto"/>
                <w:sz w:val="24"/>
                <w:szCs w:val="24"/>
                <w:lang w:val="en-US" w:eastAsia="zh-CN"/>
              </w:rPr>
              <w:t>局</w:t>
            </w:r>
            <w:r>
              <w:rPr>
                <w:rFonts w:hint="default" w:ascii="Times New Roman" w:hAnsi="Times New Roman" w:eastAsia="宋体" w:cs="Times New Roman"/>
                <w:b w:val="0"/>
                <w:bCs w:val="0"/>
                <w:color w:val="auto"/>
                <w:sz w:val="24"/>
                <w:szCs w:val="24"/>
                <w:lang w:eastAsia="zh-CN"/>
              </w:rPr>
              <w:t>于202</w:t>
            </w:r>
            <w:r>
              <w:rPr>
                <w:rFonts w:hint="eastAsia" w:ascii="Times New Roman" w:hAnsi="Times New Roman" w:eastAsia="宋体" w:cs="Times New Roman"/>
                <w:b w:val="0"/>
                <w:bCs w:val="0"/>
                <w:color w:val="auto"/>
                <w:sz w:val="24"/>
                <w:szCs w:val="24"/>
                <w:lang w:val="en-US" w:eastAsia="zh-CN"/>
              </w:rPr>
              <w:t>4</w:t>
            </w:r>
            <w:r>
              <w:rPr>
                <w:rFonts w:hint="default" w:ascii="Times New Roman" w:hAnsi="Times New Roman" w:eastAsia="宋体" w:cs="Times New Roman"/>
                <w:b w:val="0"/>
                <w:bCs w:val="0"/>
                <w:color w:val="auto"/>
                <w:sz w:val="24"/>
                <w:szCs w:val="24"/>
                <w:lang w:eastAsia="zh-CN"/>
              </w:rPr>
              <w:t>年</w:t>
            </w:r>
            <w:r>
              <w:rPr>
                <w:rFonts w:hint="eastAsia" w:ascii="Times New Roman" w:hAnsi="Times New Roman" w:eastAsia="宋体" w:cs="Times New Roman"/>
                <w:b w:val="0"/>
                <w:bCs w:val="0"/>
                <w:color w:val="auto"/>
                <w:sz w:val="24"/>
                <w:szCs w:val="24"/>
                <w:lang w:val="en-US" w:eastAsia="zh-CN"/>
              </w:rPr>
              <w:t>12</w:t>
            </w:r>
            <w:r>
              <w:rPr>
                <w:rFonts w:hint="default" w:ascii="Times New Roman" w:hAnsi="Times New Roman" w:eastAsia="宋体" w:cs="Times New Roman"/>
                <w:b w:val="0"/>
                <w:bCs w:val="0"/>
                <w:color w:val="auto"/>
                <w:sz w:val="24"/>
                <w:szCs w:val="24"/>
                <w:lang w:eastAsia="zh-CN"/>
              </w:rPr>
              <w:t>月</w:t>
            </w:r>
            <w:r>
              <w:rPr>
                <w:rFonts w:hint="eastAsia" w:ascii="Times New Roman" w:hAnsi="Times New Roman" w:eastAsia="宋体" w:cs="Times New Roman"/>
                <w:b w:val="0"/>
                <w:bCs w:val="0"/>
                <w:color w:val="auto"/>
                <w:sz w:val="24"/>
                <w:szCs w:val="24"/>
                <w:lang w:val="en-US" w:eastAsia="zh-CN"/>
              </w:rPr>
              <w:t>18</w:t>
            </w:r>
            <w:r>
              <w:rPr>
                <w:rFonts w:hint="default" w:ascii="Times New Roman" w:hAnsi="Times New Roman" w:eastAsia="宋体" w:cs="Times New Roman"/>
                <w:b w:val="0"/>
                <w:bCs w:val="0"/>
                <w:color w:val="auto"/>
                <w:sz w:val="24"/>
                <w:szCs w:val="24"/>
                <w:lang w:eastAsia="zh-CN"/>
              </w:rPr>
              <w:t>日</w:t>
            </w:r>
            <w:r>
              <w:rPr>
                <w:rFonts w:hint="default" w:ascii="Times New Roman" w:hAnsi="Times New Roman" w:eastAsia="宋体" w:cs="Times New Roman"/>
                <w:b w:val="0"/>
                <w:bCs w:val="0"/>
                <w:color w:val="auto"/>
                <w:sz w:val="24"/>
                <w:szCs w:val="24"/>
              </w:rPr>
              <w:t>以</w:t>
            </w:r>
            <w:r>
              <w:rPr>
                <w:rFonts w:hint="eastAsia" w:ascii="Times New Roman" w:hAnsi="Times New Roman" w:eastAsia="宋体" w:cs="Times New Roman"/>
                <w:b w:val="0"/>
                <w:bCs w:val="0"/>
                <w:color w:val="auto"/>
                <w:sz w:val="24"/>
                <w:szCs w:val="24"/>
                <w:lang w:val="en-US" w:eastAsia="zh-CN"/>
              </w:rPr>
              <w:t>祁</w:t>
            </w:r>
            <w:r>
              <w:rPr>
                <w:rFonts w:hint="default" w:ascii="Times New Roman" w:hAnsi="Times New Roman" w:eastAsia="宋体" w:cs="Times New Roman"/>
                <w:b w:val="0"/>
                <w:bCs w:val="0"/>
                <w:color w:val="auto"/>
                <w:sz w:val="24"/>
                <w:szCs w:val="24"/>
                <w:lang w:eastAsia="zh-CN"/>
              </w:rPr>
              <w:t>发改</w:t>
            </w:r>
            <w:r>
              <w:rPr>
                <w:rFonts w:hint="eastAsia" w:ascii="Times New Roman" w:hAnsi="Times New Roman" w:eastAsia="宋体" w:cs="Times New Roman"/>
                <w:b w:val="0"/>
                <w:bCs w:val="0"/>
                <w:color w:val="auto"/>
                <w:sz w:val="24"/>
                <w:szCs w:val="24"/>
                <w:lang w:val="en-US" w:eastAsia="zh-CN"/>
              </w:rPr>
              <w:t>基字</w:t>
            </w:r>
            <w:r>
              <w:rPr>
                <w:rFonts w:hint="default" w:ascii="Times New Roman" w:hAnsi="Times New Roman" w:eastAsia="宋体" w:cs="Times New Roman"/>
                <w:b w:val="0"/>
                <w:bCs w:val="0"/>
                <w:color w:val="auto"/>
                <w:sz w:val="24"/>
                <w:szCs w:val="24"/>
                <w:lang w:eastAsia="zh-CN"/>
              </w:rPr>
              <w:t>[202</w:t>
            </w:r>
            <w:r>
              <w:rPr>
                <w:rFonts w:hint="eastAsia" w:ascii="Times New Roman" w:hAnsi="Times New Roman" w:eastAsia="宋体" w:cs="Times New Roman"/>
                <w:b w:val="0"/>
                <w:bCs w:val="0"/>
                <w:color w:val="auto"/>
                <w:sz w:val="24"/>
                <w:szCs w:val="24"/>
                <w:lang w:val="en-US" w:eastAsia="zh-CN"/>
              </w:rPr>
              <w:t>4</w:t>
            </w:r>
            <w:r>
              <w:rPr>
                <w:rFonts w:hint="default"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val="en-US" w:eastAsia="zh-CN"/>
              </w:rPr>
              <w:t>82</w:t>
            </w:r>
            <w:r>
              <w:rPr>
                <w:rFonts w:hint="default" w:ascii="Times New Roman" w:hAnsi="Times New Roman" w:eastAsia="宋体" w:cs="Times New Roman"/>
                <w:b w:val="0"/>
                <w:bCs w:val="0"/>
                <w:color w:val="auto"/>
                <w:sz w:val="24"/>
                <w:szCs w:val="24"/>
                <w:lang w:eastAsia="zh-CN"/>
              </w:rPr>
              <w:t>号</w:t>
            </w:r>
            <w:r>
              <w:rPr>
                <w:rFonts w:hint="default" w:ascii="Times New Roman" w:hAnsi="Times New Roman" w:eastAsia="宋体" w:cs="Times New Roman"/>
                <w:b w:val="0"/>
                <w:bCs w:val="0"/>
                <w:color w:val="auto"/>
                <w:sz w:val="24"/>
                <w:szCs w:val="24"/>
              </w:rPr>
              <w:t>文批复了该项目可行性研究报告</w:t>
            </w:r>
            <w:r>
              <w:rPr>
                <w:rFonts w:hint="default" w:ascii="Times New Roman" w:hAnsi="Times New Roman" w:eastAsia="宋体" w:cs="Times New Roman"/>
                <w:b w:val="0"/>
                <w:bCs w:val="0"/>
                <w:color w:val="auto"/>
                <w:sz w:val="24"/>
                <w:szCs w:val="24"/>
                <w:lang w:eastAsia="zh-CN"/>
              </w:rPr>
              <w:t>，项目代码：</w:t>
            </w:r>
            <w:r>
              <w:rPr>
                <w:rFonts w:hint="default"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lang w:val="en-US" w:eastAsia="zh-CN"/>
              </w:rPr>
              <w:t>309</w:t>
            </w:r>
            <w:r>
              <w:rPr>
                <w:rFonts w:hint="default" w:ascii="Times New Roman" w:hAnsi="Times New Roman" w:eastAsia="宋体" w:cs="Times New Roman"/>
                <w:b w:val="0"/>
                <w:bCs w:val="0"/>
                <w:color w:val="auto"/>
                <w:sz w:val="24"/>
                <w:szCs w:val="24"/>
                <w:lang w:val="en-US" w:eastAsia="zh-CN"/>
              </w:rPr>
              <w:t>-</w:t>
            </w:r>
            <w:r>
              <w:rPr>
                <w:rFonts w:hint="eastAsia" w:ascii="Times New Roman" w:hAnsi="Times New Roman" w:eastAsia="宋体" w:cs="Times New Roman"/>
                <w:b w:val="0"/>
                <w:bCs w:val="0"/>
                <w:color w:val="auto"/>
                <w:sz w:val="24"/>
                <w:szCs w:val="24"/>
                <w:lang w:val="en-US" w:eastAsia="zh-CN"/>
              </w:rPr>
              <w:t>431121</w:t>
            </w:r>
            <w:r>
              <w:rPr>
                <w:rFonts w:hint="default" w:ascii="Times New Roman" w:hAnsi="Times New Roman" w:eastAsia="宋体" w:cs="Times New Roman"/>
                <w:b w:val="0"/>
                <w:bCs w:val="0"/>
                <w:color w:val="auto"/>
                <w:sz w:val="24"/>
                <w:szCs w:val="24"/>
                <w:lang w:val="en-US" w:eastAsia="zh-CN"/>
              </w:rPr>
              <w:t>-04-01-</w:t>
            </w:r>
            <w:r>
              <w:rPr>
                <w:rFonts w:hint="eastAsia" w:ascii="Times New Roman" w:hAnsi="Times New Roman" w:eastAsia="宋体" w:cs="Times New Roman"/>
                <w:b w:val="0"/>
                <w:bCs w:val="0"/>
                <w:color w:val="auto"/>
                <w:sz w:val="24"/>
                <w:szCs w:val="24"/>
                <w:lang w:val="en-US" w:eastAsia="zh-CN"/>
              </w:rPr>
              <w:t>830181</w:t>
            </w:r>
            <w:r>
              <w:rPr>
                <w:rFonts w:hint="eastAsia"/>
                <w:sz w:val="24"/>
                <w:szCs w:val="24"/>
              </w:rPr>
              <w:t>。</w:t>
            </w:r>
          </w:p>
          <w:p w14:paraId="29AF262E">
            <w:pPr>
              <w:spacing w:line="360" w:lineRule="auto"/>
              <w:ind w:firstLine="480" w:firstLineChars="200"/>
              <w:rPr>
                <w:sz w:val="24"/>
                <w:szCs w:val="24"/>
              </w:rPr>
            </w:pPr>
            <w:r>
              <w:rPr>
                <w:rFonts w:hint="eastAsia"/>
                <w:sz w:val="24"/>
                <w:szCs w:val="24"/>
              </w:rPr>
              <w:t>因此，本项目符合国家现行产业政策</w:t>
            </w:r>
            <w:r>
              <w:rPr>
                <w:sz w:val="24"/>
                <w:szCs w:val="24"/>
              </w:rPr>
              <w:t>。</w:t>
            </w:r>
          </w:p>
          <w:p w14:paraId="390DCD49">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outlineLvl w:val="9"/>
              <w:rPr>
                <w:rFonts w:hint="default" w:ascii="Times New Roman" w:hAnsi="Times New Roman" w:eastAsia="宋体" w:cs="Times New Roman"/>
                <w:b w:val="0"/>
                <w:bCs w:val="0"/>
                <w:color w:val="auto"/>
                <w:sz w:val="24"/>
                <w:szCs w:val="24"/>
              </w:rPr>
            </w:pPr>
            <w:r>
              <w:rPr>
                <w:rFonts w:hint="eastAsia"/>
                <w:b/>
                <w:bCs/>
                <w:sz w:val="24"/>
                <w:szCs w:val="24"/>
                <w:lang w:val="en-US" w:eastAsia="zh-CN"/>
              </w:rPr>
              <w:t>三、</w:t>
            </w:r>
            <w:r>
              <w:rPr>
                <w:rFonts w:hint="default" w:ascii="Times New Roman" w:hAnsi="Times New Roman" w:eastAsia="宋体" w:cs="Times New Roman"/>
                <w:b w:val="0"/>
                <w:bCs w:val="0"/>
                <w:color w:val="auto"/>
                <w:sz w:val="24"/>
                <w:szCs w:val="24"/>
                <w14:textOutline w14:w="4354" w14:cap="flat" w14:cmpd="sng">
                  <w14:solidFill>
                    <w14:srgbClr w14:val="000000"/>
                  </w14:solidFill>
                  <w14:prstDash w14:val="solid"/>
                  <w14:miter w14:val="0"/>
                </w14:textOutline>
              </w:rPr>
              <w:t>与《中华人民共和国水法》的符合性分析</w:t>
            </w:r>
          </w:p>
          <w:p w14:paraId="457DC5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中华人民共和国水法》条文：“第四章水资源、水域和水工程的保护，第三十条县级以上人民政府水行政主管部门、流域管理机构以及其他有关部门在制定水资源开发、利用规划和调度水资源时，应当注意维持江河的合理流量和湖泊、水库以及地下水的合理水位，维护水体的自然净化能力；第三十一条从事水资源开发、利用、节约、保护和防治水害等水事活动，应当遵守经批准的规划；因违反规划造成江河和湖泊水域使用功能降低、地下水超采、地面沉降、水体污染的，应当承担治理责任；第三十二条......”</w:t>
            </w:r>
          </w:p>
          <w:p w14:paraId="54543120">
            <w:pPr>
              <w:widowControl/>
              <w:spacing w:line="520" w:lineRule="exact"/>
              <w:ind w:firstLine="480" w:firstLineChars="200"/>
              <w:rPr>
                <w:sz w:val="24"/>
                <w:szCs w:val="24"/>
              </w:rPr>
            </w:pPr>
            <w:r>
              <w:rPr>
                <w:rFonts w:hint="eastAsia" w:ascii="宋体" w:hAnsi="宋体" w:eastAsia="宋体" w:cs="宋体"/>
                <w:b w:val="0"/>
                <w:bCs w:val="0"/>
                <w:color w:val="auto"/>
                <w:sz w:val="24"/>
                <w:szCs w:val="24"/>
              </w:rPr>
              <w:t>本项目主要建设内容为闸室溢流堰体加固，闸室基础及闸肩防渗处理，新建消能防冲设施，闸门及启闭设备拆除重建，两岸水轮泵（站）拆除重建，工作桥拆除重建，两岸岸墙、翼墙、挡墙加固，新建管理房，供电设施，配置信息化系统、安全监测设施等，通过对水闸进行除险加固，消除水闸原有的重大险情，提供防洪标准和增加防洪库容，能够有效拦截洪水，极大增强削峰调洪能力，保证当地农业发展，属于民生工程项目，实施后不会对河道水生生态产生</w:t>
            </w:r>
            <w:r>
              <w:rPr>
                <w:rFonts w:hint="eastAsia" w:ascii="宋体" w:hAnsi="宋体" w:eastAsia="宋体" w:cs="宋体"/>
                <w:b w:val="0"/>
                <w:bCs w:val="0"/>
                <w:color w:val="auto"/>
                <w:sz w:val="24"/>
                <w:szCs w:val="24"/>
                <w:lang w:val="en-US" w:eastAsia="zh-CN"/>
              </w:rPr>
              <w:t>明显的</w:t>
            </w:r>
            <w:r>
              <w:rPr>
                <w:rFonts w:hint="eastAsia" w:ascii="宋体" w:hAnsi="宋体" w:eastAsia="宋体" w:cs="宋体"/>
                <w:b w:val="0"/>
                <w:bCs w:val="0"/>
                <w:color w:val="auto"/>
                <w:sz w:val="24"/>
                <w:szCs w:val="24"/>
              </w:rPr>
              <w:t>不利影响，因此，本项目符合《中华人民共和国水法》</w:t>
            </w:r>
            <w:r>
              <w:rPr>
                <w:sz w:val="24"/>
                <w:szCs w:val="24"/>
              </w:rPr>
              <w:t>。</w:t>
            </w:r>
          </w:p>
          <w:p w14:paraId="5C40B38D">
            <w:pPr>
              <w:spacing w:line="500" w:lineRule="exact"/>
              <w:ind w:firstLine="482" w:firstLineChars="200"/>
              <w:rPr>
                <w:rFonts w:hint="eastAsia" w:eastAsia="宋体"/>
                <w:b/>
                <w:bCs/>
                <w:sz w:val="24"/>
                <w:szCs w:val="24"/>
                <w:lang w:val="en-US" w:eastAsia="zh-CN"/>
              </w:rPr>
            </w:pPr>
            <w:r>
              <w:rPr>
                <w:rFonts w:hint="eastAsia"/>
                <w:b/>
                <w:bCs/>
                <w:sz w:val="24"/>
                <w:szCs w:val="24"/>
                <w:lang w:val="en-US" w:eastAsia="zh-CN"/>
              </w:rPr>
              <w:t>四、与《湖南省湘江</w:t>
            </w:r>
            <w:r>
              <w:rPr>
                <w:rFonts w:hint="eastAsia" w:eastAsia="宋体"/>
                <w:b/>
                <w:bCs/>
                <w:sz w:val="24"/>
                <w:szCs w:val="24"/>
                <w:lang w:val="en-US" w:eastAsia="zh-CN"/>
              </w:rPr>
              <w:t>保护条例》的符合性分析</w:t>
            </w:r>
          </w:p>
          <w:p w14:paraId="28352937">
            <w:pPr>
              <w:widowControl/>
              <w:jc w:val="center"/>
              <w:rPr>
                <w:b/>
                <w:bCs/>
                <w:kern w:val="0"/>
                <w:szCs w:val="21"/>
                <w:lang w:bidi="ar"/>
              </w:rPr>
            </w:pPr>
            <w:r>
              <w:rPr>
                <w:b/>
                <w:bCs/>
                <w:kern w:val="0"/>
                <w:szCs w:val="21"/>
                <w:lang w:bidi="ar"/>
              </w:rPr>
              <w:t>表1-</w:t>
            </w:r>
            <w:r>
              <w:rPr>
                <w:rFonts w:hint="eastAsia"/>
                <w:b/>
                <w:bCs/>
                <w:kern w:val="0"/>
                <w:szCs w:val="21"/>
                <w:lang w:val="en-US" w:eastAsia="zh-CN" w:bidi="ar"/>
              </w:rPr>
              <w:t>2</w:t>
            </w:r>
            <w:r>
              <w:rPr>
                <w:rFonts w:hint="eastAsia"/>
                <w:b/>
                <w:bCs/>
                <w:kern w:val="0"/>
                <w:szCs w:val="21"/>
                <w:lang w:bidi="ar"/>
              </w:rPr>
              <w:t xml:space="preserve"> </w:t>
            </w:r>
            <w:r>
              <w:rPr>
                <w:b/>
                <w:bCs/>
                <w:kern w:val="0"/>
                <w:szCs w:val="21"/>
                <w:lang w:bidi="ar"/>
              </w:rPr>
              <w:t xml:space="preserve"> 本项目与</w:t>
            </w:r>
            <w:r>
              <w:rPr>
                <w:rFonts w:hint="eastAsia"/>
                <w:b/>
                <w:bCs/>
                <w:kern w:val="0"/>
                <w:szCs w:val="21"/>
                <w:lang w:bidi="ar"/>
              </w:rPr>
              <w:t>《湖南</w:t>
            </w:r>
            <w:r>
              <w:rPr>
                <w:rFonts w:hint="eastAsia"/>
                <w:b/>
                <w:bCs/>
                <w:kern w:val="0"/>
                <w:szCs w:val="21"/>
                <w:lang w:val="en-US" w:eastAsia="zh-CN" w:bidi="ar"/>
              </w:rPr>
              <w:t>省</w:t>
            </w:r>
            <w:r>
              <w:rPr>
                <w:rFonts w:hint="eastAsia"/>
                <w:b/>
                <w:bCs/>
                <w:kern w:val="0"/>
                <w:szCs w:val="21"/>
                <w:lang w:bidi="ar"/>
              </w:rPr>
              <w:t>湘江保护条例》</w:t>
            </w:r>
            <w:r>
              <w:rPr>
                <w:b/>
                <w:bCs/>
                <w:kern w:val="0"/>
                <w:szCs w:val="21"/>
                <w:lang w:bidi="ar"/>
              </w:rPr>
              <w:t>符合性分析</w:t>
            </w:r>
          </w:p>
          <w:tbl>
            <w:tblPr>
              <w:tblStyle w:val="46"/>
              <w:tblW w:w="69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3531"/>
              <w:gridCol w:w="2299"/>
              <w:gridCol w:w="659"/>
            </w:tblGrid>
            <w:tr w14:paraId="2DDBB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16" w:type="dxa"/>
                  <w:tcBorders>
                    <w:tl2br w:val="nil"/>
                    <w:tr2bl w:val="nil"/>
                  </w:tcBorders>
                  <w:vAlign w:val="center"/>
                </w:tcPr>
                <w:p w14:paraId="10BEBB0C">
                  <w:pPr>
                    <w:pStyle w:val="60"/>
                    <w:adjustRightInd/>
                    <w:ind w:firstLine="0"/>
                    <w:rPr>
                      <w:rFonts w:ascii="Times New Roman"/>
                      <w:b/>
                      <w:color w:val="auto"/>
                      <w:sz w:val="21"/>
                      <w:szCs w:val="21"/>
                    </w:rPr>
                  </w:pPr>
                  <w:r>
                    <w:rPr>
                      <w:rFonts w:ascii="Times New Roman"/>
                      <w:b/>
                      <w:color w:val="auto"/>
                      <w:sz w:val="21"/>
                      <w:szCs w:val="21"/>
                    </w:rPr>
                    <w:t>序号</w:t>
                  </w:r>
                </w:p>
              </w:tc>
              <w:tc>
                <w:tcPr>
                  <w:tcW w:w="3538" w:type="dxa"/>
                  <w:tcBorders>
                    <w:tl2br w:val="nil"/>
                    <w:tr2bl w:val="nil"/>
                  </w:tcBorders>
                  <w:vAlign w:val="center"/>
                </w:tcPr>
                <w:p w14:paraId="2BECBC85">
                  <w:pPr>
                    <w:pStyle w:val="60"/>
                    <w:adjustRightInd/>
                    <w:jc w:val="center"/>
                    <w:rPr>
                      <w:rFonts w:ascii="Times New Roman"/>
                      <w:b/>
                      <w:color w:val="auto"/>
                      <w:sz w:val="21"/>
                      <w:szCs w:val="21"/>
                    </w:rPr>
                  </w:pPr>
                  <w:r>
                    <w:rPr>
                      <w:rFonts w:ascii="Times New Roman"/>
                      <w:b/>
                      <w:color w:val="auto"/>
                      <w:sz w:val="21"/>
                      <w:szCs w:val="21"/>
                    </w:rPr>
                    <w:t>规范要求</w:t>
                  </w:r>
                </w:p>
              </w:tc>
              <w:tc>
                <w:tcPr>
                  <w:tcW w:w="2303" w:type="dxa"/>
                  <w:tcBorders>
                    <w:tl2br w:val="nil"/>
                    <w:tr2bl w:val="nil"/>
                  </w:tcBorders>
                  <w:vAlign w:val="center"/>
                </w:tcPr>
                <w:p w14:paraId="3D70191C">
                  <w:pPr>
                    <w:jc w:val="center"/>
                    <w:rPr>
                      <w:b/>
                      <w:szCs w:val="21"/>
                    </w:rPr>
                  </w:pPr>
                  <w:r>
                    <w:rPr>
                      <w:b/>
                      <w:szCs w:val="21"/>
                    </w:rPr>
                    <w:t>本项目建设情况</w:t>
                  </w:r>
                </w:p>
              </w:tc>
              <w:tc>
                <w:tcPr>
                  <w:tcW w:w="659" w:type="dxa"/>
                  <w:tcBorders>
                    <w:tl2br w:val="nil"/>
                    <w:tr2bl w:val="nil"/>
                  </w:tcBorders>
                  <w:vAlign w:val="center"/>
                </w:tcPr>
                <w:p w14:paraId="0BAD006C">
                  <w:pPr>
                    <w:jc w:val="center"/>
                    <w:rPr>
                      <w:b/>
                      <w:szCs w:val="21"/>
                    </w:rPr>
                  </w:pPr>
                  <w:r>
                    <w:rPr>
                      <w:b/>
                      <w:szCs w:val="21"/>
                    </w:rPr>
                    <w:t>符合性</w:t>
                  </w:r>
                </w:p>
              </w:tc>
            </w:tr>
            <w:tr w14:paraId="1813C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16" w:type="dxa"/>
                  <w:tcBorders>
                    <w:tl2br w:val="nil"/>
                    <w:tr2bl w:val="nil"/>
                  </w:tcBorders>
                  <w:vAlign w:val="center"/>
                </w:tcPr>
                <w:p w14:paraId="0D09AFAB">
                  <w:pPr>
                    <w:pStyle w:val="60"/>
                    <w:adjustRightInd/>
                    <w:ind w:firstLine="0"/>
                    <w:rPr>
                      <w:rFonts w:ascii="Times New Roman"/>
                      <w:bCs/>
                      <w:color w:val="auto"/>
                      <w:sz w:val="21"/>
                      <w:szCs w:val="21"/>
                    </w:rPr>
                  </w:pPr>
                  <w:r>
                    <w:rPr>
                      <w:rFonts w:ascii="Times New Roman"/>
                      <w:bCs/>
                      <w:color w:val="auto"/>
                      <w:sz w:val="21"/>
                      <w:szCs w:val="21"/>
                    </w:rPr>
                    <w:t>1</w:t>
                  </w:r>
                </w:p>
              </w:tc>
              <w:tc>
                <w:tcPr>
                  <w:tcW w:w="3538" w:type="dxa"/>
                  <w:tcBorders>
                    <w:tl2br w:val="nil"/>
                    <w:tr2bl w:val="nil"/>
                  </w:tcBorders>
                  <w:vAlign w:val="center"/>
                </w:tcPr>
                <w:p w14:paraId="2DB7A6FF">
                  <w:pPr>
                    <w:pStyle w:val="60"/>
                    <w:ind w:firstLine="420" w:firstLineChars="200"/>
                    <w:rPr>
                      <w:rFonts w:hint="eastAsia" w:ascii="Times New Roman"/>
                      <w:bCs/>
                      <w:color w:val="auto"/>
                      <w:sz w:val="21"/>
                      <w:szCs w:val="21"/>
                    </w:rPr>
                  </w:pPr>
                  <w:r>
                    <w:rPr>
                      <w:rFonts w:hint="eastAsia" w:ascii="Times New Roman"/>
                      <w:bCs/>
                      <w:color w:val="auto"/>
                      <w:sz w:val="21"/>
                      <w:szCs w:val="21"/>
                    </w:rPr>
                    <w:t>第二十</w:t>
                  </w:r>
                  <w:r>
                    <w:rPr>
                      <w:rFonts w:hint="eastAsia" w:ascii="Times New Roman"/>
                      <w:bCs/>
                      <w:color w:val="auto"/>
                      <w:sz w:val="21"/>
                      <w:szCs w:val="21"/>
                      <w:lang w:val="en-US" w:eastAsia="zh-CN"/>
                    </w:rPr>
                    <w:t>五</w:t>
                  </w:r>
                  <w:r>
                    <w:rPr>
                      <w:rFonts w:hint="eastAsia" w:ascii="Times New Roman"/>
                      <w:bCs/>
                      <w:color w:val="auto"/>
                      <w:sz w:val="21"/>
                      <w:szCs w:val="21"/>
                    </w:rPr>
                    <w:t>条 禁止在湘江流域饮用水水源一级保护区内设置排污口（渠），禁止新建、改建、扩建与供水设施和保护水源无关的建设项目；已经设置排污口（渠）、建成与供水设施和保护水源无关的建设项目，县级以上人民政府应当在省人民政府规定期限内组织拆除或者关闭。</w:t>
                  </w:r>
                </w:p>
                <w:p w14:paraId="27A94584">
                  <w:pPr>
                    <w:pStyle w:val="60"/>
                    <w:ind w:firstLine="420" w:firstLineChars="200"/>
                    <w:rPr>
                      <w:rFonts w:hint="eastAsia" w:ascii="Times New Roman" w:eastAsia="宋体"/>
                      <w:bCs/>
                      <w:color w:val="auto"/>
                      <w:sz w:val="21"/>
                      <w:szCs w:val="21"/>
                      <w:lang w:eastAsia="zh-CN"/>
                    </w:rPr>
                  </w:pPr>
                  <w:r>
                    <w:rPr>
                      <w:rFonts w:hint="eastAsia" w:ascii="Times New Roman"/>
                      <w:bCs/>
                      <w:color w:val="auto"/>
                      <w:sz w:val="21"/>
                      <w:szCs w:val="21"/>
                    </w:rPr>
                    <w:t>禁止在湘江流域饮用水水源一级保护区内从事网箱养殖、旅游、游泳、垂钓或者其他可能污染饮用水水体的活动</w:t>
                  </w:r>
                  <w:r>
                    <w:rPr>
                      <w:rFonts w:hint="eastAsia" w:ascii="Times New Roman"/>
                      <w:bCs/>
                      <w:color w:val="auto"/>
                      <w:sz w:val="21"/>
                      <w:szCs w:val="21"/>
                      <w:lang w:eastAsia="zh-CN"/>
                    </w:rPr>
                    <w:t>。</w:t>
                  </w:r>
                </w:p>
              </w:tc>
              <w:tc>
                <w:tcPr>
                  <w:tcW w:w="2303" w:type="dxa"/>
                  <w:tcBorders>
                    <w:tl2br w:val="nil"/>
                    <w:tr2bl w:val="nil"/>
                  </w:tcBorders>
                  <w:vAlign w:val="center"/>
                </w:tcPr>
                <w:p w14:paraId="60673CAF">
                  <w:pPr>
                    <w:jc w:val="both"/>
                    <w:rPr>
                      <w:rFonts w:hint="default" w:eastAsia="宋体"/>
                      <w:szCs w:val="21"/>
                      <w:lang w:val="en-US" w:eastAsia="zh-CN"/>
                    </w:rPr>
                  </w:pPr>
                  <w:r>
                    <w:rPr>
                      <w:rFonts w:hint="eastAsia"/>
                      <w:szCs w:val="21"/>
                      <w:lang w:val="en-US" w:eastAsia="zh-CN"/>
                    </w:rPr>
                    <w:t xml:space="preserve">    </w:t>
                  </w:r>
                  <w:r>
                    <w:rPr>
                      <w:szCs w:val="21"/>
                    </w:rPr>
                    <w:t>本项目</w:t>
                  </w:r>
                  <w:r>
                    <w:rPr>
                      <w:rFonts w:hint="eastAsia"/>
                      <w:szCs w:val="21"/>
                      <w:lang w:val="en-US" w:eastAsia="zh-CN"/>
                    </w:rPr>
                    <w:t>属于</w:t>
                  </w:r>
                  <w:r>
                    <w:rPr>
                      <w:rFonts w:hint="eastAsia" w:cs="Times New Roman"/>
                      <w:sz w:val="21"/>
                      <w:szCs w:val="21"/>
                      <w:lang w:val="en-US" w:eastAsia="zh-CN"/>
                    </w:rPr>
                    <w:t>拦河闸除险加固工程</w:t>
                  </w:r>
                  <w:r>
                    <w:rPr>
                      <w:rFonts w:hint="eastAsia"/>
                      <w:szCs w:val="21"/>
                      <w:lang w:val="en-US" w:eastAsia="zh-CN"/>
                    </w:rPr>
                    <w:t>，不涉及湘江流域饮用水水源保护区，不设置排污口，不属于排放污染物的建设项目。</w:t>
                  </w:r>
                </w:p>
              </w:tc>
              <w:tc>
                <w:tcPr>
                  <w:tcW w:w="659" w:type="dxa"/>
                  <w:tcBorders>
                    <w:tl2br w:val="nil"/>
                    <w:tr2bl w:val="nil"/>
                  </w:tcBorders>
                  <w:vAlign w:val="center"/>
                </w:tcPr>
                <w:p w14:paraId="04FC1BD5">
                  <w:pPr>
                    <w:jc w:val="center"/>
                    <w:rPr>
                      <w:szCs w:val="21"/>
                    </w:rPr>
                  </w:pPr>
                  <w:r>
                    <w:rPr>
                      <w:szCs w:val="21"/>
                    </w:rPr>
                    <w:t>符合</w:t>
                  </w:r>
                </w:p>
              </w:tc>
            </w:tr>
            <w:tr w14:paraId="2F9CF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16" w:type="dxa"/>
                  <w:tcBorders>
                    <w:tl2br w:val="nil"/>
                    <w:tr2bl w:val="nil"/>
                  </w:tcBorders>
                  <w:vAlign w:val="center"/>
                </w:tcPr>
                <w:p w14:paraId="0B3E0FEA">
                  <w:pPr>
                    <w:pStyle w:val="60"/>
                    <w:adjustRightInd/>
                    <w:ind w:firstLine="0"/>
                    <w:rPr>
                      <w:rFonts w:ascii="Times New Roman"/>
                      <w:bCs/>
                      <w:color w:val="auto"/>
                      <w:sz w:val="21"/>
                      <w:szCs w:val="21"/>
                    </w:rPr>
                  </w:pPr>
                  <w:r>
                    <w:rPr>
                      <w:rFonts w:ascii="Times New Roman"/>
                      <w:bCs/>
                      <w:color w:val="auto"/>
                      <w:sz w:val="21"/>
                      <w:szCs w:val="21"/>
                    </w:rPr>
                    <w:t>2</w:t>
                  </w:r>
                </w:p>
              </w:tc>
              <w:tc>
                <w:tcPr>
                  <w:tcW w:w="3538" w:type="dxa"/>
                  <w:tcBorders>
                    <w:tl2br w:val="nil"/>
                    <w:tr2bl w:val="nil"/>
                  </w:tcBorders>
                  <w:vAlign w:val="center"/>
                </w:tcPr>
                <w:p w14:paraId="6BBBEF83">
                  <w:pPr>
                    <w:pStyle w:val="60"/>
                    <w:ind w:firstLine="420" w:firstLineChars="200"/>
                    <w:rPr>
                      <w:rFonts w:hint="eastAsia" w:ascii="Times New Roman" w:eastAsia="宋体"/>
                      <w:bCs/>
                      <w:color w:val="auto"/>
                      <w:sz w:val="21"/>
                      <w:szCs w:val="21"/>
                      <w:lang w:eastAsia="zh-CN"/>
                    </w:rPr>
                  </w:pPr>
                  <w:r>
                    <w:rPr>
                      <w:rFonts w:hint="eastAsia" w:ascii="Times New Roman"/>
                      <w:bCs/>
                      <w:color w:val="auto"/>
                      <w:sz w:val="21"/>
                      <w:szCs w:val="21"/>
                    </w:rPr>
                    <w:t>第二十</w:t>
                  </w:r>
                  <w:r>
                    <w:rPr>
                      <w:rFonts w:hint="eastAsia" w:ascii="Times New Roman"/>
                      <w:bCs/>
                      <w:color w:val="auto"/>
                      <w:sz w:val="21"/>
                      <w:szCs w:val="21"/>
                      <w:lang w:val="en-US" w:eastAsia="zh-CN"/>
                    </w:rPr>
                    <w:t>六</w:t>
                  </w:r>
                  <w:r>
                    <w:rPr>
                      <w:rFonts w:hint="eastAsia" w:ascii="Times New Roman"/>
                      <w:bCs/>
                      <w:color w:val="auto"/>
                      <w:sz w:val="21"/>
                      <w:szCs w:val="21"/>
                    </w:rPr>
                    <w:t>条 禁止在湘江流域饮用水水源二级保护区内设置排污口（渠），禁止新建、改建、扩建排放污染物的建设项目；已经设置排污口（渠）、建成排放污染物的建设项目，县级以上人民政府应当在省人民政府规定期限内组织拆除或者关闭</w:t>
                  </w:r>
                  <w:r>
                    <w:rPr>
                      <w:rFonts w:hint="eastAsia" w:ascii="Times New Roman"/>
                      <w:bCs/>
                      <w:color w:val="auto"/>
                      <w:sz w:val="21"/>
                      <w:szCs w:val="21"/>
                      <w:lang w:eastAsia="zh-CN"/>
                    </w:rPr>
                    <w:t>。</w:t>
                  </w:r>
                </w:p>
              </w:tc>
              <w:tc>
                <w:tcPr>
                  <w:tcW w:w="2303" w:type="dxa"/>
                  <w:tcBorders>
                    <w:tl2br w:val="nil"/>
                    <w:tr2bl w:val="nil"/>
                  </w:tcBorders>
                  <w:vAlign w:val="center"/>
                </w:tcPr>
                <w:p w14:paraId="17778DC5">
                  <w:pPr>
                    <w:ind w:firstLine="420" w:firstLineChars="200"/>
                    <w:jc w:val="both"/>
                    <w:rPr>
                      <w:szCs w:val="21"/>
                    </w:rPr>
                  </w:pPr>
                  <w:r>
                    <w:rPr>
                      <w:szCs w:val="21"/>
                    </w:rPr>
                    <w:t>本项目</w:t>
                  </w:r>
                  <w:r>
                    <w:rPr>
                      <w:rFonts w:hint="eastAsia"/>
                      <w:szCs w:val="21"/>
                      <w:lang w:val="en-US" w:eastAsia="zh-CN"/>
                    </w:rPr>
                    <w:t>属于</w:t>
                  </w:r>
                  <w:r>
                    <w:rPr>
                      <w:rFonts w:hint="eastAsia" w:cs="Times New Roman"/>
                      <w:sz w:val="21"/>
                      <w:szCs w:val="21"/>
                      <w:lang w:val="en-US" w:eastAsia="zh-CN"/>
                    </w:rPr>
                    <w:t>拦河闸除险加固工程</w:t>
                  </w:r>
                  <w:r>
                    <w:rPr>
                      <w:rFonts w:hint="eastAsia"/>
                      <w:szCs w:val="21"/>
                      <w:lang w:val="en-US" w:eastAsia="zh-CN"/>
                    </w:rPr>
                    <w:t>，不涉及湘江流域饮用水水源保护区，不设置排污口，不属于排放污染物的建设项目。</w:t>
                  </w:r>
                </w:p>
              </w:tc>
              <w:tc>
                <w:tcPr>
                  <w:tcW w:w="659" w:type="dxa"/>
                  <w:tcBorders>
                    <w:tl2br w:val="nil"/>
                    <w:tr2bl w:val="nil"/>
                  </w:tcBorders>
                  <w:vAlign w:val="center"/>
                </w:tcPr>
                <w:p w14:paraId="6F1201B9">
                  <w:pPr>
                    <w:jc w:val="center"/>
                    <w:rPr>
                      <w:szCs w:val="21"/>
                    </w:rPr>
                  </w:pPr>
                  <w:r>
                    <w:rPr>
                      <w:szCs w:val="21"/>
                    </w:rPr>
                    <w:t>符合</w:t>
                  </w:r>
                </w:p>
              </w:tc>
            </w:tr>
            <w:tr w14:paraId="4C2B9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16" w:type="dxa"/>
                  <w:tcBorders>
                    <w:tl2br w:val="nil"/>
                    <w:tr2bl w:val="nil"/>
                  </w:tcBorders>
                  <w:vAlign w:val="center"/>
                </w:tcPr>
                <w:p w14:paraId="665805B7">
                  <w:pPr>
                    <w:pStyle w:val="60"/>
                    <w:adjustRightInd/>
                    <w:ind w:firstLine="0"/>
                    <w:rPr>
                      <w:rFonts w:hint="eastAsia" w:ascii="Times New Roman" w:eastAsia="宋体"/>
                      <w:bCs/>
                      <w:color w:val="auto"/>
                      <w:sz w:val="21"/>
                      <w:szCs w:val="21"/>
                      <w:lang w:val="en-US" w:eastAsia="zh-CN"/>
                    </w:rPr>
                  </w:pPr>
                  <w:r>
                    <w:rPr>
                      <w:rFonts w:hint="eastAsia" w:ascii="Times New Roman"/>
                      <w:bCs/>
                      <w:color w:val="auto"/>
                      <w:sz w:val="21"/>
                      <w:szCs w:val="21"/>
                      <w:lang w:val="en-US" w:eastAsia="zh-CN"/>
                    </w:rPr>
                    <w:t>3</w:t>
                  </w:r>
                </w:p>
              </w:tc>
              <w:tc>
                <w:tcPr>
                  <w:tcW w:w="3538" w:type="dxa"/>
                  <w:tcBorders>
                    <w:tl2br w:val="nil"/>
                    <w:tr2bl w:val="nil"/>
                  </w:tcBorders>
                  <w:vAlign w:val="center"/>
                </w:tcPr>
                <w:p w14:paraId="487F6895">
                  <w:pPr>
                    <w:pStyle w:val="60"/>
                    <w:ind w:firstLine="420" w:firstLineChars="200"/>
                    <w:rPr>
                      <w:rFonts w:hint="eastAsia" w:ascii="Times New Roman" w:eastAsia="宋体"/>
                      <w:bCs/>
                      <w:color w:val="auto"/>
                      <w:sz w:val="21"/>
                      <w:szCs w:val="21"/>
                      <w:lang w:val="en-US" w:eastAsia="zh-CN"/>
                    </w:rPr>
                  </w:pPr>
                  <w:r>
                    <w:rPr>
                      <w:rFonts w:hint="eastAsia" w:ascii="Times New Roman"/>
                      <w:bCs/>
                      <w:color w:val="auto"/>
                      <w:sz w:val="21"/>
                      <w:szCs w:val="21"/>
                    </w:rPr>
                    <w:t>第四十七条，在湘江干流两岸各二十公里范围内不得新建化学制浆、造纸、制革和外排水污染物涉及重金属的项目</w:t>
                  </w:r>
                  <w:r>
                    <w:rPr>
                      <w:rFonts w:hint="eastAsia" w:ascii="Times New Roman"/>
                      <w:bCs/>
                      <w:color w:val="auto"/>
                      <w:sz w:val="21"/>
                      <w:szCs w:val="21"/>
                      <w:lang w:val="en-US" w:eastAsia="zh-CN"/>
                    </w:rPr>
                    <w:t>。</w:t>
                  </w:r>
                </w:p>
              </w:tc>
              <w:tc>
                <w:tcPr>
                  <w:tcW w:w="2303" w:type="dxa"/>
                  <w:tcBorders>
                    <w:tl2br w:val="nil"/>
                    <w:tr2bl w:val="nil"/>
                  </w:tcBorders>
                  <w:vAlign w:val="center"/>
                </w:tcPr>
                <w:p w14:paraId="33DEA18A">
                  <w:pPr>
                    <w:jc w:val="both"/>
                    <w:rPr>
                      <w:rFonts w:hint="eastAsia"/>
                      <w:szCs w:val="21"/>
                      <w:lang w:val="en-US" w:eastAsia="zh-CN"/>
                    </w:rPr>
                  </w:pPr>
                  <w:r>
                    <w:rPr>
                      <w:rFonts w:hint="eastAsia"/>
                      <w:szCs w:val="21"/>
                      <w:lang w:val="en-US" w:eastAsia="zh-CN"/>
                    </w:rPr>
                    <w:t xml:space="preserve"> </w:t>
                  </w:r>
                  <w:r>
                    <w:rPr>
                      <w:szCs w:val="21"/>
                    </w:rPr>
                    <w:t>本项目</w:t>
                  </w:r>
                  <w:r>
                    <w:rPr>
                      <w:rFonts w:hint="eastAsia"/>
                      <w:szCs w:val="21"/>
                      <w:lang w:val="en-US" w:eastAsia="zh-CN"/>
                    </w:rPr>
                    <w:t>属于</w:t>
                  </w:r>
                  <w:r>
                    <w:rPr>
                      <w:rFonts w:hint="eastAsia" w:cs="Times New Roman"/>
                      <w:sz w:val="21"/>
                      <w:szCs w:val="21"/>
                      <w:lang w:val="en-US" w:eastAsia="zh-CN"/>
                    </w:rPr>
                    <w:t>拦河闸除险加固工程</w:t>
                  </w:r>
                  <w:r>
                    <w:rPr>
                      <w:rFonts w:hint="eastAsia"/>
                      <w:szCs w:val="21"/>
                      <w:lang w:val="en-US" w:eastAsia="zh-CN"/>
                    </w:rPr>
                    <w:t>。</w:t>
                  </w:r>
                </w:p>
              </w:tc>
              <w:tc>
                <w:tcPr>
                  <w:tcW w:w="659" w:type="dxa"/>
                  <w:tcBorders>
                    <w:tl2br w:val="nil"/>
                    <w:tr2bl w:val="nil"/>
                  </w:tcBorders>
                  <w:vAlign w:val="center"/>
                </w:tcPr>
                <w:p w14:paraId="330E4EDF">
                  <w:pPr>
                    <w:jc w:val="center"/>
                    <w:rPr>
                      <w:szCs w:val="21"/>
                    </w:rPr>
                  </w:pPr>
                  <w:r>
                    <w:rPr>
                      <w:szCs w:val="21"/>
                    </w:rPr>
                    <w:t>符合</w:t>
                  </w:r>
                </w:p>
              </w:tc>
            </w:tr>
          </w:tbl>
          <w:p w14:paraId="42D1200F">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outlineLvl w:val="2"/>
              <w:rPr>
                <w:rFonts w:hint="default" w:ascii="Times New Roman" w:hAnsi="Times New Roman" w:eastAsia="宋体" w:cs="Times New Roman"/>
                <w:b w:val="0"/>
                <w:bCs w:val="0"/>
                <w:color w:val="auto"/>
                <w:spacing w:val="-5"/>
                <w:sz w:val="24"/>
                <w:szCs w:val="24"/>
                <w:u w:val="none"/>
                <w14:textOutline w14:w="4354" w14:cap="flat" w14:cmpd="sng">
                  <w14:solidFill>
                    <w14:srgbClr w14:val="000000"/>
                  </w14:solidFill>
                  <w14:prstDash w14:val="solid"/>
                  <w14:miter w14:val="0"/>
                </w14:textOutline>
              </w:rPr>
            </w:pPr>
            <w:r>
              <w:rPr>
                <w:rFonts w:hint="eastAsia" w:ascii="Times New Roman" w:hAnsi="Times New Roman" w:cs="Times New Roman"/>
                <w:b w:val="0"/>
                <w:bCs w:val="0"/>
                <w:color w:val="auto"/>
                <w:spacing w:val="-5"/>
                <w:sz w:val="24"/>
                <w:szCs w:val="24"/>
                <w:u w:val="none"/>
                <w:lang w:val="en-US" w:eastAsia="zh-CN"/>
                <w14:textOutline w14:w="4354" w14:cap="flat" w14:cmpd="sng">
                  <w14:solidFill>
                    <w14:srgbClr w14:val="000000"/>
                  </w14:solidFill>
                  <w14:prstDash w14:val="solid"/>
                  <w14:miter w14:val="0"/>
                </w14:textOutline>
              </w:rPr>
              <w:t>五、</w:t>
            </w:r>
            <w:r>
              <w:rPr>
                <w:rFonts w:hint="default" w:ascii="Times New Roman" w:hAnsi="Times New Roman" w:eastAsia="宋体" w:cs="Times New Roman"/>
                <w:b w:val="0"/>
                <w:bCs w:val="0"/>
                <w:color w:val="auto"/>
                <w:spacing w:val="-5"/>
                <w:sz w:val="24"/>
                <w:szCs w:val="24"/>
                <w:u w:val="none"/>
                <w:lang w:val="en-US" w:eastAsia="zh-CN"/>
                <w14:textOutline w14:w="4354" w14:cap="flat" w14:cmpd="sng">
                  <w14:solidFill>
                    <w14:srgbClr w14:val="000000"/>
                  </w14:solidFill>
                  <w14:prstDash w14:val="solid"/>
                  <w14:miter w14:val="0"/>
                </w14:textOutline>
              </w:rPr>
              <w:t>与《水利建设项目（河湖整治与防洪除涝工程）环境影响评价文件审批原则》的相符性分析</w:t>
            </w:r>
          </w:p>
          <w:p w14:paraId="2312BA8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0" w:rightChars="0" w:firstLine="480" w:firstLineChars="200"/>
              <w:jc w:val="left"/>
              <w:textAlignment w:val="auto"/>
              <w:rPr>
                <w:rFonts w:hint="default"/>
                <w:b w:val="0"/>
                <w:bCs w:val="0"/>
                <w:color w:val="auto"/>
                <w:u w:val="none"/>
                <w:lang w:eastAsia="zh-CN"/>
              </w:rPr>
            </w:pPr>
            <w:r>
              <w:rPr>
                <w:rFonts w:hint="eastAsia" w:cs="Times New Roman"/>
                <w:b w:val="0"/>
                <w:bCs w:val="0"/>
                <w:color w:val="auto"/>
                <w:sz w:val="24"/>
                <w:szCs w:val="24"/>
                <w:u w:val="none"/>
                <w:vertAlign w:val="baseline"/>
                <w:lang w:val="en-US" w:eastAsia="zh-CN"/>
              </w:rPr>
              <w:t>本项目与《水利建设项目（河湖整治与防洪除涝工程）环境影响评价文件审批原则》的相符性分析如表</w:t>
            </w:r>
            <w:r>
              <w:rPr>
                <w:rFonts w:hint="default" w:ascii="Times New Roman" w:hAnsi="Times New Roman" w:cs="Times New Roman"/>
                <w:b w:val="0"/>
                <w:bCs w:val="0"/>
                <w:color w:val="auto"/>
                <w:sz w:val="24"/>
                <w:szCs w:val="24"/>
                <w:u w:val="none"/>
                <w:vertAlign w:val="baseline"/>
                <w:lang w:val="en-US" w:eastAsia="zh-CN"/>
              </w:rPr>
              <w:t>1-</w:t>
            </w:r>
            <w:r>
              <w:rPr>
                <w:rFonts w:hint="eastAsia" w:ascii="Times New Roman" w:hAnsi="Times New Roman" w:cs="Times New Roman"/>
                <w:b w:val="0"/>
                <w:bCs w:val="0"/>
                <w:color w:val="auto"/>
                <w:sz w:val="24"/>
                <w:szCs w:val="24"/>
                <w:u w:val="none"/>
                <w:vertAlign w:val="baseline"/>
                <w:lang w:val="en-US" w:eastAsia="zh-CN"/>
              </w:rPr>
              <w:t>3。</w:t>
            </w:r>
          </w:p>
          <w:p w14:paraId="5135C651">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right="0" w:rightChars="0" w:firstLine="0" w:firstLineChars="0"/>
              <w:jc w:val="center"/>
              <w:textAlignment w:val="auto"/>
              <w:rPr>
                <w:rFonts w:hint="eastAsia" w:ascii="Times New Roman" w:hAnsi="Times New Roman" w:cs="Times New Roman"/>
                <w:b w:val="0"/>
                <w:bCs w:val="0"/>
                <w:color w:val="auto"/>
                <w:kern w:val="0"/>
                <w:sz w:val="21"/>
                <w:szCs w:val="21"/>
                <w:u w:val="none"/>
                <w:lang w:val="en-US" w:eastAsia="zh-CN"/>
              </w:rPr>
            </w:pPr>
            <w:r>
              <w:rPr>
                <w:rFonts w:hint="default" w:ascii="Times New Roman" w:hAnsi="Times New Roman" w:eastAsia="宋体" w:cs="Times New Roman"/>
                <w:b/>
                <w:bCs/>
                <w:color w:val="auto"/>
                <w:sz w:val="21"/>
                <w:szCs w:val="21"/>
                <w:u w:val="none"/>
                <w:lang w:eastAsia="zh-CN"/>
              </w:rPr>
              <w:t>表</w:t>
            </w:r>
            <w:r>
              <w:rPr>
                <w:rFonts w:hint="default" w:ascii="Times New Roman" w:hAnsi="Times New Roman" w:eastAsia="宋体" w:cs="Times New Roman"/>
                <w:b/>
                <w:bCs/>
                <w:color w:val="auto"/>
                <w:sz w:val="21"/>
                <w:szCs w:val="21"/>
                <w:u w:val="none"/>
                <w:lang w:val="en-US" w:eastAsia="zh-CN"/>
              </w:rPr>
              <w:t>1</w:t>
            </w:r>
            <w:r>
              <w:rPr>
                <w:rFonts w:hint="eastAsia" w:ascii="Times New Roman" w:hAnsi="Times New Roman" w:cs="Times New Roman"/>
                <w:b/>
                <w:bCs/>
                <w:color w:val="auto"/>
                <w:sz w:val="21"/>
                <w:szCs w:val="21"/>
                <w:u w:val="none"/>
                <w:lang w:val="en-US" w:eastAsia="zh-CN"/>
              </w:rPr>
              <w:t>-</w:t>
            </w:r>
            <w:r>
              <w:rPr>
                <w:rFonts w:hint="eastAsia" w:ascii="Times New Roman" w:hAnsi="Times New Roman" w:eastAsia="宋体" w:cs="Times New Roman"/>
                <w:b/>
                <w:bCs/>
                <w:color w:val="auto"/>
                <w:sz w:val="21"/>
                <w:szCs w:val="21"/>
                <w:u w:val="none"/>
                <w:lang w:val="en-US" w:eastAsia="zh-CN"/>
              </w:rPr>
              <w:t xml:space="preserve">3 </w:t>
            </w:r>
            <w:r>
              <w:rPr>
                <w:rFonts w:hint="default" w:ascii="Times New Roman" w:hAnsi="Times New Roman" w:eastAsia="宋体" w:cs="Times New Roman"/>
                <w:b/>
                <w:bCs/>
                <w:color w:val="auto"/>
                <w:sz w:val="21"/>
                <w:szCs w:val="21"/>
                <w:u w:val="none"/>
                <w:lang w:val="en-US" w:eastAsia="zh-CN"/>
              </w:rPr>
              <w:t>与</w:t>
            </w:r>
            <w:r>
              <w:rPr>
                <w:rFonts w:hint="eastAsia" w:cs="Times New Roman"/>
                <w:b/>
                <w:bCs/>
                <w:color w:val="auto"/>
                <w:sz w:val="21"/>
                <w:szCs w:val="21"/>
                <w:u w:val="none"/>
                <w:vertAlign w:val="baseline"/>
                <w:lang w:val="en-US" w:eastAsia="zh-CN"/>
              </w:rPr>
              <w:t>《水利建设项目（河湖整治与防洪除涝工程）环境影响评价文件审批原则》</w:t>
            </w:r>
            <w:r>
              <w:rPr>
                <w:rFonts w:hint="default" w:ascii="Times New Roman" w:hAnsi="Times New Roman" w:eastAsia="宋体" w:cs="Times New Roman"/>
                <w:b/>
                <w:bCs/>
                <w:color w:val="auto"/>
                <w:sz w:val="21"/>
                <w:szCs w:val="21"/>
                <w:u w:val="none"/>
                <w:lang w:val="en-US" w:eastAsia="zh-CN"/>
              </w:rPr>
              <w:t>的</w:t>
            </w:r>
            <w:r>
              <w:rPr>
                <w:rFonts w:hint="eastAsia" w:ascii="Times New Roman" w:hAnsi="Times New Roman" w:cs="Times New Roman"/>
                <w:b/>
                <w:bCs/>
                <w:color w:val="auto"/>
                <w:kern w:val="0"/>
                <w:sz w:val="21"/>
                <w:szCs w:val="21"/>
                <w:u w:val="none"/>
                <w:lang w:val="en-US" w:eastAsia="zh-CN"/>
              </w:rPr>
              <w:t>相符性分析</w:t>
            </w:r>
          </w:p>
          <w:tbl>
            <w:tblPr>
              <w:tblStyle w:val="4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400"/>
              <w:gridCol w:w="2178"/>
              <w:gridCol w:w="710"/>
            </w:tblGrid>
            <w:tr w14:paraId="0AE8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6216BD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序号</w:t>
                  </w:r>
                </w:p>
              </w:tc>
              <w:tc>
                <w:tcPr>
                  <w:tcW w:w="2431" w:type="pct"/>
                  <w:tcBorders>
                    <w:tl2br w:val="nil"/>
                    <w:tr2bl w:val="nil"/>
                  </w:tcBorders>
                  <w:vAlign w:val="center"/>
                </w:tcPr>
                <w:p w14:paraId="578136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文件内容</w:t>
                  </w:r>
                </w:p>
              </w:tc>
              <w:tc>
                <w:tcPr>
                  <w:tcW w:w="1557" w:type="pct"/>
                  <w:tcBorders>
                    <w:tl2br w:val="nil"/>
                    <w:tr2bl w:val="nil"/>
                  </w:tcBorders>
                  <w:vAlign w:val="center"/>
                </w:tcPr>
                <w:p w14:paraId="58629E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本项目情况</w:t>
                  </w:r>
                </w:p>
              </w:tc>
              <w:tc>
                <w:tcPr>
                  <w:tcW w:w="507" w:type="pct"/>
                  <w:tcBorders>
                    <w:tl2br w:val="nil"/>
                    <w:tr2bl w:val="nil"/>
                  </w:tcBorders>
                  <w:vAlign w:val="center"/>
                </w:tcPr>
                <w:p w14:paraId="3802B0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判定</w:t>
                  </w:r>
                </w:p>
              </w:tc>
            </w:tr>
            <w:tr w14:paraId="25AC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38C8E99D">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1</w:t>
                  </w:r>
                </w:p>
              </w:tc>
              <w:tc>
                <w:tcPr>
                  <w:tcW w:w="2431" w:type="pct"/>
                  <w:tcBorders>
                    <w:tl2br w:val="nil"/>
                    <w:tr2bl w:val="nil"/>
                  </w:tcBorders>
                  <w:vAlign w:val="center"/>
                </w:tcPr>
                <w:p w14:paraId="70A00D41">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工程选址选线、施工布置原则上不占用自然保护区、风景名胜区、世界文化和自然遗产地以及其他生态保护红线等环境敏感区中法律法规禁止占用的区域，并与饮用水水源保护区的保护要求相协调。法律法规、政策另有规定的从其规定。</w:t>
                  </w:r>
                </w:p>
              </w:tc>
              <w:tc>
                <w:tcPr>
                  <w:tcW w:w="1557" w:type="pct"/>
                  <w:tcBorders>
                    <w:tl2br w:val="nil"/>
                    <w:tr2bl w:val="nil"/>
                  </w:tcBorders>
                  <w:vAlign w:val="center"/>
                </w:tcPr>
                <w:p w14:paraId="18B99BD8">
                  <w:pPr>
                    <w:keepNext w:val="0"/>
                    <w:keepLines w:val="0"/>
                    <w:pageBreakBefore w:val="0"/>
                    <w:widowControl w:val="0"/>
                    <w:kinsoku/>
                    <w:wordWrap/>
                    <w:overflowPunct/>
                    <w:topLinePunct w:val="0"/>
                    <w:autoSpaceDE/>
                    <w:autoSpaceDN/>
                    <w:bidi w:val="0"/>
                    <w:adjustRightInd/>
                    <w:snapToGrid/>
                    <w:ind w:left="0" w:leftChars="0"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sz w:val="21"/>
                      <w:szCs w:val="21"/>
                      <w:u w:val="none"/>
                      <w:vertAlign w:val="baseline"/>
                      <w:lang w:val="en-US" w:eastAsia="zh-CN"/>
                    </w:rPr>
                    <w:t>本项目</w:t>
                  </w:r>
                  <w:r>
                    <w:rPr>
                      <w:rFonts w:hint="eastAsia" w:ascii="Times New Roman" w:hAnsi="Times New Roman" w:eastAsia="宋体" w:cs="Times New Roman"/>
                      <w:b w:val="0"/>
                      <w:bCs w:val="0"/>
                      <w:color w:val="auto"/>
                      <w:sz w:val="21"/>
                      <w:szCs w:val="21"/>
                      <w:u w:val="none"/>
                      <w:vertAlign w:val="baseline"/>
                      <w:lang w:val="en-US" w:eastAsia="zh-CN"/>
                    </w:rPr>
                    <w:t>属于拦河闸除险加固工程，工程实施后</w:t>
                  </w:r>
                  <w:r>
                    <w:rPr>
                      <w:rFonts w:hint="default" w:ascii="Times New Roman" w:hAnsi="Times New Roman" w:eastAsia="宋体" w:cs="Times New Roman"/>
                      <w:b w:val="0"/>
                      <w:bCs w:val="0"/>
                      <w:color w:val="auto"/>
                      <w:kern w:val="2"/>
                      <w:sz w:val="21"/>
                      <w:szCs w:val="21"/>
                      <w:u w:val="none"/>
                      <w:vertAlign w:val="baseline"/>
                      <w:lang w:val="en-US" w:eastAsia="zh-CN" w:bidi="ar-SA"/>
                    </w:rPr>
                    <w:t>不占用自然保护区、风景名胜区、世界文化和自然遗产地以及其他生态保护红线等环境敏感区中法律法规禁止占用的区域</w:t>
                  </w:r>
                  <w:r>
                    <w:rPr>
                      <w:rFonts w:hint="eastAsia" w:ascii="Times New Roman" w:hAnsi="Times New Roman" w:eastAsia="宋体" w:cs="Times New Roman"/>
                      <w:b w:val="0"/>
                      <w:bCs w:val="0"/>
                      <w:color w:val="auto"/>
                      <w:kern w:val="2"/>
                      <w:sz w:val="21"/>
                      <w:szCs w:val="21"/>
                      <w:u w:val="none"/>
                      <w:vertAlign w:val="baseline"/>
                      <w:lang w:val="en-US" w:eastAsia="zh-CN" w:bidi="ar-SA"/>
                    </w:rPr>
                    <w:t>。</w:t>
                  </w:r>
                </w:p>
              </w:tc>
              <w:tc>
                <w:tcPr>
                  <w:tcW w:w="507" w:type="pct"/>
                  <w:tcBorders>
                    <w:tl2br w:val="nil"/>
                    <w:tr2bl w:val="nil"/>
                  </w:tcBorders>
                  <w:vAlign w:val="center"/>
                </w:tcPr>
                <w:p w14:paraId="352F0E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符合</w:t>
                  </w:r>
                </w:p>
              </w:tc>
            </w:tr>
            <w:tr w14:paraId="1729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6036599C">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2</w:t>
                  </w:r>
                </w:p>
              </w:tc>
              <w:tc>
                <w:tcPr>
                  <w:tcW w:w="2431" w:type="pct"/>
                  <w:tcBorders>
                    <w:tl2br w:val="nil"/>
                    <w:tr2bl w:val="nil"/>
                  </w:tcBorders>
                  <w:vAlign w:val="center"/>
                </w:tcPr>
                <w:p w14:paraId="4795850E">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项目实施改变水动力条件或水文过程且对水质产生不利影响的，提出了工程优化调整、科学调度、实施区域流域水污染防治等措施。对地下水环境产生不利影响或次生环境影响的，提出了优化工程设计、导排、防护等针对性的防治措施</w:t>
                  </w:r>
                  <w:r>
                    <w:rPr>
                      <w:rFonts w:hint="eastAsia" w:ascii="Times New Roman" w:hAnsi="Times New Roman" w:eastAsia="宋体" w:cs="Times New Roman"/>
                      <w:b w:val="0"/>
                      <w:bCs w:val="0"/>
                      <w:color w:val="auto"/>
                      <w:kern w:val="2"/>
                      <w:sz w:val="21"/>
                      <w:szCs w:val="21"/>
                      <w:u w:val="none"/>
                      <w:vertAlign w:val="baseline"/>
                      <w:lang w:val="en-US" w:eastAsia="zh-CN" w:bidi="ar-SA"/>
                    </w:rPr>
                    <w:t>。</w:t>
                  </w:r>
                </w:p>
                <w:p w14:paraId="712CDBB6">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在采取上述措施后，对水环境的不利影响能够得到缓解和控制，居民用水安全能够得到保障，相关区域不会出现显著的土壤潜育化、沼泽化、盐碱化等次生环境问题</w:t>
                  </w:r>
                  <w:r>
                    <w:rPr>
                      <w:rFonts w:hint="eastAsia" w:ascii="Times New Roman" w:hAnsi="Times New Roman" w:eastAsia="宋体" w:cs="Times New Roman"/>
                      <w:b w:val="0"/>
                      <w:bCs w:val="0"/>
                      <w:color w:val="auto"/>
                      <w:kern w:val="2"/>
                      <w:sz w:val="21"/>
                      <w:szCs w:val="21"/>
                      <w:u w:val="none"/>
                      <w:vertAlign w:val="baseline"/>
                      <w:lang w:val="en-US" w:eastAsia="zh-CN" w:bidi="ar-SA"/>
                    </w:rPr>
                    <w:t>。</w:t>
                  </w:r>
                </w:p>
              </w:tc>
              <w:tc>
                <w:tcPr>
                  <w:tcW w:w="1557" w:type="pct"/>
                  <w:tcBorders>
                    <w:tl2br w:val="nil"/>
                    <w:tr2bl w:val="nil"/>
                  </w:tcBorders>
                  <w:vAlign w:val="center"/>
                </w:tcPr>
                <w:p w14:paraId="7D42593D">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 xml:space="preserve">    </w:t>
                  </w:r>
                  <w:r>
                    <w:rPr>
                      <w:rFonts w:hint="default" w:ascii="Times New Roman" w:hAnsi="Times New Roman" w:eastAsia="宋体" w:cs="Times New Roman"/>
                      <w:b w:val="0"/>
                      <w:bCs w:val="0"/>
                      <w:color w:val="auto"/>
                      <w:sz w:val="21"/>
                      <w:szCs w:val="21"/>
                      <w:u w:val="none"/>
                      <w:vertAlign w:val="baseline"/>
                      <w:lang w:val="en-US" w:eastAsia="zh-CN"/>
                    </w:rPr>
                    <w:t>本项目</w:t>
                  </w:r>
                  <w:r>
                    <w:rPr>
                      <w:rFonts w:hint="eastAsia" w:ascii="Times New Roman" w:hAnsi="Times New Roman" w:eastAsia="宋体" w:cs="Times New Roman"/>
                      <w:b w:val="0"/>
                      <w:bCs w:val="0"/>
                      <w:color w:val="auto"/>
                      <w:sz w:val="21"/>
                      <w:szCs w:val="21"/>
                      <w:u w:val="none"/>
                      <w:vertAlign w:val="baseline"/>
                      <w:lang w:val="en-US" w:eastAsia="zh-CN"/>
                    </w:rPr>
                    <w:t>属于拦河闸除险加固工程，不改变水动力条件，项目实施过程中采取了水污染防治措施，避免对水质产生影响；项目不会对地下水环境产生</w:t>
                  </w:r>
                  <w:r>
                    <w:rPr>
                      <w:rFonts w:hint="default" w:ascii="Times New Roman" w:hAnsi="Times New Roman" w:eastAsia="宋体" w:cs="Times New Roman"/>
                      <w:b w:val="0"/>
                      <w:bCs w:val="0"/>
                      <w:color w:val="auto"/>
                      <w:kern w:val="2"/>
                      <w:sz w:val="21"/>
                      <w:szCs w:val="21"/>
                      <w:u w:val="none"/>
                      <w:vertAlign w:val="baseline"/>
                      <w:lang w:val="en-US" w:eastAsia="zh-CN" w:bidi="ar-SA"/>
                    </w:rPr>
                    <w:t>不利影响或次生环境影响</w:t>
                  </w:r>
                  <w:r>
                    <w:rPr>
                      <w:rFonts w:hint="eastAsia" w:ascii="Times New Roman" w:hAnsi="Times New Roman" w:eastAsia="宋体" w:cs="Times New Roman"/>
                      <w:b w:val="0"/>
                      <w:bCs w:val="0"/>
                      <w:color w:val="auto"/>
                      <w:kern w:val="2"/>
                      <w:sz w:val="21"/>
                      <w:szCs w:val="21"/>
                      <w:u w:val="none"/>
                      <w:vertAlign w:val="baseline"/>
                      <w:lang w:val="en-US" w:eastAsia="zh-CN" w:bidi="ar-SA"/>
                    </w:rPr>
                    <w:t>。</w:t>
                  </w:r>
                </w:p>
              </w:tc>
              <w:tc>
                <w:tcPr>
                  <w:tcW w:w="507" w:type="pct"/>
                  <w:tcBorders>
                    <w:tl2br w:val="nil"/>
                    <w:tr2bl w:val="nil"/>
                  </w:tcBorders>
                  <w:vAlign w:val="center"/>
                </w:tcPr>
                <w:p w14:paraId="76FFB6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符合</w:t>
                  </w:r>
                </w:p>
              </w:tc>
            </w:tr>
            <w:tr w14:paraId="6342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05AB748B">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3</w:t>
                  </w:r>
                </w:p>
              </w:tc>
              <w:tc>
                <w:tcPr>
                  <w:tcW w:w="2431" w:type="pct"/>
                  <w:tcBorders>
                    <w:tl2br w:val="nil"/>
                    <w:tr2bl w:val="nil"/>
                  </w:tcBorders>
                  <w:vAlign w:val="center"/>
                </w:tcPr>
                <w:p w14:paraId="753B5D6B">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项目对鱼类等水生生物的洄游通道及“三场”等重要生境、物种多样性及资源量等产生不利影响的，提出了下泄生态流量、恢复鱼类洄游通道、采用生态友好型护岸（坡、底）、生态修复、增殖放流等措施。</w:t>
                  </w:r>
                </w:p>
                <w:p w14:paraId="5665EB7D">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在采取上述措施后，对水生生物的不利影响能够得到缓解和控制，不会造成原有珍稀濒危保护、区域特有或重要经济水生生物在相关河段消失，不会对相关河段水生生态系统造成重大不利影响。</w:t>
                  </w:r>
                </w:p>
              </w:tc>
              <w:tc>
                <w:tcPr>
                  <w:tcW w:w="1557" w:type="pct"/>
                  <w:tcBorders>
                    <w:tl2br w:val="nil"/>
                    <w:tr2bl w:val="nil"/>
                  </w:tcBorders>
                  <w:vAlign w:val="center"/>
                </w:tcPr>
                <w:p w14:paraId="0AAEC3A7">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 xml:space="preserve">    </w:t>
                  </w:r>
                  <w:r>
                    <w:rPr>
                      <w:rFonts w:hint="default" w:ascii="Times New Roman" w:hAnsi="Times New Roman" w:eastAsia="宋体" w:cs="Times New Roman"/>
                      <w:b w:val="0"/>
                      <w:bCs w:val="0"/>
                      <w:color w:val="auto"/>
                      <w:sz w:val="21"/>
                      <w:szCs w:val="21"/>
                      <w:u w:val="none"/>
                      <w:vertAlign w:val="baseline"/>
                      <w:lang w:val="en-US" w:eastAsia="zh-CN"/>
                    </w:rPr>
                    <w:t>本项目</w:t>
                  </w:r>
                  <w:r>
                    <w:rPr>
                      <w:rFonts w:hint="eastAsia" w:ascii="Times New Roman" w:hAnsi="Times New Roman" w:eastAsia="宋体" w:cs="Times New Roman"/>
                      <w:b w:val="0"/>
                      <w:bCs w:val="0"/>
                      <w:color w:val="auto"/>
                      <w:sz w:val="21"/>
                      <w:szCs w:val="21"/>
                      <w:u w:val="none"/>
                      <w:vertAlign w:val="baseline"/>
                      <w:lang w:val="en-US" w:eastAsia="zh-CN"/>
                    </w:rPr>
                    <w:t>属于拦河闸除险加固工程，施工期不涉及</w:t>
                  </w:r>
                  <w:r>
                    <w:rPr>
                      <w:rFonts w:hint="default" w:ascii="Times New Roman" w:hAnsi="Times New Roman" w:eastAsia="宋体" w:cs="Times New Roman"/>
                      <w:b w:val="0"/>
                      <w:bCs w:val="0"/>
                      <w:color w:val="auto"/>
                      <w:kern w:val="2"/>
                      <w:sz w:val="21"/>
                      <w:szCs w:val="21"/>
                      <w:u w:val="none"/>
                      <w:vertAlign w:val="baseline"/>
                      <w:lang w:val="en-US" w:eastAsia="zh-CN" w:bidi="ar-SA"/>
                    </w:rPr>
                    <w:t>鱼类等水生生物的洄游通道及“三场”等重要生境</w:t>
                  </w:r>
                  <w:r>
                    <w:rPr>
                      <w:rFonts w:hint="eastAsia" w:ascii="Times New Roman" w:hAnsi="Times New Roman" w:eastAsia="宋体" w:cs="Times New Roman"/>
                      <w:b w:val="0"/>
                      <w:bCs w:val="0"/>
                      <w:color w:val="auto"/>
                      <w:kern w:val="2"/>
                      <w:sz w:val="21"/>
                      <w:szCs w:val="21"/>
                      <w:u w:val="none"/>
                      <w:vertAlign w:val="baseline"/>
                      <w:lang w:val="en-US" w:eastAsia="zh-CN" w:bidi="ar-SA"/>
                    </w:rPr>
                    <w:t>，不对</w:t>
                  </w:r>
                  <w:r>
                    <w:rPr>
                      <w:rFonts w:hint="default" w:ascii="Times New Roman" w:hAnsi="Times New Roman" w:eastAsia="宋体" w:cs="Times New Roman"/>
                      <w:b w:val="0"/>
                      <w:bCs w:val="0"/>
                      <w:color w:val="auto"/>
                      <w:kern w:val="2"/>
                      <w:sz w:val="21"/>
                      <w:szCs w:val="21"/>
                      <w:u w:val="none"/>
                      <w:vertAlign w:val="baseline"/>
                      <w:lang w:val="en-US" w:eastAsia="zh-CN" w:bidi="ar-SA"/>
                    </w:rPr>
                    <w:t>物种多样性及资源量</w:t>
                  </w:r>
                  <w:r>
                    <w:rPr>
                      <w:rFonts w:hint="eastAsia" w:ascii="Times New Roman" w:hAnsi="Times New Roman" w:eastAsia="宋体" w:cs="Times New Roman"/>
                      <w:b w:val="0"/>
                      <w:bCs w:val="0"/>
                      <w:color w:val="auto"/>
                      <w:kern w:val="2"/>
                      <w:sz w:val="21"/>
                      <w:szCs w:val="21"/>
                      <w:u w:val="none"/>
                      <w:vertAlign w:val="baseline"/>
                      <w:lang w:val="en-US" w:eastAsia="zh-CN" w:bidi="ar-SA"/>
                    </w:rPr>
                    <w:t>造成影响。</w:t>
                  </w:r>
                </w:p>
              </w:tc>
              <w:tc>
                <w:tcPr>
                  <w:tcW w:w="507" w:type="pct"/>
                  <w:tcBorders>
                    <w:tl2br w:val="nil"/>
                    <w:tr2bl w:val="nil"/>
                  </w:tcBorders>
                  <w:vAlign w:val="center"/>
                </w:tcPr>
                <w:p w14:paraId="4C75A7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符合</w:t>
                  </w:r>
                </w:p>
              </w:tc>
            </w:tr>
            <w:tr w14:paraId="7ED0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68892028">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4</w:t>
                  </w:r>
                </w:p>
              </w:tc>
              <w:tc>
                <w:tcPr>
                  <w:tcW w:w="2431" w:type="pct"/>
                  <w:tcBorders>
                    <w:tl2br w:val="nil"/>
                    <w:tr2bl w:val="nil"/>
                  </w:tcBorders>
                  <w:vAlign w:val="center"/>
                </w:tcPr>
                <w:p w14:paraId="32315830">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项目对湿地生态系统结构和功能、河湖生态缓冲带造成不利影响的，提出了优化工程设计及调度运行方案、生态修复等措施。对珍稀濒危保护植物造成不利影响的，提出了避让、原位防护、移栽等措施。对陆生珍稀濒危保护动物及其生境造成不利影响的，提出了避让、救护、迁徙廊道构建、生境再造等措施。对景观产生不利影响的，提出了避让、优化设计、景观塑造等措施。</w:t>
                  </w:r>
                </w:p>
                <w:p w14:paraId="3716E154">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在采取上述措施后，对湿地以及陆生动植物的不利影响能够得到缓解和控制，与区域景观相协调，不会造成原有珍稀濒危保护动植物在相关区域消失，不会对陆生生态系统造成重大不利影响。</w:t>
                  </w:r>
                </w:p>
              </w:tc>
              <w:tc>
                <w:tcPr>
                  <w:tcW w:w="1557" w:type="pct"/>
                  <w:tcBorders>
                    <w:tl2br w:val="nil"/>
                    <w:tr2bl w:val="nil"/>
                  </w:tcBorders>
                  <w:vAlign w:val="center"/>
                </w:tcPr>
                <w:p w14:paraId="684A76AE">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本项目不涉及</w:t>
                  </w:r>
                  <w:r>
                    <w:rPr>
                      <w:rFonts w:hint="default" w:ascii="Times New Roman" w:hAnsi="Times New Roman" w:eastAsia="宋体" w:cs="Times New Roman"/>
                      <w:b w:val="0"/>
                      <w:bCs w:val="0"/>
                      <w:color w:val="auto"/>
                      <w:kern w:val="2"/>
                      <w:sz w:val="21"/>
                      <w:szCs w:val="21"/>
                      <w:u w:val="none"/>
                      <w:vertAlign w:val="baseline"/>
                      <w:lang w:val="en-US" w:eastAsia="zh-CN" w:bidi="ar-SA"/>
                    </w:rPr>
                    <w:t>珍稀濒危保护</w:t>
                  </w:r>
                  <w:r>
                    <w:rPr>
                      <w:rFonts w:hint="eastAsia" w:ascii="Times New Roman" w:hAnsi="Times New Roman" w:eastAsia="宋体" w:cs="Times New Roman"/>
                      <w:b w:val="0"/>
                      <w:bCs w:val="0"/>
                      <w:color w:val="auto"/>
                      <w:kern w:val="2"/>
                      <w:sz w:val="21"/>
                      <w:szCs w:val="21"/>
                      <w:u w:val="none"/>
                      <w:vertAlign w:val="baseline"/>
                      <w:lang w:val="en-US" w:eastAsia="zh-CN" w:bidi="ar-SA"/>
                    </w:rPr>
                    <w:t>动</w:t>
                  </w:r>
                  <w:r>
                    <w:rPr>
                      <w:rFonts w:hint="default" w:ascii="Times New Roman" w:hAnsi="Times New Roman" w:eastAsia="宋体" w:cs="Times New Roman"/>
                      <w:b w:val="0"/>
                      <w:bCs w:val="0"/>
                      <w:color w:val="auto"/>
                      <w:kern w:val="2"/>
                      <w:sz w:val="21"/>
                      <w:szCs w:val="21"/>
                      <w:u w:val="none"/>
                      <w:vertAlign w:val="baseline"/>
                      <w:lang w:val="en-US" w:eastAsia="zh-CN" w:bidi="ar-SA"/>
                    </w:rPr>
                    <w:t>植物</w:t>
                  </w:r>
                  <w:r>
                    <w:rPr>
                      <w:rFonts w:hint="eastAsia" w:ascii="Times New Roman" w:hAnsi="Times New Roman" w:eastAsia="宋体" w:cs="Times New Roman"/>
                      <w:b w:val="0"/>
                      <w:bCs w:val="0"/>
                      <w:color w:val="auto"/>
                      <w:kern w:val="2"/>
                      <w:sz w:val="21"/>
                      <w:szCs w:val="21"/>
                      <w:u w:val="none"/>
                      <w:vertAlign w:val="baseline"/>
                      <w:lang w:val="en-US" w:eastAsia="zh-CN" w:bidi="ar-SA"/>
                    </w:rPr>
                    <w:t>和国家重要湿地。</w:t>
                  </w:r>
                </w:p>
              </w:tc>
              <w:tc>
                <w:tcPr>
                  <w:tcW w:w="507" w:type="pct"/>
                  <w:tcBorders>
                    <w:tl2br w:val="nil"/>
                    <w:tr2bl w:val="nil"/>
                  </w:tcBorders>
                  <w:vAlign w:val="center"/>
                </w:tcPr>
                <w:p w14:paraId="1795AC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符合</w:t>
                  </w:r>
                </w:p>
              </w:tc>
            </w:tr>
            <w:tr w14:paraId="0A27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19B1D2F9">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5</w:t>
                  </w:r>
                </w:p>
              </w:tc>
              <w:tc>
                <w:tcPr>
                  <w:tcW w:w="2431" w:type="pct"/>
                  <w:tcBorders>
                    <w:tl2br w:val="nil"/>
                    <w:tr2bl w:val="nil"/>
                  </w:tcBorders>
                  <w:vAlign w:val="center"/>
                </w:tcPr>
                <w:p w14:paraId="0BECC327">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项目施工组织方案具有环境合理性，对料场、弃土（渣）场等施工场地提出了水土流失防治和生态修复等措施。根据环境保护相关标准和要求，对施工期各类废（污）水、扬尘、废气、噪声、固体废物等提出了防治或处置措施。其中，涉水施工涉及饮用水水源保护区或取水口并可能对水质造成不利影响的，提出了避让、施工方案优化、污染物控制等措施；涉水施工对鱼类等水生生物及其重要生境造成不利影响的，提出了避让、施工方案优化、控制施工噪声等措施；针对清淤、疏浚等产生的淤泥，提出了符合相关规定的处置或综合利用方案。</w:t>
                  </w:r>
                </w:p>
                <w:p w14:paraId="388B8CB1">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在采取上述措施后，施工期的不利环境影响能够得到缓解和控制，不会对周围环境和敏感保护目标造成重大不利影响。</w:t>
                  </w:r>
                </w:p>
              </w:tc>
              <w:tc>
                <w:tcPr>
                  <w:tcW w:w="1557" w:type="pct"/>
                  <w:tcBorders>
                    <w:tl2br w:val="nil"/>
                    <w:tr2bl w:val="nil"/>
                  </w:tcBorders>
                  <w:vAlign w:val="center"/>
                </w:tcPr>
                <w:p w14:paraId="578C3D6A">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施工场地提出了水土流失防治和生态修复等措施</w:t>
                  </w:r>
                  <w:r>
                    <w:rPr>
                      <w:rFonts w:hint="eastAsia" w:ascii="Times New Roman" w:hAnsi="Times New Roman" w:eastAsia="宋体" w:cs="Times New Roman"/>
                      <w:b w:val="0"/>
                      <w:bCs w:val="0"/>
                      <w:color w:val="auto"/>
                      <w:kern w:val="2"/>
                      <w:sz w:val="21"/>
                      <w:szCs w:val="21"/>
                      <w:u w:val="none"/>
                      <w:vertAlign w:val="baseline"/>
                      <w:lang w:val="en-US" w:eastAsia="zh-CN" w:bidi="ar-SA"/>
                    </w:rPr>
                    <w:t>；</w:t>
                  </w:r>
                  <w:r>
                    <w:rPr>
                      <w:rFonts w:hint="default" w:ascii="Times New Roman" w:hAnsi="Times New Roman" w:eastAsia="宋体" w:cs="Times New Roman"/>
                      <w:b w:val="0"/>
                      <w:bCs w:val="0"/>
                      <w:color w:val="auto"/>
                      <w:kern w:val="2"/>
                      <w:sz w:val="21"/>
                      <w:szCs w:val="21"/>
                      <w:u w:val="none"/>
                      <w:vertAlign w:val="baseline"/>
                      <w:lang w:val="en-US" w:eastAsia="zh-CN" w:bidi="ar-SA"/>
                    </w:rPr>
                    <w:t>对施工期各类废（污）水、扬尘、废气、噪声、固体废物等提出了防治或处置措施。其中，涉水施工可能对水质造成不利影响的，提出了避让、</w:t>
                  </w:r>
                  <w:r>
                    <w:rPr>
                      <w:rFonts w:hint="eastAsia" w:ascii="Times New Roman" w:hAnsi="Times New Roman" w:eastAsia="宋体" w:cs="Times New Roman"/>
                      <w:b w:val="0"/>
                      <w:bCs w:val="0"/>
                      <w:color w:val="auto"/>
                      <w:kern w:val="2"/>
                      <w:sz w:val="21"/>
                      <w:szCs w:val="21"/>
                      <w:u w:val="none"/>
                      <w:vertAlign w:val="baseline"/>
                      <w:lang w:val="en-US" w:eastAsia="zh-CN" w:bidi="ar-SA"/>
                    </w:rPr>
                    <w:t>减缓、</w:t>
                  </w:r>
                  <w:r>
                    <w:rPr>
                      <w:rFonts w:hint="default" w:ascii="Times New Roman" w:hAnsi="Times New Roman" w:eastAsia="宋体" w:cs="Times New Roman"/>
                      <w:b w:val="0"/>
                      <w:bCs w:val="0"/>
                      <w:color w:val="auto"/>
                      <w:kern w:val="2"/>
                      <w:sz w:val="21"/>
                      <w:szCs w:val="21"/>
                      <w:u w:val="none"/>
                      <w:vertAlign w:val="baseline"/>
                      <w:lang w:val="en-US" w:eastAsia="zh-CN" w:bidi="ar-SA"/>
                    </w:rPr>
                    <w:t>施工方案优化、污染物控制等措施</w:t>
                  </w:r>
                  <w:r>
                    <w:rPr>
                      <w:rFonts w:hint="eastAsia" w:ascii="Times New Roman" w:hAnsi="Times New Roman" w:eastAsia="宋体" w:cs="Times New Roman"/>
                      <w:b w:val="0"/>
                      <w:bCs w:val="0"/>
                      <w:color w:val="auto"/>
                      <w:kern w:val="2"/>
                      <w:sz w:val="21"/>
                      <w:szCs w:val="21"/>
                      <w:u w:val="none"/>
                      <w:vertAlign w:val="baseline"/>
                      <w:lang w:val="en-US" w:eastAsia="zh-CN" w:bidi="ar-SA"/>
                    </w:rPr>
                    <w:t>；本项目不涉及</w:t>
                  </w:r>
                  <w:r>
                    <w:rPr>
                      <w:rFonts w:hint="default" w:ascii="Times New Roman" w:hAnsi="Times New Roman" w:eastAsia="宋体" w:cs="Times New Roman"/>
                      <w:b w:val="0"/>
                      <w:bCs w:val="0"/>
                      <w:color w:val="auto"/>
                      <w:kern w:val="2"/>
                      <w:sz w:val="21"/>
                      <w:szCs w:val="21"/>
                      <w:u w:val="none"/>
                      <w:vertAlign w:val="baseline"/>
                      <w:lang w:val="en-US" w:eastAsia="zh-CN" w:bidi="ar-SA"/>
                    </w:rPr>
                    <w:t>鱼类等水生生物及其重要生境</w:t>
                  </w:r>
                  <w:r>
                    <w:rPr>
                      <w:rFonts w:hint="eastAsia" w:ascii="Times New Roman" w:hAnsi="Times New Roman" w:eastAsia="宋体" w:cs="Times New Roman"/>
                      <w:b w:val="0"/>
                      <w:bCs w:val="0"/>
                      <w:color w:val="auto"/>
                      <w:kern w:val="2"/>
                      <w:sz w:val="21"/>
                      <w:szCs w:val="21"/>
                      <w:u w:val="none"/>
                      <w:vertAlign w:val="baseline"/>
                      <w:lang w:val="en-US" w:eastAsia="zh-CN" w:bidi="ar-SA"/>
                    </w:rPr>
                    <w:t>，不涉及</w:t>
                  </w:r>
                  <w:r>
                    <w:rPr>
                      <w:rFonts w:hint="default" w:ascii="Times New Roman" w:hAnsi="Times New Roman" w:eastAsia="宋体" w:cs="Times New Roman"/>
                      <w:b w:val="0"/>
                      <w:bCs w:val="0"/>
                      <w:color w:val="auto"/>
                      <w:kern w:val="2"/>
                      <w:sz w:val="21"/>
                      <w:szCs w:val="21"/>
                      <w:u w:val="none"/>
                      <w:vertAlign w:val="baseline"/>
                      <w:lang w:val="en-US" w:eastAsia="zh-CN" w:bidi="ar-SA"/>
                    </w:rPr>
                    <w:t>清淤、疏浚</w:t>
                  </w:r>
                  <w:r>
                    <w:rPr>
                      <w:rFonts w:hint="eastAsia" w:ascii="Times New Roman" w:hAnsi="Times New Roman" w:eastAsia="宋体" w:cs="Times New Roman"/>
                      <w:b w:val="0"/>
                      <w:bCs w:val="0"/>
                      <w:color w:val="auto"/>
                      <w:kern w:val="2"/>
                      <w:sz w:val="21"/>
                      <w:szCs w:val="21"/>
                      <w:u w:val="none"/>
                      <w:vertAlign w:val="baseline"/>
                      <w:lang w:val="en-US" w:eastAsia="zh-CN" w:bidi="ar-SA"/>
                    </w:rPr>
                    <w:t>。</w:t>
                  </w:r>
                </w:p>
                <w:p w14:paraId="59F9ACFF">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项目施工期</w:t>
                  </w:r>
                  <w:r>
                    <w:rPr>
                      <w:rFonts w:hint="default" w:ascii="Times New Roman" w:hAnsi="Times New Roman" w:eastAsia="宋体" w:cs="Times New Roman"/>
                      <w:b w:val="0"/>
                      <w:bCs w:val="0"/>
                      <w:color w:val="auto"/>
                      <w:kern w:val="2"/>
                      <w:sz w:val="21"/>
                      <w:szCs w:val="21"/>
                      <w:u w:val="none"/>
                      <w:vertAlign w:val="baseline"/>
                      <w:lang w:val="en-US" w:eastAsia="zh-CN" w:bidi="ar-SA"/>
                    </w:rPr>
                    <w:t>不会对周围环境和敏感保护目标造成重大不利影响。</w:t>
                  </w:r>
                </w:p>
              </w:tc>
              <w:tc>
                <w:tcPr>
                  <w:tcW w:w="507" w:type="pct"/>
                  <w:tcBorders>
                    <w:tl2br w:val="nil"/>
                    <w:tr2bl w:val="nil"/>
                  </w:tcBorders>
                  <w:vAlign w:val="center"/>
                </w:tcPr>
                <w:p w14:paraId="4A67B4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符合</w:t>
                  </w:r>
                </w:p>
              </w:tc>
            </w:tr>
            <w:tr w14:paraId="1AE7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350EE5F5">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6</w:t>
                  </w:r>
                </w:p>
              </w:tc>
              <w:tc>
                <w:tcPr>
                  <w:tcW w:w="2431" w:type="pct"/>
                  <w:tcBorders>
                    <w:tl2br w:val="nil"/>
                    <w:tr2bl w:val="nil"/>
                  </w:tcBorders>
                  <w:vAlign w:val="center"/>
                </w:tcPr>
                <w:p w14:paraId="1A8AFBCE">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项目移民安置的选址和建设方式具有环境合理性，提出了生态保护、污水处理、固体废物处置等措施。</w:t>
                  </w:r>
                </w:p>
                <w:p w14:paraId="5DE04D2E">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针对蓄滞洪区的环境污染、新增占地涉及污染场地等，提出了环境管理对策建议。</w:t>
                  </w:r>
                </w:p>
              </w:tc>
              <w:tc>
                <w:tcPr>
                  <w:tcW w:w="1557" w:type="pct"/>
                  <w:tcBorders>
                    <w:tl2br w:val="nil"/>
                    <w:tr2bl w:val="nil"/>
                  </w:tcBorders>
                  <w:vAlign w:val="center"/>
                </w:tcPr>
                <w:p w14:paraId="114BF991">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本项目不涉及左述内容。</w:t>
                  </w:r>
                </w:p>
              </w:tc>
              <w:tc>
                <w:tcPr>
                  <w:tcW w:w="507" w:type="pct"/>
                  <w:tcBorders>
                    <w:tl2br w:val="nil"/>
                    <w:tr2bl w:val="nil"/>
                  </w:tcBorders>
                  <w:vAlign w:val="center"/>
                </w:tcPr>
                <w:p w14:paraId="509CA5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符合</w:t>
                  </w:r>
                </w:p>
              </w:tc>
            </w:tr>
            <w:tr w14:paraId="42D0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20804D10">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7</w:t>
                  </w:r>
                </w:p>
              </w:tc>
              <w:tc>
                <w:tcPr>
                  <w:tcW w:w="2431" w:type="pct"/>
                  <w:tcBorders>
                    <w:tl2br w:val="nil"/>
                    <w:tr2bl w:val="nil"/>
                  </w:tcBorders>
                  <w:vAlign w:val="center"/>
                </w:tcPr>
                <w:p w14:paraId="2B8C69A8">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项目存在河湖水质污染、富营养化或外来物种入侵等环境风险的，提出了针对性的风险防范措施以及环境应急预案编制、建立必要的应急联动机制等要求</w:t>
                  </w:r>
                  <w:r>
                    <w:rPr>
                      <w:rFonts w:hint="eastAsia" w:ascii="Times New Roman" w:hAnsi="Times New Roman" w:eastAsia="宋体" w:cs="Times New Roman"/>
                      <w:b w:val="0"/>
                      <w:bCs w:val="0"/>
                      <w:color w:val="auto"/>
                      <w:kern w:val="2"/>
                      <w:sz w:val="21"/>
                      <w:szCs w:val="21"/>
                      <w:u w:val="none"/>
                      <w:vertAlign w:val="baseline"/>
                      <w:lang w:val="en-US" w:eastAsia="zh-CN" w:bidi="ar-SA"/>
                    </w:rPr>
                    <w:t>。</w:t>
                  </w:r>
                </w:p>
              </w:tc>
              <w:tc>
                <w:tcPr>
                  <w:tcW w:w="1557" w:type="pct"/>
                  <w:tcBorders>
                    <w:tl2br w:val="nil"/>
                    <w:tr2bl w:val="nil"/>
                  </w:tcBorders>
                  <w:vAlign w:val="center"/>
                </w:tcPr>
                <w:p w14:paraId="2D0121B5">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本项目不涉及左述内容。</w:t>
                  </w:r>
                </w:p>
              </w:tc>
              <w:tc>
                <w:tcPr>
                  <w:tcW w:w="507" w:type="pct"/>
                  <w:tcBorders>
                    <w:tl2br w:val="nil"/>
                    <w:tr2bl w:val="nil"/>
                  </w:tcBorders>
                  <w:vAlign w:val="center"/>
                </w:tcPr>
                <w:p w14:paraId="63B369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符合</w:t>
                  </w:r>
                </w:p>
              </w:tc>
            </w:tr>
            <w:tr w14:paraId="4CCE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132F829A">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8</w:t>
                  </w:r>
                </w:p>
              </w:tc>
              <w:tc>
                <w:tcPr>
                  <w:tcW w:w="2431" w:type="pct"/>
                  <w:tcBorders>
                    <w:tl2br w:val="nil"/>
                    <w:tr2bl w:val="nil"/>
                  </w:tcBorders>
                  <w:vAlign w:val="center"/>
                </w:tcPr>
                <w:p w14:paraId="7A734F7B">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改、扩建项目在全面梳理了与项目有关的现有工程环境问题基础上，提出了与项目相适应的“以新带老”措施</w:t>
                  </w:r>
                  <w:r>
                    <w:rPr>
                      <w:rFonts w:hint="eastAsia" w:ascii="Times New Roman" w:hAnsi="Times New Roman" w:eastAsia="宋体" w:cs="Times New Roman"/>
                      <w:b w:val="0"/>
                      <w:bCs w:val="0"/>
                      <w:color w:val="auto"/>
                      <w:kern w:val="2"/>
                      <w:sz w:val="21"/>
                      <w:szCs w:val="21"/>
                      <w:u w:val="none"/>
                      <w:vertAlign w:val="baseline"/>
                      <w:lang w:val="en-US" w:eastAsia="zh-CN" w:bidi="ar-SA"/>
                    </w:rPr>
                    <w:t>。</w:t>
                  </w:r>
                </w:p>
              </w:tc>
              <w:tc>
                <w:tcPr>
                  <w:tcW w:w="1557" w:type="pct"/>
                  <w:tcBorders>
                    <w:tl2br w:val="nil"/>
                    <w:tr2bl w:val="nil"/>
                  </w:tcBorders>
                  <w:vAlign w:val="center"/>
                </w:tcPr>
                <w:p w14:paraId="03D887D9">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本项目</w:t>
                  </w:r>
                  <w:r>
                    <w:rPr>
                      <w:rFonts w:hint="default" w:ascii="Times New Roman" w:hAnsi="Times New Roman" w:eastAsia="宋体" w:cs="Times New Roman"/>
                      <w:b w:val="0"/>
                      <w:bCs w:val="0"/>
                      <w:color w:val="auto"/>
                      <w:kern w:val="2"/>
                      <w:sz w:val="21"/>
                      <w:szCs w:val="21"/>
                      <w:u w:val="none"/>
                      <w:vertAlign w:val="baseline"/>
                      <w:lang w:val="en-US" w:eastAsia="zh-CN" w:bidi="ar-SA"/>
                    </w:rPr>
                    <w:t>全面梳理了与项目有关的现有工程环境问题，提出了与项目相适应的“以新带老”措施</w:t>
                  </w:r>
                  <w:r>
                    <w:rPr>
                      <w:rFonts w:hint="eastAsia" w:ascii="Times New Roman" w:hAnsi="Times New Roman" w:eastAsia="宋体" w:cs="Times New Roman"/>
                      <w:b w:val="0"/>
                      <w:bCs w:val="0"/>
                      <w:color w:val="auto"/>
                      <w:sz w:val="21"/>
                      <w:szCs w:val="21"/>
                      <w:u w:val="none"/>
                      <w:vertAlign w:val="baseline"/>
                      <w:lang w:val="en-US" w:eastAsia="zh-CN"/>
                    </w:rPr>
                    <w:t>。</w:t>
                  </w:r>
                </w:p>
              </w:tc>
              <w:tc>
                <w:tcPr>
                  <w:tcW w:w="507" w:type="pct"/>
                  <w:tcBorders>
                    <w:tl2br w:val="nil"/>
                    <w:tr2bl w:val="nil"/>
                  </w:tcBorders>
                  <w:vAlign w:val="center"/>
                </w:tcPr>
                <w:p w14:paraId="32621D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符合</w:t>
                  </w:r>
                </w:p>
              </w:tc>
            </w:tr>
            <w:tr w14:paraId="636F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0FA0EDC5">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9</w:t>
                  </w:r>
                </w:p>
              </w:tc>
              <w:tc>
                <w:tcPr>
                  <w:tcW w:w="2431" w:type="pct"/>
                  <w:tcBorders>
                    <w:tl2br w:val="nil"/>
                    <w:tr2bl w:val="nil"/>
                  </w:tcBorders>
                  <w:vAlign w:val="center"/>
                </w:tcPr>
                <w:p w14:paraId="2C600A52">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按相关导则及规定要求，制定了水环境、生态等环境监测计划，明确了监测网点、因子、频次等有关要求，提出了开展环境影响后评价及根据监测评估结果优化环境保护措施的要求。</w:t>
                  </w:r>
                </w:p>
                <w:p w14:paraId="1901FD78">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根据需要和相关规定，提出了环境保护设计、开展相关科学研究、环境管理等要求</w:t>
                  </w:r>
                  <w:r>
                    <w:rPr>
                      <w:rFonts w:hint="eastAsia" w:ascii="Times New Roman" w:hAnsi="Times New Roman" w:eastAsia="宋体" w:cs="Times New Roman"/>
                      <w:b w:val="0"/>
                      <w:bCs w:val="0"/>
                      <w:color w:val="auto"/>
                      <w:kern w:val="2"/>
                      <w:sz w:val="21"/>
                      <w:szCs w:val="21"/>
                      <w:u w:val="none"/>
                      <w:vertAlign w:val="baseline"/>
                      <w:lang w:val="en-US" w:eastAsia="zh-CN" w:bidi="ar-SA"/>
                    </w:rPr>
                    <w:t>。</w:t>
                  </w:r>
                </w:p>
              </w:tc>
              <w:tc>
                <w:tcPr>
                  <w:tcW w:w="1557" w:type="pct"/>
                  <w:tcBorders>
                    <w:tl2br w:val="nil"/>
                    <w:tr2bl w:val="nil"/>
                  </w:tcBorders>
                  <w:vAlign w:val="center"/>
                </w:tcPr>
                <w:p w14:paraId="52F5090D">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本项目评价</w:t>
                  </w:r>
                  <w:r>
                    <w:rPr>
                      <w:rFonts w:hint="default" w:ascii="Times New Roman" w:hAnsi="Times New Roman" w:eastAsia="宋体" w:cs="Times New Roman"/>
                      <w:b w:val="0"/>
                      <w:bCs w:val="0"/>
                      <w:color w:val="auto"/>
                      <w:kern w:val="2"/>
                      <w:sz w:val="21"/>
                      <w:szCs w:val="21"/>
                      <w:u w:val="none"/>
                      <w:vertAlign w:val="baseline"/>
                      <w:lang w:val="en-US" w:eastAsia="zh-CN" w:bidi="ar-SA"/>
                    </w:rPr>
                    <w:t>制定了水环境、生态等环境监测计划，明确了监测网点、因子、频次等有关要求，提出了开展环境影响后评价及根据监测评估结果优化环境保护措施的要求。提出了环境保护设计、开展相关科学研究、环境管理等要求</w:t>
                  </w:r>
                  <w:r>
                    <w:rPr>
                      <w:rFonts w:hint="eastAsia" w:ascii="Times New Roman" w:hAnsi="Times New Roman" w:eastAsia="宋体" w:cs="Times New Roman"/>
                      <w:b w:val="0"/>
                      <w:bCs w:val="0"/>
                      <w:color w:val="auto"/>
                      <w:kern w:val="2"/>
                      <w:sz w:val="21"/>
                      <w:szCs w:val="21"/>
                      <w:u w:val="none"/>
                      <w:vertAlign w:val="baseline"/>
                      <w:lang w:val="en-US" w:eastAsia="zh-CN" w:bidi="ar-SA"/>
                    </w:rPr>
                    <w:t>。</w:t>
                  </w:r>
                </w:p>
              </w:tc>
              <w:tc>
                <w:tcPr>
                  <w:tcW w:w="507" w:type="pct"/>
                  <w:tcBorders>
                    <w:tl2br w:val="nil"/>
                    <w:tr2bl w:val="nil"/>
                  </w:tcBorders>
                  <w:vAlign w:val="center"/>
                </w:tcPr>
                <w:p w14:paraId="52741F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符合</w:t>
                  </w:r>
                </w:p>
              </w:tc>
            </w:tr>
            <w:tr w14:paraId="1889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4EBC0713">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10</w:t>
                  </w:r>
                </w:p>
              </w:tc>
              <w:tc>
                <w:tcPr>
                  <w:tcW w:w="2431" w:type="pct"/>
                  <w:tcBorders>
                    <w:tl2br w:val="nil"/>
                    <w:tr2bl w:val="nil"/>
                  </w:tcBorders>
                  <w:vAlign w:val="center"/>
                </w:tcPr>
                <w:p w14:paraId="06D0DD9E">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对环境保护措施进行了深入论证，建设单位主体责任、投资估算、时间节点、预期效果明确，确保科学有效、安全可行、绿色协调</w:t>
                  </w:r>
                  <w:r>
                    <w:rPr>
                      <w:rFonts w:hint="eastAsia" w:ascii="Times New Roman" w:hAnsi="Times New Roman" w:eastAsia="宋体" w:cs="Times New Roman"/>
                      <w:b w:val="0"/>
                      <w:bCs w:val="0"/>
                      <w:color w:val="auto"/>
                      <w:kern w:val="2"/>
                      <w:sz w:val="21"/>
                      <w:szCs w:val="21"/>
                      <w:u w:val="none"/>
                      <w:vertAlign w:val="baseline"/>
                      <w:lang w:val="en-US" w:eastAsia="zh-CN" w:bidi="ar-SA"/>
                    </w:rPr>
                    <w:t>。</w:t>
                  </w:r>
                </w:p>
              </w:tc>
              <w:tc>
                <w:tcPr>
                  <w:tcW w:w="1557" w:type="pct"/>
                  <w:tcBorders>
                    <w:tl2br w:val="nil"/>
                    <w:tr2bl w:val="nil"/>
                  </w:tcBorders>
                  <w:vAlign w:val="center"/>
                </w:tcPr>
                <w:p w14:paraId="6730C52B">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kern w:val="2"/>
                      <w:sz w:val="21"/>
                      <w:szCs w:val="21"/>
                      <w:u w:val="none"/>
                      <w:vertAlign w:val="baseline"/>
                      <w:lang w:val="en-US" w:eastAsia="zh-CN" w:bidi="ar-SA"/>
                    </w:rPr>
                    <w:t>本评价</w:t>
                  </w:r>
                  <w:r>
                    <w:rPr>
                      <w:rFonts w:hint="default" w:ascii="Times New Roman" w:hAnsi="Times New Roman" w:eastAsia="宋体" w:cs="Times New Roman"/>
                      <w:b w:val="0"/>
                      <w:bCs w:val="0"/>
                      <w:color w:val="auto"/>
                      <w:kern w:val="2"/>
                      <w:sz w:val="21"/>
                      <w:szCs w:val="21"/>
                      <w:u w:val="none"/>
                      <w:vertAlign w:val="baseline"/>
                      <w:lang w:val="en-US" w:eastAsia="zh-CN" w:bidi="ar-SA"/>
                    </w:rPr>
                    <w:t>对环境保护措施进行了深入论证</w:t>
                  </w:r>
                  <w:r>
                    <w:rPr>
                      <w:rFonts w:hint="eastAsia" w:ascii="Times New Roman" w:hAnsi="Times New Roman" w:eastAsia="宋体" w:cs="Times New Roman"/>
                      <w:b w:val="0"/>
                      <w:bCs w:val="0"/>
                      <w:color w:val="auto"/>
                      <w:kern w:val="2"/>
                      <w:sz w:val="21"/>
                      <w:szCs w:val="21"/>
                      <w:u w:val="none"/>
                      <w:vertAlign w:val="baseline"/>
                      <w:lang w:val="en-US" w:eastAsia="zh-CN" w:bidi="ar-SA"/>
                    </w:rPr>
                    <w:t>，措施科学有效、</w:t>
                  </w:r>
                  <w:r>
                    <w:rPr>
                      <w:rFonts w:hint="default" w:ascii="Times New Roman" w:hAnsi="Times New Roman" w:eastAsia="宋体" w:cs="Times New Roman"/>
                      <w:b w:val="0"/>
                      <w:bCs w:val="0"/>
                      <w:color w:val="auto"/>
                      <w:kern w:val="2"/>
                      <w:sz w:val="21"/>
                      <w:szCs w:val="21"/>
                      <w:u w:val="none"/>
                      <w:vertAlign w:val="baseline"/>
                      <w:lang w:val="en-US" w:eastAsia="zh-CN" w:bidi="ar-SA"/>
                    </w:rPr>
                    <w:t>安全可行、绿色协调</w:t>
                  </w:r>
                  <w:r>
                    <w:rPr>
                      <w:rFonts w:hint="eastAsia" w:ascii="Times New Roman" w:hAnsi="Times New Roman" w:eastAsia="宋体" w:cs="Times New Roman"/>
                      <w:b w:val="0"/>
                      <w:bCs w:val="0"/>
                      <w:color w:val="auto"/>
                      <w:kern w:val="2"/>
                      <w:sz w:val="21"/>
                      <w:szCs w:val="21"/>
                      <w:u w:val="none"/>
                      <w:vertAlign w:val="baseline"/>
                      <w:lang w:val="en-US" w:eastAsia="zh-CN" w:bidi="ar-SA"/>
                    </w:rPr>
                    <w:t>。</w:t>
                  </w:r>
                </w:p>
              </w:tc>
              <w:tc>
                <w:tcPr>
                  <w:tcW w:w="507" w:type="pct"/>
                  <w:tcBorders>
                    <w:tl2br w:val="nil"/>
                    <w:tr2bl w:val="nil"/>
                  </w:tcBorders>
                  <w:vAlign w:val="center"/>
                </w:tcPr>
                <w:p w14:paraId="79D700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符合</w:t>
                  </w:r>
                </w:p>
              </w:tc>
            </w:tr>
            <w:tr w14:paraId="5B02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21C569DA">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11</w:t>
                  </w:r>
                </w:p>
              </w:tc>
              <w:tc>
                <w:tcPr>
                  <w:tcW w:w="2431" w:type="pct"/>
                  <w:tcBorders>
                    <w:tl2br w:val="nil"/>
                    <w:tr2bl w:val="nil"/>
                  </w:tcBorders>
                  <w:vAlign w:val="center"/>
                </w:tcPr>
                <w:p w14:paraId="62188364">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按相关规定开展了信息公开和公众参与。</w:t>
                  </w:r>
                </w:p>
              </w:tc>
              <w:tc>
                <w:tcPr>
                  <w:tcW w:w="1557" w:type="pct"/>
                  <w:tcBorders>
                    <w:tl2br w:val="nil"/>
                    <w:tr2bl w:val="nil"/>
                  </w:tcBorders>
                  <w:vAlign w:val="center"/>
                </w:tcPr>
                <w:p w14:paraId="5C697344">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本项目按相关要求进行</w:t>
                  </w:r>
                  <w:r>
                    <w:rPr>
                      <w:rFonts w:hint="default" w:ascii="Times New Roman" w:hAnsi="Times New Roman" w:eastAsia="宋体" w:cs="Times New Roman"/>
                      <w:b w:val="0"/>
                      <w:bCs w:val="0"/>
                      <w:color w:val="auto"/>
                      <w:kern w:val="2"/>
                      <w:sz w:val="21"/>
                      <w:szCs w:val="21"/>
                      <w:u w:val="none"/>
                      <w:vertAlign w:val="baseline"/>
                      <w:lang w:val="en-US" w:eastAsia="zh-CN" w:bidi="ar-SA"/>
                    </w:rPr>
                    <w:t>信息公开</w:t>
                  </w:r>
                  <w:r>
                    <w:rPr>
                      <w:rFonts w:hint="eastAsia" w:ascii="Times New Roman" w:hAnsi="Times New Roman" w:cs="Times New Roman"/>
                      <w:b w:val="0"/>
                      <w:bCs w:val="0"/>
                      <w:color w:val="auto"/>
                      <w:kern w:val="2"/>
                      <w:sz w:val="21"/>
                      <w:szCs w:val="21"/>
                      <w:u w:val="none"/>
                      <w:vertAlign w:val="baseline"/>
                      <w:lang w:val="en-US" w:eastAsia="zh-CN" w:bidi="ar-SA"/>
                    </w:rPr>
                    <w:t>及公众参与</w:t>
                  </w:r>
                  <w:r>
                    <w:rPr>
                      <w:rFonts w:hint="eastAsia" w:ascii="Times New Roman" w:hAnsi="Times New Roman" w:eastAsia="宋体" w:cs="Times New Roman"/>
                      <w:b w:val="0"/>
                      <w:bCs w:val="0"/>
                      <w:color w:val="auto"/>
                      <w:kern w:val="2"/>
                      <w:sz w:val="21"/>
                      <w:szCs w:val="21"/>
                      <w:u w:val="none"/>
                      <w:vertAlign w:val="baseline"/>
                      <w:lang w:val="en-US" w:eastAsia="zh-CN" w:bidi="ar-SA"/>
                    </w:rPr>
                    <w:t>。</w:t>
                  </w:r>
                </w:p>
              </w:tc>
              <w:tc>
                <w:tcPr>
                  <w:tcW w:w="507" w:type="pct"/>
                  <w:tcBorders>
                    <w:tl2br w:val="nil"/>
                    <w:tr2bl w:val="nil"/>
                  </w:tcBorders>
                  <w:vAlign w:val="center"/>
                </w:tcPr>
                <w:p w14:paraId="3E58A8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符合</w:t>
                  </w:r>
                </w:p>
              </w:tc>
            </w:tr>
            <w:tr w14:paraId="4EA4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vAlign w:val="center"/>
                </w:tcPr>
                <w:p w14:paraId="53721772">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12</w:t>
                  </w:r>
                </w:p>
              </w:tc>
              <w:tc>
                <w:tcPr>
                  <w:tcW w:w="2431" w:type="pct"/>
                  <w:tcBorders>
                    <w:tl2br w:val="nil"/>
                    <w:tr2bl w:val="nil"/>
                  </w:tcBorders>
                  <w:vAlign w:val="center"/>
                </w:tcPr>
                <w:p w14:paraId="2B051BD8">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kern w:val="2"/>
                      <w:sz w:val="21"/>
                      <w:szCs w:val="21"/>
                      <w:u w:val="none"/>
                      <w:vertAlign w:val="baseline"/>
                      <w:lang w:val="en-US" w:eastAsia="zh-CN" w:bidi="ar-SA"/>
                    </w:rPr>
                    <w:t>环境影响评价文件编制规范，符合相关管理规定和环评技术标准要求。</w:t>
                  </w:r>
                </w:p>
              </w:tc>
              <w:tc>
                <w:tcPr>
                  <w:tcW w:w="1557" w:type="pct"/>
                  <w:tcBorders>
                    <w:tl2br w:val="nil"/>
                    <w:tr2bl w:val="nil"/>
                  </w:tcBorders>
                  <w:vAlign w:val="center"/>
                </w:tcPr>
                <w:p w14:paraId="35D876CD">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kern w:val="2"/>
                      <w:sz w:val="21"/>
                      <w:szCs w:val="21"/>
                      <w:u w:val="none"/>
                      <w:vertAlign w:val="baseline"/>
                      <w:lang w:val="en-US" w:eastAsia="zh-CN" w:bidi="ar-SA"/>
                    </w:rPr>
                    <w:t>环境影响评价文件编制规范，符合相关管理规定和环评技术标准要求。</w:t>
                  </w:r>
                </w:p>
              </w:tc>
              <w:tc>
                <w:tcPr>
                  <w:tcW w:w="507" w:type="pct"/>
                  <w:tcBorders>
                    <w:tl2br w:val="nil"/>
                    <w:tr2bl w:val="nil"/>
                  </w:tcBorders>
                  <w:vAlign w:val="center"/>
                </w:tcPr>
                <w:p w14:paraId="0FEB33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ascii="Times New Roman" w:hAnsi="Times New Roman" w:eastAsia="宋体" w:cs="Times New Roman"/>
                      <w:b w:val="0"/>
                      <w:bCs w:val="0"/>
                      <w:color w:val="auto"/>
                      <w:kern w:val="2"/>
                      <w:sz w:val="21"/>
                      <w:szCs w:val="21"/>
                      <w:u w:val="none"/>
                      <w:vertAlign w:val="baseline"/>
                      <w:lang w:val="en-US" w:eastAsia="zh-CN" w:bidi="ar-SA"/>
                    </w:rPr>
                    <w:t>符合</w:t>
                  </w:r>
                </w:p>
              </w:tc>
            </w:tr>
          </w:tbl>
          <w:p w14:paraId="43512E5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outlineLvl w:val="9"/>
              <w:rPr>
                <w:rFonts w:hint="eastAsia" w:ascii="Times New Roman" w:hAnsi="Times New Roman" w:eastAsia="宋体" w:cs="Times New Roman"/>
                <w:b w:val="0"/>
                <w:bCs w:val="0"/>
                <w:color w:val="0000FF"/>
                <w:spacing w:val="1"/>
                <w:sz w:val="24"/>
                <w:szCs w:val="24"/>
                <w:u w:val="none"/>
                <w:lang w:val="en-US" w:eastAsia="zh-CN"/>
                <w14:textOutline w14:w="4354" w14:cap="flat" w14:cmpd="sng">
                  <w14:solidFill>
                    <w14:srgbClr w14:val="000000"/>
                  </w14:solidFill>
                  <w14:prstDash w14:val="solid"/>
                  <w14:miter w14:val="0"/>
                </w14:textOutline>
              </w:rPr>
            </w:pPr>
            <w:r>
              <w:rPr>
                <w:rFonts w:hint="eastAsia" w:ascii="Times New Roman" w:hAnsi="Times New Roman" w:cs="Times New Roman"/>
                <w:b w:val="0"/>
                <w:bCs w:val="0"/>
                <w:color w:val="auto"/>
                <w:spacing w:val="1"/>
                <w:sz w:val="24"/>
                <w:szCs w:val="24"/>
                <w:u w:val="none"/>
                <w:lang w:val="en-US" w:eastAsia="zh-CN"/>
                <w14:textOutline w14:w="4354" w14:cap="flat" w14:cmpd="sng">
                  <w14:solidFill>
                    <w14:srgbClr w14:val="000000"/>
                  </w14:solidFill>
                  <w14:prstDash w14:val="solid"/>
                  <w14:miter w14:val="0"/>
                </w14:textOutline>
              </w:rPr>
              <w:t>六、</w:t>
            </w:r>
            <w:r>
              <w:rPr>
                <w:rFonts w:hint="eastAsia" w:ascii="Times New Roman" w:hAnsi="Times New Roman" w:eastAsia="宋体" w:cs="Times New Roman"/>
                <w:b w:val="0"/>
                <w:bCs w:val="0"/>
                <w:color w:val="auto"/>
                <w:spacing w:val="1"/>
                <w:sz w:val="24"/>
                <w:szCs w:val="24"/>
                <w:u w:val="none"/>
                <w:lang w:val="en-US" w:eastAsia="zh-CN"/>
                <w14:textOutline w14:w="4354" w14:cap="flat" w14:cmpd="sng">
                  <w14:solidFill>
                    <w14:srgbClr w14:val="000000"/>
                  </w14:solidFill>
                  <w14:prstDash w14:val="solid"/>
                  <w14:miter w14:val="0"/>
                </w14:textOutline>
              </w:rPr>
              <w:t>项目与《中华人民共和国水</w:t>
            </w:r>
            <w:r>
              <w:rPr>
                <w:rFonts w:hint="eastAsia" w:ascii="Times New Roman" w:hAnsi="Times New Roman" w:eastAsia="宋体" w:cs="Times New Roman"/>
                <w:b w:val="0"/>
                <w:bCs w:val="0"/>
                <w:color w:val="0000FF"/>
                <w:spacing w:val="1"/>
                <w:sz w:val="24"/>
                <w:szCs w:val="24"/>
                <w:u w:val="none"/>
                <w:lang w:val="en-US" w:eastAsia="zh-CN"/>
                <w14:textOutline w14:w="4354" w14:cap="flat" w14:cmpd="sng">
                  <w14:solidFill>
                    <w14:srgbClr w14:val="000000"/>
                  </w14:solidFill>
                  <w14:prstDash w14:val="solid"/>
                  <w14:miter w14:val="0"/>
                </w14:textOutline>
              </w:rPr>
              <w:t>利建设十四五规划》符合性分析</w:t>
            </w:r>
          </w:p>
          <w:p w14:paraId="0B7A9E7C">
            <w:pPr>
              <w:adjustRightInd w:val="0"/>
              <w:snapToGrid w:val="0"/>
              <w:spacing w:line="500" w:lineRule="exact"/>
              <w:ind w:firstLine="480" w:firstLineChars="200"/>
              <w:jc w:val="both"/>
              <w:rPr>
                <w:rFonts w:hint="eastAsia" w:ascii="宋体" w:hAnsi="宋体" w:cs="宋体"/>
                <w:sz w:val="24"/>
                <w:lang w:val="en-US" w:eastAsia="zh-CN"/>
              </w:rPr>
            </w:pPr>
            <w:r>
              <w:rPr>
                <w:rFonts w:hint="eastAsia" w:ascii="宋体" w:hAnsi="宋体" w:cs="宋体"/>
                <w:sz w:val="24"/>
                <w:lang w:val="en-US" w:eastAsia="zh-CN"/>
              </w:rPr>
              <w:t>根据《中华人民共和国水利建设十四五规划》，在整个十四五规划期间，将按照“加强基础设施建设、提高水文工程利用效果、实施供水保障行动、开展水资源保护等四大方面”的原则，把建设和保护农业水利工程、控制和治理农田土壤侵蚀、建设和改造污水处理设施以及提升洪水安全防洪能力放在重要位置，着力改善水资源利用状况，坚持可持续发展，在水利建设上发挥积极作用。</w:t>
            </w:r>
          </w:p>
          <w:p w14:paraId="048CF59D">
            <w:pPr>
              <w:adjustRightInd w:val="0"/>
              <w:snapToGrid w:val="0"/>
              <w:spacing w:line="500" w:lineRule="exact"/>
              <w:ind w:firstLine="480" w:firstLineChars="200"/>
              <w:jc w:val="both"/>
              <w:rPr>
                <w:rFonts w:hint="eastAsia" w:ascii="宋体" w:hAnsi="宋体" w:cs="宋体"/>
                <w:sz w:val="24"/>
                <w:lang w:val="en-US" w:eastAsia="zh-CN"/>
              </w:rPr>
            </w:pPr>
            <w:r>
              <w:rPr>
                <w:rFonts w:hint="eastAsia" w:ascii="宋体" w:hAnsi="宋体" w:cs="宋体"/>
                <w:sz w:val="24"/>
                <w:lang w:val="en-US" w:eastAsia="zh-CN"/>
              </w:rPr>
              <w:t>本项目主要为拦河闸除险加固工程，保证冷水江河坝水闸的安全运行，促使工程综合利用效益充分发挥，为地区经济持续发展快速健康发展提供安全保障；可提高其防洪整体能力，减轻洪涝灾害，有利于社会稳定，促进区域经济协调发展、城乡统筹发展和社会主义新农村的建设。因此，符合《中华人民共和国水利建设十四五规划》</w:t>
            </w:r>
            <w:r>
              <w:rPr>
                <w:rFonts w:hint="eastAsia" w:ascii="宋体" w:hAnsi="宋体" w:cs="宋体"/>
                <w:sz w:val="24"/>
                <w:lang w:eastAsia="zh-CN"/>
              </w:rPr>
              <w:t>。</w:t>
            </w:r>
          </w:p>
          <w:p w14:paraId="754A5330">
            <w:pPr>
              <w:rPr>
                <w:rFonts w:hint="eastAsia"/>
                <w:lang w:val="en-US" w:eastAsia="zh-CN"/>
              </w:rPr>
            </w:pPr>
          </w:p>
        </w:tc>
      </w:tr>
    </w:tbl>
    <w:p w14:paraId="331D10CF">
      <w:pPr>
        <w:widowControl/>
        <w:spacing w:before="100" w:beforeAutospacing="1" w:after="100" w:afterAutospacing="1"/>
        <w:jc w:val="center"/>
        <w:outlineLvl w:val="0"/>
        <w:rPr>
          <w:rFonts w:hint="eastAsia" w:ascii="黑体" w:hAnsi="黑体" w:eastAsia="黑体"/>
          <w:snapToGrid w:val="0"/>
          <w:color w:val="000000"/>
          <w:sz w:val="30"/>
          <w:szCs w:val="30"/>
        </w:rPr>
        <w:sectPr>
          <w:headerReference r:id="rId4" w:type="default"/>
          <w:footerReference r:id="rId5" w:type="default"/>
          <w:pgSz w:w="11906" w:h="16838"/>
          <w:pgMar w:top="1440" w:right="1797" w:bottom="1440" w:left="1797" w:header="510" w:footer="992" w:gutter="0"/>
          <w:pgBorders>
            <w:top w:val="none" w:sz="0" w:space="0"/>
            <w:left w:val="none" w:sz="0" w:space="0"/>
            <w:bottom w:val="none" w:sz="0" w:space="0"/>
            <w:right w:val="none" w:sz="0" w:space="0"/>
          </w:pgBorders>
          <w:pgNumType w:fmt="decimal" w:start="1"/>
          <w:cols w:space="720" w:num="1"/>
          <w:docGrid w:linePitch="327" w:charSpace="0"/>
        </w:sectPr>
      </w:pPr>
      <w:bookmarkStart w:id="3" w:name="_Toc9145"/>
    </w:p>
    <w:p w14:paraId="2F3F2DB3">
      <w:pPr>
        <w:widowControl/>
        <w:spacing w:before="100" w:beforeAutospacing="1" w:after="100" w:afterAutospacing="1"/>
        <w:jc w:val="center"/>
        <w:outlineLvl w:val="0"/>
        <w:rPr>
          <w:rFonts w:ascii="黑体" w:hAnsi="黑体" w:eastAsia="黑体"/>
          <w:snapToGrid w:val="0"/>
          <w:color w:val="000000"/>
          <w:sz w:val="30"/>
          <w:szCs w:val="30"/>
        </w:rPr>
      </w:pPr>
      <w:r>
        <w:rPr>
          <w:rFonts w:hint="eastAsia" w:ascii="黑体" w:hAnsi="黑体" w:eastAsia="黑体"/>
          <w:snapToGrid w:val="0"/>
          <w:color w:val="000000"/>
          <w:sz w:val="30"/>
          <w:szCs w:val="30"/>
        </w:rPr>
        <w:t>二、建设内容</w:t>
      </w:r>
      <w:bookmarkEnd w:id="3"/>
    </w:p>
    <w:tbl>
      <w:tblPr>
        <w:tblStyle w:val="45"/>
        <w:tblW w:w="8873" w:type="dxa"/>
        <w:tblInd w:w="-21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916"/>
      </w:tblGrid>
      <w:tr w14:paraId="684715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456" w:type="dxa"/>
            <w:vAlign w:val="center"/>
          </w:tcPr>
          <w:p w14:paraId="744A1A54">
            <w:pPr>
              <w:adjustRightInd w:val="0"/>
              <w:snapToGrid w:val="0"/>
              <w:jc w:val="center"/>
              <w:rPr>
                <w:color w:val="000000"/>
                <w:sz w:val="24"/>
              </w:rPr>
            </w:pPr>
            <w:r>
              <w:rPr>
                <w:rFonts w:hint="eastAsia"/>
                <w:color w:val="000000"/>
                <w:sz w:val="24"/>
              </w:rPr>
              <w:t>地理位置</w:t>
            </w:r>
          </w:p>
        </w:tc>
        <w:tc>
          <w:tcPr>
            <w:tcW w:w="8417" w:type="dxa"/>
            <w:vAlign w:val="center"/>
          </w:tcPr>
          <w:p w14:paraId="73738F93">
            <w:pPr>
              <w:adjustRightInd w:val="0"/>
              <w:snapToGrid w:val="0"/>
              <w:spacing w:line="500" w:lineRule="exact"/>
              <w:ind w:firstLine="508" w:firstLineChars="200"/>
              <w:jc w:val="both"/>
              <w:rPr>
                <w:color w:val="000000"/>
                <w:sz w:val="24"/>
              </w:rPr>
            </w:pPr>
            <w:r>
              <w:rPr>
                <w:rFonts w:hint="default" w:ascii="Times New Roman" w:hAnsi="Times New Roman" w:eastAsia="宋体" w:cs="Times New Roman"/>
                <w:b w:val="0"/>
                <w:bCs w:val="0"/>
                <w:color w:val="auto"/>
                <w:spacing w:val="7"/>
                <w:sz w:val="24"/>
                <w:szCs w:val="24"/>
                <w:lang w:eastAsia="zh-CN"/>
              </w:rPr>
              <w:t>项目</w:t>
            </w:r>
            <w:r>
              <w:rPr>
                <w:rFonts w:hint="eastAsia" w:ascii="Times New Roman" w:hAnsi="Times New Roman" w:eastAsia="宋体" w:cs="Times New Roman"/>
                <w:b w:val="0"/>
                <w:bCs w:val="0"/>
                <w:color w:val="auto"/>
                <w:spacing w:val="7"/>
                <w:sz w:val="24"/>
                <w:szCs w:val="24"/>
                <w:lang w:eastAsia="zh-CN"/>
              </w:rPr>
              <w:t>位于永州市祁阳市黎家坪镇马斯坪村</w:t>
            </w:r>
            <w:r>
              <w:rPr>
                <w:rFonts w:hint="eastAsia" w:ascii="Times New Roman" w:hAnsi="Times New Roman" w:eastAsia="宋体" w:cs="Times New Roman"/>
                <w:b w:val="0"/>
                <w:bCs w:val="0"/>
                <w:color w:val="auto"/>
                <w:spacing w:val="7"/>
                <w:sz w:val="24"/>
                <w:szCs w:val="24"/>
                <w:lang w:val="en-US" w:eastAsia="zh-CN"/>
              </w:rPr>
              <w:t>；</w:t>
            </w:r>
            <w:r>
              <w:rPr>
                <w:rFonts w:hint="default" w:ascii="Times New Roman" w:hAnsi="Times New Roman" w:eastAsia="宋体" w:cs="Times New Roman"/>
                <w:b w:val="0"/>
                <w:bCs w:val="0"/>
                <w:color w:val="auto"/>
                <w:spacing w:val="7"/>
                <w:sz w:val="24"/>
                <w:szCs w:val="24"/>
                <w:lang w:val="en-US" w:eastAsia="zh-CN"/>
              </w:rPr>
              <w:t>地理位置坐标为：N26°</w:t>
            </w:r>
            <w:r>
              <w:rPr>
                <w:rFonts w:hint="eastAsia" w:ascii="Times New Roman" w:hAnsi="Times New Roman" w:eastAsia="宋体" w:cs="Times New Roman"/>
                <w:b w:val="0"/>
                <w:bCs w:val="0"/>
                <w:color w:val="auto"/>
                <w:spacing w:val="7"/>
                <w:sz w:val="24"/>
                <w:szCs w:val="24"/>
                <w:lang w:val="en-US" w:eastAsia="zh-CN"/>
              </w:rPr>
              <w:t>45</w:t>
            </w:r>
            <w:r>
              <w:rPr>
                <w:rFonts w:hint="default" w:ascii="Times New Roman" w:hAnsi="Times New Roman" w:eastAsia="宋体" w:cs="Times New Roman"/>
                <w:b w:val="0"/>
                <w:bCs w:val="0"/>
                <w:color w:val="auto"/>
                <w:spacing w:val="7"/>
                <w:sz w:val="24"/>
                <w:szCs w:val="24"/>
                <w:lang w:val="en-US" w:eastAsia="zh-CN"/>
              </w:rPr>
              <w:t>'</w:t>
            </w:r>
            <w:r>
              <w:rPr>
                <w:rFonts w:hint="eastAsia" w:ascii="Times New Roman" w:hAnsi="Times New Roman" w:eastAsia="宋体" w:cs="Times New Roman"/>
                <w:b w:val="0"/>
                <w:bCs w:val="0"/>
                <w:color w:val="auto"/>
                <w:spacing w:val="7"/>
                <w:sz w:val="24"/>
                <w:szCs w:val="24"/>
                <w:lang w:val="en-US" w:eastAsia="zh-CN"/>
              </w:rPr>
              <w:t>06</w:t>
            </w:r>
            <w:r>
              <w:rPr>
                <w:rFonts w:hint="default" w:ascii="Times New Roman" w:hAnsi="Times New Roman" w:eastAsia="宋体" w:cs="Times New Roman"/>
                <w:b w:val="0"/>
                <w:bCs w:val="0"/>
                <w:color w:val="auto"/>
                <w:spacing w:val="7"/>
                <w:sz w:val="24"/>
                <w:szCs w:val="24"/>
                <w:lang w:val="en-US" w:eastAsia="zh-CN"/>
              </w:rPr>
              <w:t>"</w:t>
            </w:r>
            <w:r>
              <w:rPr>
                <w:rFonts w:hint="eastAsia" w:ascii="Times New Roman" w:hAnsi="Times New Roman" w:eastAsia="宋体" w:cs="Times New Roman"/>
                <w:b w:val="0"/>
                <w:bCs w:val="0"/>
                <w:color w:val="auto"/>
                <w:spacing w:val="7"/>
                <w:sz w:val="24"/>
                <w:szCs w:val="24"/>
                <w:lang w:val="en-US" w:eastAsia="zh-CN"/>
              </w:rPr>
              <w:t>，</w:t>
            </w:r>
            <w:r>
              <w:rPr>
                <w:rFonts w:hint="default" w:ascii="Times New Roman" w:hAnsi="Times New Roman" w:eastAsia="宋体" w:cs="Times New Roman"/>
                <w:b w:val="0"/>
                <w:bCs w:val="0"/>
                <w:color w:val="auto"/>
                <w:spacing w:val="7"/>
                <w:sz w:val="24"/>
                <w:szCs w:val="24"/>
                <w:lang w:val="en-US" w:eastAsia="zh-CN"/>
              </w:rPr>
              <w:t>E111°4</w:t>
            </w:r>
            <w:r>
              <w:rPr>
                <w:rFonts w:hint="eastAsia" w:ascii="Times New Roman" w:hAnsi="Times New Roman" w:eastAsia="宋体" w:cs="Times New Roman"/>
                <w:b w:val="0"/>
                <w:bCs w:val="0"/>
                <w:color w:val="auto"/>
                <w:spacing w:val="7"/>
                <w:sz w:val="24"/>
                <w:szCs w:val="24"/>
                <w:lang w:val="en-US" w:eastAsia="zh-CN"/>
              </w:rPr>
              <w:t>9</w:t>
            </w:r>
            <w:r>
              <w:rPr>
                <w:rFonts w:hint="default" w:ascii="Times New Roman" w:hAnsi="Times New Roman" w:eastAsia="宋体" w:cs="Times New Roman"/>
                <w:b w:val="0"/>
                <w:bCs w:val="0"/>
                <w:color w:val="auto"/>
                <w:spacing w:val="7"/>
                <w:sz w:val="24"/>
                <w:szCs w:val="24"/>
                <w:lang w:val="en-US" w:eastAsia="zh-CN"/>
              </w:rPr>
              <w:t>'</w:t>
            </w:r>
            <w:r>
              <w:rPr>
                <w:rFonts w:hint="eastAsia" w:ascii="Times New Roman" w:hAnsi="Times New Roman" w:eastAsia="宋体" w:cs="Times New Roman"/>
                <w:b w:val="0"/>
                <w:bCs w:val="0"/>
                <w:color w:val="auto"/>
                <w:spacing w:val="7"/>
                <w:sz w:val="24"/>
                <w:szCs w:val="24"/>
                <w:lang w:val="en-US" w:eastAsia="zh-CN"/>
              </w:rPr>
              <w:t>06</w:t>
            </w:r>
            <w:r>
              <w:rPr>
                <w:rFonts w:hint="default" w:ascii="Times New Roman" w:hAnsi="Times New Roman" w:eastAsia="宋体" w:cs="Times New Roman"/>
                <w:b w:val="0"/>
                <w:bCs w:val="0"/>
                <w:color w:val="auto"/>
                <w:spacing w:val="7"/>
                <w:sz w:val="24"/>
                <w:szCs w:val="24"/>
                <w:lang w:val="en-US" w:eastAsia="zh-CN"/>
              </w:rPr>
              <w:t>"</w:t>
            </w:r>
            <w:r>
              <w:rPr>
                <w:rFonts w:hint="default" w:ascii="Times New Roman" w:hAnsi="Times New Roman" w:cs="Times New Roman"/>
                <w:color w:val="000000"/>
                <w:sz w:val="24"/>
              </w:rPr>
              <w:t>。</w:t>
            </w:r>
            <w:r>
              <w:rPr>
                <w:rFonts w:hint="eastAsia" w:hAnsi="宋体"/>
                <w:color w:val="000000"/>
                <w:sz w:val="24"/>
              </w:rPr>
              <w:t>地理位置图见附图</w:t>
            </w:r>
            <w:r>
              <w:rPr>
                <w:rFonts w:hAnsi="宋体"/>
                <w:color w:val="000000"/>
                <w:sz w:val="24"/>
              </w:rPr>
              <w:t>1</w:t>
            </w:r>
            <w:r>
              <w:rPr>
                <w:rFonts w:hint="eastAsia" w:hAnsi="宋体"/>
                <w:color w:val="000000"/>
                <w:sz w:val="24"/>
              </w:rPr>
              <w:t>。</w:t>
            </w:r>
          </w:p>
        </w:tc>
      </w:tr>
      <w:tr w14:paraId="3BA8D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2" w:hRule="atLeast"/>
        </w:trPr>
        <w:tc>
          <w:tcPr>
            <w:tcW w:w="456" w:type="dxa"/>
            <w:vAlign w:val="center"/>
          </w:tcPr>
          <w:p w14:paraId="5E5AC639">
            <w:pPr>
              <w:widowControl/>
              <w:adjustRightInd w:val="0"/>
              <w:snapToGrid w:val="0"/>
              <w:jc w:val="center"/>
              <w:rPr>
                <w:color w:val="000000"/>
                <w:sz w:val="24"/>
              </w:rPr>
            </w:pPr>
            <w:r>
              <w:rPr>
                <w:rFonts w:hint="eastAsia" w:hAnsi="宋体"/>
                <w:color w:val="000000"/>
                <w:sz w:val="24"/>
              </w:rPr>
              <w:t>项目组成及规模</w:t>
            </w:r>
          </w:p>
        </w:tc>
        <w:tc>
          <w:tcPr>
            <w:tcW w:w="8417" w:type="dxa"/>
          </w:tcPr>
          <w:p w14:paraId="365B5F9C">
            <w:pPr>
              <w:spacing w:line="360" w:lineRule="auto"/>
              <w:ind w:right="105" w:rightChars="50" w:firstLine="482" w:firstLineChars="200"/>
              <w:rPr>
                <w:b/>
                <w:color w:val="000000"/>
                <w:sz w:val="24"/>
              </w:rPr>
            </w:pPr>
            <w:r>
              <w:rPr>
                <w:rFonts w:hint="eastAsia"/>
                <w:b/>
                <w:color w:val="000000"/>
                <w:sz w:val="24"/>
              </w:rPr>
              <w:t>1、项目背景</w:t>
            </w:r>
          </w:p>
          <w:p w14:paraId="2A5A5C7D">
            <w:pPr>
              <w:keepNext w:val="0"/>
              <w:keepLines w:val="0"/>
              <w:pageBreakBefore w:val="0"/>
              <w:widowControl w:val="0"/>
              <w:kinsoku/>
              <w:wordWrap/>
              <w:overflowPunct/>
              <w:topLinePunct w:val="0"/>
              <w:autoSpaceDE/>
              <w:autoSpaceDN/>
              <w:bidi w:val="0"/>
              <w:adjustRightInd/>
              <w:snapToGrid/>
              <w:spacing w:line="360" w:lineRule="auto"/>
              <w:ind w:left="0" w:firstLine="464" w:firstLineChars="200"/>
              <w:textAlignment w:val="auto"/>
              <w:outlineLvl w:val="2"/>
              <w:rPr>
                <w:rFonts w:hint="default" w:ascii="Times New Roman" w:hAnsi="Times New Roman" w:eastAsia="宋体" w:cs="Times New Roman"/>
                <w:b w:val="0"/>
                <w:bCs w:val="0"/>
                <w:color w:val="auto"/>
                <w:sz w:val="24"/>
                <w:szCs w:val="24"/>
              </w:rPr>
            </w:pPr>
            <w:r>
              <w:rPr>
                <w:rFonts w:hint="eastAsia" w:ascii="Times New Roman" w:hAnsi="Times New Roman" w:cs="Times New Roman"/>
                <w:b w:val="0"/>
                <w:bCs w:val="0"/>
                <w:color w:val="auto"/>
                <w:spacing w:val="-4"/>
                <w:sz w:val="24"/>
                <w:szCs w:val="24"/>
                <w:lang w:val="en-US" w:eastAsia="zh-CN"/>
                <w14:textOutline w14:w="4354" w14:cap="flat" w14:cmpd="sng">
                  <w14:solidFill>
                    <w14:srgbClr w14:val="000000"/>
                  </w14:solidFill>
                  <w14:prstDash w14:val="solid"/>
                  <w14:miter w14:val="0"/>
                </w14:textOutline>
              </w:rPr>
              <w:t>1.1</w:t>
            </w:r>
            <w:r>
              <w:rPr>
                <w:rFonts w:hint="default" w:ascii="Times New Roman" w:hAnsi="Times New Roman" w:eastAsia="宋体" w:cs="Times New Roman"/>
                <w:b w:val="0"/>
                <w:bCs w:val="0"/>
                <w:color w:val="auto"/>
                <w:spacing w:val="-4"/>
                <w:sz w:val="24"/>
                <w:szCs w:val="24"/>
                <w14:textOutline w14:w="4354" w14:cap="flat" w14:cmpd="sng">
                  <w14:solidFill>
                    <w14:srgbClr w14:val="000000"/>
                  </w14:solidFill>
                  <w14:prstDash w14:val="solid"/>
                  <w14:miter w14:val="0"/>
                </w14:textOutline>
              </w:rPr>
              <w:t>工程</w:t>
            </w:r>
            <w:r>
              <w:rPr>
                <w:rFonts w:hint="eastAsia" w:ascii="Times New Roman" w:hAnsi="Times New Roman" w:eastAsia="宋体" w:cs="Times New Roman"/>
                <w:b w:val="0"/>
                <w:bCs w:val="0"/>
                <w:color w:val="auto"/>
                <w:spacing w:val="-4"/>
                <w:sz w:val="24"/>
                <w:szCs w:val="24"/>
                <w:lang w:eastAsia="zh-CN"/>
                <w14:textOutline w14:w="4354" w14:cap="flat" w14:cmpd="sng">
                  <w14:solidFill>
                    <w14:srgbClr w14:val="000000"/>
                  </w14:solidFill>
                  <w14:prstDash w14:val="solid"/>
                  <w14:miter w14:val="0"/>
                </w14:textOutline>
              </w:rPr>
              <w:t>现状</w:t>
            </w:r>
            <w:r>
              <w:rPr>
                <w:rFonts w:hint="eastAsia" w:ascii="Times New Roman" w:hAnsi="Times New Roman" w:eastAsia="宋体" w:cs="Times New Roman"/>
                <w:b w:val="0"/>
                <w:bCs w:val="0"/>
                <w:color w:val="auto"/>
                <w:spacing w:val="-4"/>
                <w:sz w:val="24"/>
                <w:szCs w:val="24"/>
                <w:lang w:val="en-US" w:eastAsia="zh-CN"/>
                <w14:textOutline w14:w="4354" w14:cap="flat" w14:cmpd="sng">
                  <w14:solidFill>
                    <w14:srgbClr w14:val="000000"/>
                  </w14:solidFill>
                  <w14:prstDash w14:val="solid"/>
                  <w14:miter w14:val="0"/>
                </w14:textOutline>
              </w:rPr>
              <w:t>及</w:t>
            </w:r>
            <w:r>
              <w:rPr>
                <w:rFonts w:hint="default" w:ascii="Times New Roman" w:hAnsi="Times New Roman" w:eastAsia="宋体" w:cs="Times New Roman"/>
                <w:b w:val="0"/>
                <w:bCs w:val="0"/>
                <w:color w:val="auto"/>
                <w:spacing w:val="-4"/>
                <w:sz w:val="24"/>
                <w:szCs w:val="24"/>
                <w14:textOutline w14:w="4354" w14:cap="flat" w14:cmpd="sng">
                  <w14:solidFill>
                    <w14:srgbClr w14:val="000000"/>
                  </w14:solidFill>
                  <w14:prstDash w14:val="solid"/>
                  <w14:miter w14:val="0"/>
                </w14:textOutline>
              </w:rPr>
              <w:t>存在的问题</w:t>
            </w:r>
          </w:p>
          <w:p w14:paraId="4676E2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冷水江河坝水闸位于湘江一级支流祁水河中下游，祁阳市马斯坪村，地理坐标为:东经 111°49’06”，北纬 26°45’06”。闸址距祁阳县县城约30km，距黎家坪镇约 10km。村级公路距闸址约300m，交通便利。河坝控制流城面积1260km</w:t>
            </w:r>
            <w:r>
              <w:rPr>
                <w:rFonts w:hint="eastAsia" w:ascii="Times New Roman" w:hAnsi="Times New Roman" w:eastAsia="宋体" w:cs="Times New Roman"/>
                <w:color w:val="auto"/>
                <w:kern w:val="0"/>
                <w:sz w:val="24"/>
                <w:szCs w:val="24"/>
                <w:vertAlign w:val="superscript"/>
                <w:lang w:val="en-US" w:eastAsia="zh-CN" w:bidi="ar"/>
              </w:rPr>
              <w:t>2</w:t>
            </w:r>
            <w:r>
              <w:rPr>
                <w:rFonts w:hint="eastAsia" w:ascii="Times New Roman" w:hAnsi="Times New Roman" w:eastAsia="宋体" w:cs="Times New Roman"/>
                <w:color w:val="auto"/>
                <w:kern w:val="0"/>
                <w:sz w:val="24"/>
                <w:szCs w:val="24"/>
                <w:lang w:val="en-US" w:eastAsia="zh-CN" w:bidi="ar"/>
              </w:rPr>
              <w:t>，干流坡降 0.85%，冷水江河坝水闸闸址控制集雨面积 1468km</w:t>
            </w:r>
            <w:r>
              <w:rPr>
                <w:rFonts w:hint="eastAsia" w:ascii="Times New Roman" w:hAnsi="Times New Roman" w:eastAsia="宋体" w:cs="Times New Roman"/>
                <w:color w:val="auto"/>
                <w:kern w:val="0"/>
                <w:sz w:val="24"/>
                <w:szCs w:val="24"/>
                <w:vertAlign w:val="superscript"/>
                <w:lang w:val="en-US" w:eastAsia="zh-CN" w:bidi="ar"/>
              </w:rPr>
              <w:t>2</w:t>
            </w:r>
            <w:r>
              <w:rPr>
                <w:rFonts w:hint="eastAsia" w:ascii="Times New Roman" w:hAnsi="Times New Roman" w:eastAsia="宋体" w:cs="Times New Roman"/>
                <w:color w:val="auto"/>
                <w:kern w:val="0"/>
                <w:sz w:val="24"/>
                <w:szCs w:val="24"/>
                <w:lang w:val="en-US" w:eastAsia="zh-CN" w:bidi="ar"/>
              </w:rPr>
              <w:t>，工程于1972年12月建成运行，水闸设计灌溉面积5000 亩。左干渠长2公里。右千渠10.7公里，该工程是一座以灌溉为主，辅以防洪、发电、自来水供应的中型水利工程。</w:t>
            </w:r>
          </w:p>
          <w:p w14:paraId="285572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冷水江河坝水闸工程主要由拦河坝、泵房、电站、灌溉渠等建筑物组成，闸前水面高程：99.30m，闸室水面高：99.30m，下游水面高程：96.10m。水闸包括固定溢流坝和挡水闸门，闸坝轴线总长 85m。</w:t>
            </w:r>
          </w:p>
          <w:p w14:paraId="6F8BB5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a）主要建筑物</w:t>
            </w:r>
          </w:p>
          <w:p w14:paraId="416551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坝体：闸室底板为折线型实用堰，溢流坝坝体为混凝土圬工坝，堰顶用一薄层砼包裹，堰顶高程 99.30m，堰底高程 96.30m，最大坝高 5.76m。堰顶宽 2.6m。上游坡面铅直，下游坡比1:1.15，堰顶装有19扇闸门（18 扇翻板石门闸、1 扇平板石门闸），其中 13#翻板石门闸闸门损坏严重。</w:t>
            </w:r>
          </w:p>
          <w:p w14:paraId="06198B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翻板闸形式为连杆轮式水力自控翻板闸，闸门宽3.00m，高1.8m，厚0.2m，平板砼闸门宽4m，高1.8m，厚0.2m，闸门均无止水设施。闸顶共有21座桥墩，采用钢筋砼结构。</w:t>
            </w:r>
          </w:p>
          <w:p w14:paraId="253073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工作桥：位于水闸上部，为钢筋砼平板结构。工作桥长 85m，工作桥桥面宽1.4m，工作桥面高程 102.08m，闸墩即桥墩，原有闸墩 22 座，桥孔 21 座。现有完好桥墩 22 座，桥孔 21 处。工作桥上下游侧均无栏杆保护。</w:t>
            </w:r>
          </w:p>
          <w:p w14:paraId="371501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水轮泵：水轮泵位于大坝左侧和右侧，左侧 1 台水轮泵由平板铁门闸控制，闸门宽 1.58m，高 1.8m，厚 0.1m。右侧 4 台水轮泵由平板铁门闸控制，其中2台闸门宽 2.1m，高 2.9m，厚 0.15m，另两台闸门宽 1.6m，高 2.9m，厚 0.15m。</w:t>
            </w:r>
          </w:p>
          <w:p w14:paraId="41D2DB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中开泵：中开泵位于大坝右侧上游，基础地面高程 101.90m，抽水扬程24m，泵房为两层砖混结构。</w:t>
            </w:r>
          </w:p>
          <w:p w14:paraId="5079E2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灌溉渠：灌溉渠位于大坝左右侧，混凝土衬砌，表面抹水泥砂浆。灌溉渠进口底板高程 105.99m。</w:t>
            </w:r>
          </w:p>
          <w:p w14:paraId="4B214B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电站：电站位于大坝左岸下游，3 台水轮发电机。</w:t>
            </w:r>
          </w:p>
          <w:p w14:paraId="07D537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上下游翼墙：冷水江河坝水闸翼墙为浆砌料石翼墙，两侧浆砌石勾缝砂浆填塞密实度差，局部饱满度不够，有勾缝脱落，砌石松动，裂缝等现象。</w:t>
            </w:r>
          </w:p>
          <w:p w14:paraId="338696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主要问题有：</w:t>
            </w:r>
          </w:p>
          <w:p w14:paraId="605F11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（1）水闸各部位砼结构老化破损，冲刷剥蚀严重，止水设施损毁严重，大部分闸门已不能自行开启。</w:t>
            </w:r>
          </w:p>
          <w:p w14:paraId="6C920E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（2）溢流坝防渗面板严重破损，裂缝明显，基础部分淘空。</w:t>
            </w:r>
          </w:p>
          <w:p w14:paraId="4B5A77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（3）下游无消能防冲设施。</w:t>
            </w:r>
          </w:p>
          <w:p w14:paraId="712C53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（4）水闸左右岸存在绕坝渗漏。</w:t>
            </w:r>
          </w:p>
          <w:p w14:paraId="3954B9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（5）水闸工作桥存在安全隐患。</w:t>
            </w:r>
          </w:p>
          <w:p w14:paraId="332FAB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（6）工程管理设施落后，管理制度不完善，无监控监测设施。</w:t>
            </w:r>
          </w:p>
          <w:p w14:paraId="473C479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kern w:val="0"/>
                <w:sz w:val="24"/>
                <w:szCs w:val="24"/>
                <w:lang w:val="en-US" w:eastAsia="zh-CN" w:bidi="ar"/>
              </w:rPr>
            </w:pPr>
            <w:r>
              <w:rPr>
                <w:rFonts w:hint="eastAsia" w:ascii="Times New Roman" w:hAnsi="Times New Roman" w:cs="Times New Roman"/>
                <w:b/>
                <w:bCs/>
                <w:color w:val="auto"/>
                <w:kern w:val="0"/>
                <w:sz w:val="24"/>
                <w:szCs w:val="24"/>
                <w:lang w:val="en-US" w:eastAsia="zh-CN" w:bidi="ar"/>
              </w:rPr>
              <w:t>1.2</w:t>
            </w:r>
            <w:r>
              <w:rPr>
                <w:rFonts w:hint="default" w:ascii="Times New Roman" w:hAnsi="Times New Roman" w:eastAsia="宋体" w:cs="Times New Roman"/>
                <w:b/>
                <w:bCs/>
                <w:color w:val="auto"/>
                <w:kern w:val="0"/>
                <w:sz w:val="24"/>
                <w:szCs w:val="24"/>
                <w:lang w:val="en-US" w:eastAsia="zh-CN" w:bidi="ar"/>
              </w:rPr>
              <w:t>整治工程的必要性</w:t>
            </w:r>
          </w:p>
          <w:p w14:paraId="5D6D44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一、项目建设是确保水闸安全运行的需要</w:t>
            </w:r>
          </w:p>
          <w:p w14:paraId="3B7A24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冷水江河坝水闸枢纽现状主要建筑物包括拦河坝、闸门、灌溉渠水轮泵站、水轮泵及人行桥等建筑物组成。水闸自投入运行50年以来枢纽工程及建筑物存在的诸多问题：闸顶高程不满足要求；溢流堰体砌体砌石之间空隙较大，堰体漏水；溢流堰基础位于强风化灰岩上，岩体完整性较差，部分基础已经裸露至基岩面（未嵌入基岩），闸基属中等透水带；挡墙沉降变形，墙基淘空，存在绕闸渗漏现象；闸门门体开裂、变形，漏水严重，无法开启；闸门支承结构局部断裂，运转构件锈蚀严重；水闸无监测、管理房等必要的管护设施，不能满足工程运行管理需要。</w:t>
            </w:r>
          </w:p>
          <w:p w14:paraId="25FD4A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上述存在的问题表明，现状水闸行洪安全和工程自身安全得不到保证，水闸一直带病运行，特别是近几年内情况更为严重，冷水江河坝水闸被鉴定为“三类闸”。为确保水闸的安全运行，对冷水江河坝水闸的除险加固是十分必要的。</w:t>
            </w:r>
          </w:p>
          <w:p w14:paraId="615069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二、项目建设是地区经济和社会发展的要求</w:t>
            </w:r>
          </w:p>
          <w:p w14:paraId="750C75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冷水江河坝水闸设计右岸灌溉面积4000亩、左岸灌溉面积 1000 亩，受益人口约 0.8 万人，是一座以灌溉为主，辅以防洪、自来水供应的中型水利工程。水闸除险加固后，枢纽工程能安全运行，水闸的综合效益能正常发挥，为地区经济持续发展提供安全保障，工程除险加固实施后带来良好的社会效益和很大的经济效益。</w:t>
            </w:r>
          </w:p>
          <w:p w14:paraId="20D2B1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综上所述，为保证冷水江河坝水闸的安全运行，促使工程综合利用效益充分发挥，为地区经济持续发展快速健康发展提供安全保障，冷水江河坝水闸的除险加固是非常必要的，十分紧迫的</w:t>
            </w:r>
            <w:r>
              <w:rPr>
                <w:rFonts w:hint="eastAsia" w:ascii="Times New Roman" w:hAnsi="Times New Roman" w:cs="Times New Roman"/>
                <w:color w:val="auto"/>
                <w:kern w:val="0"/>
                <w:sz w:val="24"/>
                <w:szCs w:val="24"/>
                <w:lang w:val="en-US" w:eastAsia="zh-CN" w:bidi="ar"/>
              </w:rPr>
              <w:t>。</w:t>
            </w:r>
          </w:p>
          <w:p w14:paraId="2C2EB3FE">
            <w:pPr>
              <w:pStyle w:val="60"/>
              <w:spacing w:line="360" w:lineRule="auto"/>
              <w:rPr>
                <w:rFonts w:hint="default"/>
                <w:lang w:val="en-US" w:eastAsia="zh-CN"/>
              </w:rPr>
            </w:pPr>
            <w:r>
              <w:rPr>
                <w:rFonts w:hint="eastAsia" w:ascii="Times New Roman" w:hAnsi="Times New Roman" w:cs="Times New Roman"/>
                <w:color w:val="auto"/>
                <w:kern w:val="0"/>
                <w:sz w:val="24"/>
                <w:szCs w:val="24"/>
                <w:lang w:val="en-US" w:eastAsia="zh-CN" w:bidi="ar"/>
              </w:rPr>
              <w:t xml:space="preserve">  本次除险加固工程内容不涉及冷水江河坝水闸工程中电站部分，不改变其装机容量和发电量。祁阳县黎家坪镇冷水江水电站于2020年9月25日已取得环评手续，批文号：祁环审【2020】5号。</w:t>
            </w:r>
          </w:p>
          <w:p w14:paraId="4BF209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olor w:val="000000"/>
                <w:sz w:val="24"/>
              </w:rPr>
            </w:pPr>
            <w:r>
              <w:rPr>
                <w:rFonts w:hint="eastAsia" w:ascii="Times New Roman" w:hAnsi="Times New Roman" w:eastAsia="宋体" w:cs="Times New Roman"/>
                <w:color w:val="auto"/>
                <w:kern w:val="0"/>
                <w:sz w:val="24"/>
                <w:szCs w:val="24"/>
                <w:lang w:val="en-US" w:eastAsia="zh-CN" w:bidi="ar"/>
              </w:rPr>
              <w:t>按照《中华人民共和国环境保护法</w:t>
            </w:r>
            <w:r>
              <w:rPr>
                <w:rFonts w:ascii="宋体" w:hAnsi="宋体"/>
                <w:color w:val="000000"/>
                <w:sz w:val="24"/>
              </w:rPr>
              <w:t>》、《中华人民共和国环境影响评价法》、《建设项目环境保护管理条例》（国务院</w:t>
            </w:r>
            <w:r>
              <w:rPr>
                <w:rFonts w:ascii="Times New Roman" w:hAnsi="Times New Roman"/>
                <w:color w:val="000000"/>
                <w:sz w:val="24"/>
              </w:rPr>
              <w:t>2017年第682号令）、</w:t>
            </w:r>
            <w:r>
              <w:rPr>
                <w:rFonts w:hint="eastAsia" w:ascii="Times New Roman" w:hAnsi="Times New Roman"/>
                <w:color w:val="000000"/>
                <w:sz w:val="24"/>
              </w:rPr>
              <w:t>《建设项目环境影响评价分类管理名录（2021年版）》</w:t>
            </w:r>
            <w:r>
              <w:rPr>
                <w:rFonts w:ascii="Times New Roman" w:hAnsi="Times New Roman"/>
                <w:color w:val="000000"/>
                <w:sz w:val="24"/>
              </w:rPr>
              <w:t>，</w:t>
            </w:r>
            <w:r>
              <w:rPr>
                <w:rFonts w:hint="eastAsia" w:ascii="Times New Roman" w:hAnsi="Times New Roman"/>
                <w:color w:val="000000"/>
                <w:sz w:val="24"/>
              </w:rPr>
              <w:t>本项目</w:t>
            </w:r>
            <w:r>
              <w:rPr>
                <w:rFonts w:hint="eastAsia"/>
                <w:color w:val="000000"/>
                <w:sz w:val="24"/>
                <w:lang w:val="en-US" w:eastAsia="zh-CN"/>
              </w:rPr>
              <w:t>涉及</w:t>
            </w:r>
            <w:r>
              <w:rPr>
                <w:rFonts w:hint="eastAsia" w:ascii="Times New Roman" w:hAnsi="Times New Roman"/>
                <w:color w:val="000000"/>
                <w:sz w:val="24"/>
                <w:lang w:eastAsia="zh-CN"/>
              </w:rPr>
              <w:t>“五十</w:t>
            </w:r>
            <w:r>
              <w:rPr>
                <w:rFonts w:hint="eastAsia"/>
                <w:color w:val="000000"/>
                <w:sz w:val="24"/>
                <w:lang w:val="en-US" w:eastAsia="zh-CN"/>
              </w:rPr>
              <w:t>一</w:t>
            </w:r>
            <w:r>
              <w:rPr>
                <w:rFonts w:hint="eastAsia" w:ascii="Times New Roman" w:hAnsi="Times New Roman"/>
                <w:color w:val="000000"/>
                <w:sz w:val="24"/>
                <w:lang w:eastAsia="zh-CN"/>
              </w:rPr>
              <w:t>、</w:t>
            </w:r>
            <w:r>
              <w:rPr>
                <w:rFonts w:hint="eastAsia"/>
                <w:color w:val="000000"/>
                <w:sz w:val="24"/>
                <w:lang w:val="en-US" w:eastAsia="zh-CN"/>
              </w:rPr>
              <w:t>水利</w:t>
            </w:r>
            <w:r>
              <w:rPr>
                <w:rFonts w:hint="eastAsia" w:ascii="Times New Roman" w:hAnsi="Times New Roman"/>
                <w:color w:val="000000"/>
                <w:sz w:val="24"/>
                <w:lang w:eastAsia="zh-CN"/>
              </w:rPr>
              <w:t>-127、防洪除涝工程”</w:t>
            </w:r>
            <w:r>
              <w:rPr>
                <w:rFonts w:hint="eastAsia" w:ascii="Times New Roman" w:hAnsi="Times New Roman"/>
                <w:color w:val="000000"/>
                <w:sz w:val="24"/>
                <w:lang w:val="en-US" w:eastAsia="zh-CN"/>
              </w:rPr>
              <w:t>中“</w:t>
            </w:r>
            <w:r>
              <w:rPr>
                <w:rFonts w:hint="eastAsia"/>
                <w:color w:val="000000"/>
                <w:sz w:val="24"/>
                <w:lang w:val="en-US" w:eastAsia="zh-CN"/>
              </w:rPr>
              <w:t>其他</w:t>
            </w:r>
            <w:r>
              <w:rPr>
                <w:rFonts w:hint="eastAsia" w:ascii="Times New Roman" w:hAnsi="Times New Roman"/>
                <w:color w:val="000000"/>
                <w:sz w:val="24"/>
                <w:lang w:val="en-US" w:eastAsia="zh-CN"/>
              </w:rPr>
              <w:t>”</w:t>
            </w:r>
            <w:r>
              <w:rPr>
                <w:rFonts w:hint="eastAsia" w:ascii="Times New Roman" w:hAnsi="Times New Roman"/>
                <w:color w:val="000000"/>
                <w:sz w:val="24"/>
              </w:rPr>
              <w:t>，</w:t>
            </w:r>
            <w:r>
              <w:rPr>
                <w:rFonts w:ascii="Times New Roman" w:hAnsi="Times New Roman"/>
                <w:color w:val="000000"/>
                <w:sz w:val="24"/>
              </w:rPr>
              <w:t>应编制环境影响报告表。</w:t>
            </w:r>
            <w:r>
              <w:rPr>
                <w:rFonts w:hint="eastAsia" w:ascii="宋体" w:hAnsi="宋体"/>
                <w:color w:val="000000"/>
                <w:sz w:val="24"/>
              </w:rPr>
              <w:t>因此，</w:t>
            </w:r>
            <w:r>
              <w:rPr>
                <w:rFonts w:hint="eastAsia" w:ascii="宋体" w:hAnsi="宋体"/>
                <w:color w:val="000000"/>
                <w:sz w:val="24"/>
                <w:lang w:val="en-US" w:eastAsia="zh-CN"/>
              </w:rPr>
              <w:t>建设单位</w:t>
            </w:r>
            <w:r>
              <w:rPr>
                <w:rFonts w:hint="eastAsia" w:ascii="宋体" w:hAnsi="宋体"/>
                <w:color w:val="000000"/>
                <w:sz w:val="24"/>
              </w:rPr>
              <w:t>特委托</w:t>
            </w:r>
            <w:r>
              <w:rPr>
                <w:rFonts w:hint="eastAsia" w:ascii="宋体" w:hAnsi="宋体"/>
                <w:color w:val="000000"/>
                <w:sz w:val="24"/>
                <w:lang w:eastAsia="zh-CN"/>
              </w:rPr>
              <w:t>永州市艮震环保科技有限公司</w:t>
            </w:r>
            <w:r>
              <w:rPr>
                <w:rFonts w:ascii="宋体" w:hAnsi="宋体"/>
                <w:color w:val="000000"/>
                <w:sz w:val="24"/>
              </w:rPr>
              <w:t>对</w:t>
            </w:r>
            <w:r>
              <w:rPr>
                <w:rFonts w:hint="eastAsia" w:ascii="宋体" w:hAnsi="宋体" w:cs="宋体"/>
                <w:sz w:val="24"/>
                <w:lang w:eastAsia="zh-CN"/>
              </w:rPr>
              <w:t>祁阳市冷水江河坝水闸除险加固工程</w:t>
            </w:r>
            <w:r>
              <w:rPr>
                <w:rFonts w:hint="eastAsia" w:ascii="宋体" w:hAnsi="宋体"/>
                <w:color w:val="000000"/>
                <w:sz w:val="24"/>
              </w:rPr>
              <w:t>进行环境影响评价</w:t>
            </w:r>
            <w:r>
              <w:rPr>
                <w:rFonts w:hint="eastAsia" w:ascii="宋体" w:hAnsi="宋体"/>
                <w:color w:val="000000"/>
                <w:sz w:val="24"/>
                <w:lang w:eastAsia="zh-CN"/>
              </w:rPr>
              <w:t>并报批</w:t>
            </w:r>
            <w:r>
              <w:rPr>
                <w:rFonts w:hint="eastAsia" w:ascii="宋体" w:hAnsi="宋体"/>
                <w:color w:val="000000"/>
                <w:sz w:val="24"/>
              </w:rPr>
              <w:t>。</w:t>
            </w:r>
            <w:r>
              <w:rPr>
                <w:rFonts w:ascii="Times New Roman" w:hAnsi="Times New Roman"/>
                <w:color w:val="000000"/>
                <w:sz w:val="24"/>
              </w:rPr>
              <w:t>我公司接到委托后，立即组织专业环</w:t>
            </w:r>
            <w:r>
              <w:rPr>
                <w:rFonts w:ascii="宋体" w:hAnsi="宋体"/>
                <w:color w:val="000000"/>
                <w:sz w:val="24"/>
              </w:rPr>
              <w:t>评人员进行深入的现场踏勘和调研工作，收集并查阅相关的工艺、技术参数、图件等其他文件资料。根据本项目特</w:t>
            </w:r>
            <w:r>
              <w:rPr>
                <w:rFonts w:hint="eastAsia" w:ascii="宋体" w:hAnsi="宋体"/>
                <w:color w:val="000000"/>
                <w:sz w:val="24"/>
              </w:rPr>
              <w:t>点，结合项目区周围环境特征，按照国家及地方环境保护的有关规定，以及环评技术导则要求，编制完成了《</w:t>
            </w:r>
            <w:r>
              <w:rPr>
                <w:rFonts w:hint="eastAsia" w:ascii="宋体" w:hAnsi="宋体"/>
                <w:color w:val="000000"/>
                <w:sz w:val="24"/>
                <w:lang w:eastAsia="zh-CN"/>
              </w:rPr>
              <w:t>祁阳市冷水江河坝水闸除险加固工程</w:t>
            </w:r>
            <w:r>
              <w:rPr>
                <w:rFonts w:hint="eastAsia" w:ascii="宋体" w:hAnsi="宋体"/>
                <w:color w:val="000000"/>
                <w:sz w:val="24"/>
              </w:rPr>
              <w:t>环境影响报告表》，供上报审批。</w:t>
            </w:r>
          </w:p>
          <w:p w14:paraId="06E43E30">
            <w:pPr>
              <w:spacing w:line="360" w:lineRule="auto"/>
              <w:ind w:left="105" w:leftChars="50" w:right="105" w:rightChars="50" w:firstLine="482" w:firstLineChars="200"/>
              <w:rPr>
                <w:b/>
                <w:color w:val="000000"/>
                <w:sz w:val="24"/>
              </w:rPr>
            </w:pPr>
            <w:r>
              <w:rPr>
                <w:rFonts w:hint="eastAsia"/>
                <w:b/>
                <w:color w:val="000000"/>
                <w:sz w:val="24"/>
              </w:rPr>
              <w:t>2</w:t>
            </w:r>
            <w:r>
              <w:rPr>
                <w:b/>
                <w:color w:val="000000"/>
                <w:sz w:val="24"/>
              </w:rPr>
              <w:t>、项目概况</w:t>
            </w:r>
          </w:p>
          <w:p w14:paraId="2940F8E4">
            <w:pPr>
              <w:spacing w:line="360" w:lineRule="auto"/>
              <w:ind w:firstLine="470" w:firstLineChars="196"/>
              <w:rPr>
                <w:color w:val="000000"/>
                <w:sz w:val="24"/>
              </w:rPr>
            </w:pPr>
            <w:r>
              <w:rPr>
                <w:color w:val="000000"/>
                <w:sz w:val="24"/>
              </w:rPr>
              <w:t>（1）项目名称：</w:t>
            </w:r>
            <w:r>
              <w:rPr>
                <w:rFonts w:hint="eastAsia" w:ascii="宋体" w:hAnsi="宋体" w:cs="宋体"/>
                <w:sz w:val="24"/>
                <w:lang w:eastAsia="zh-CN"/>
              </w:rPr>
              <w:t>祁阳市冷水江河坝水闸除险加固工程</w:t>
            </w:r>
            <w:r>
              <w:rPr>
                <w:color w:val="000000"/>
                <w:sz w:val="24"/>
              </w:rPr>
              <w:t>；</w:t>
            </w:r>
          </w:p>
          <w:p w14:paraId="2343C357">
            <w:pPr>
              <w:spacing w:line="360" w:lineRule="auto"/>
              <w:ind w:firstLine="470" w:firstLineChars="196"/>
              <w:rPr>
                <w:color w:val="000000"/>
                <w:sz w:val="24"/>
              </w:rPr>
            </w:pPr>
            <w:r>
              <w:rPr>
                <w:color w:val="000000"/>
                <w:sz w:val="24"/>
              </w:rPr>
              <w:t>（2）建设单位：</w:t>
            </w:r>
            <w:r>
              <w:rPr>
                <w:rFonts w:hint="eastAsia" w:ascii="宋体" w:hAnsi="宋体" w:cs="宋体"/>
                <w:sz w:val="24"/>
                <w:lang w:eastAsia="zh-CN"/>
              </w:rPr>
              <w:t>祁阳市水利建设项目与物资管理中心</w:t>
            </w:r>
            <w:r>
              <w:rPr>
                <w:color w:val="000000"/>
                <w:sz w:val="24"/>
              </w:rPr>
              <w:t>；</w:t>
            </w:r>
          </w:p>
          <w:p w14:paraId="0EAD2EE0">
            <w:pPr>
              <w:spacing w:line="360" w:lineRule="auto"/>
              <w:ind w:firstLine="470" w:firstLineChars="196"/>
              <w:rPr>
                <w:color w:val="000000"/>
                <w:sz w:val="24"/>
              </w:rPr>
            </w:pPr>
            <w:r>
              <w:rPr>
                <w:color w:val="000000"/>
                <w:sz w:val="24"/>
              </w:rPr>
              <w:t>（3）建设性质：</w:t>
            </w:r>
            <w:r>
              <w:rPr>
                <w:rFonts w:hint="eastAsia"/>
                <w:color w:val="000000"/>
                <w:sz w:val="24"/>
                <w:lang w:val="en-US" w:eastAsia="zh-CN"/>
              </w:rPr>
              <w:t>改</w:t>
            </w:r>
            <w:r>
              <w:rPr>
                <w:rFonts w:hint="eastAsia"/>
                <w:color w:val="000000"/>
                <w:sz w:val="24"/>
                <w:lang w:eastAsia="zh-CN"/>
              </w:rPr>
              <w:t>建</w:t>
            </w:r>
            <w:r>
              <w:rPr>
                <w:color w:val="000000"/>
                <w:sz w:val="24"/>
              </w:rPr>
              <w:t>；</w:t>
            </w:r>
          </w:p>
          <w:p w14:paraId="54ECFBA0">
            <w:pPr>
              <w:spacing w:line="360" w:lineRule="auto"/>
              <w:ind w:firstLine="470" w:firstLineChars="196"/>
              <w:rPr>
                <w:color w:val="000000"/>
                <w:sz w:val="24"/>
              </w:rPr>
            </w:pPr>
            <w:r>
              <w:rPr>
                <w:color w:val="000000"/>
                <w:sz w:val="24"/>
              </w:rPr>
              <w:t>（4）建设地点：</w:t>
            </w:r>
            <w:r>
              <w:rPr>
                <w:rFonts w:hint="eastAsia" w:ascii="宋体" w:hAnsi="宋体" w:cs="宋体"/>
                <w:sz w:val="24"/>
                <w:lang w:val="en-US" w:eastAsia="zh-CN"/>
              </w:rPr>
              <w:t>永州市祁阳市</w:t>
            </w:r>
            <w:r>
              <w:rPr>
                <w:rFonts w:hint="eastAsia" w:ascii="Times New Roman" w:hAnsi="Times New Roman" w:eastAsia="宋体" w:cs="Times New Roman"/>
                <w:b w:val="0"/>
                <w:bCs w:val="0"/>
                <w:color w:val="auto"/>
                <w:spacing w:val="7"/>
                <w:sz w:val="24"/>
                <w:szCs w:val="24"/>
                <w:lang w:eastAsia="zh-CN"/>
              </w:rPr>
              <w:t>黎家坪镇马斯坪村</w:t>
            </w:r>
            <w:r>
              <w:rPr>
                <w:color w:val="000000"/>
                <w:sz w:val="24"/>
              </w:rPr>
              <w:t>；</w:t>
            </w:r>
          </w:p>
          <w:p w14:paraId="36E9DAC7">
            <w:pPr>
              <w:spacing w:line="360" w:lineRule="auto"/>
              <w:ind w:firstLine="470" w:firstLineChars="196"/>
              <w:rPr>
                <w:color w:val="000000"/>
                <w:sz w:val="24"/>
              </w:rPr>
            </w:pPr>
            <w:r>
              <w:rPr>
                <w:color w:val="000000"/>
                <w:sz w:val="24"/>
              </w:rPr>
              <w:t>（5）建设</w:t>
            </w:r>
            <w:r>
              <w:rPr>
                <w:rFonts w:hint="eastAsia"/>
                <w:color w:val="000000"/>
                <w:sz w:val="24"/>
                <w:lang w:val="en-US" w:eastAsia="zh-CN"/>
              </w:rPr>
              <w:t>规模</w:t>
            </w:r>
            <w:r>
              <w:rPr>
                <w:color w:val="000000"/>
                <w:sz w:val="24"/>
              </w:rPr>
              <w:t>：</w:t>
            </w:r>
            <w:r>
              <w:rPr>
                <w:rFonts w:hint="eastAsia" w:ascii="Times New Roman" w:hAnsi="Times New Roman" w:cs="Times New Roman"/>
                <w:b w:val="0"/>
                <w:bCs w:val="0"/>
                <w:color w:val="auto"/>
                <w:sz w:val="24"/>
                <w:lang w:val="en-US" w:eastAsia="zh-CN"/>
              </w:rPr>
              <w:t>工程等别为 III 等，其主要建筑物工程等级为 3 级，次要建筑物等级为4级，设计洪水标准为20年一遇（相应洪峰流量为 1355.85m</w:t>
            </w:r>
            <w:r>
              <w:rPr>
                <w:rFonts w:hint="eastAsia" w:ascii="Times New Roman" w:hAnsi="Times New Roman" w:cs="Times New Roman"/>
                <w:b w:val="0"/>
                <w:bCs w:val="0"/>
                <w:color w:val="auto"/>
                <w:sz w:val="24"/>
                <w:vertAlign w:val="superscript"/>
                <w:lang w:val="en-US" w:eastAsia="zh-CN"/>
              </w:rPr>
              <w:t>3</w:t>
            </w:r>
            <w:r>
              <w:rPr>
                <w:rFonts w:hint="eastAsia" w:ascii="Times New Roman" w:hAnsi="Times New Roman" w:cs="Times New Roman"/>
                <w:b w:val="0"/>
                <w:bCs w:val="0"/>
                <w:color w:val="auto"/>
                <w:sz w:val="24"/>
                <w:lang w:val="en-US" w:eastAsia="zh-CN"/>
              </w:rPr>
              <w:t>/s），校核洪水标准为50 年一遇（相应洪峰流量为 1733.26m</w:t>
            </w:r>
            <w:r>
              <w:rPr>
                <w:rFonts w:hint="eastAsia" w:ascii="Times New Roman" w:hAnsi="Times New Roman" w:cs="Times New Roman"/>
                <w:b w:val="0"/>
                <w:bCs w:val="0"/>
                <w:color w:val="auto"/>
                <w:sz w:val="24"/>
                <w:vertAlign w:val="superscript"/>
                <w:lang w:val="en-US" w:eastAsia="zh-CN"/>
              </w:rPr>
              <w:t>3</w:t>
            </w:r>
            <w:r>
              <w:rPr>
                <w:rFonts w:hint="eastAsia" w:ascii="Times New Roman" w:hAnsi="Times New Roman" w:cs="Times New Roman"/>
                <w:b w:val="0"/>
                <w:bCs w:val="0"/>
                <w:color w:val="auto"/>
                <w:sz w:val="24"/>
                <w:lang w:val="en-US" w:eastAsia="zh-CN"/>
              </w:rPr>
              <w:t>/s）</w:t>
            </w:r>
            <w:r>
              <w:rPr>
                <w:color w:val="000000"/>
                <w:sz w:val="24"/>
              </w:rPr>
              <w:t>；</w:t>
            </w:r>
          </w:p>
          <w:p w14:paraId="2CAD7A0D">
            <w:pPr>
              <w:spacing w:line="360" w:lineRule="auto"/>
              <w:ind w:firstLine="470" w:firstLineChars="196"/>
              <w:rPr>
                <w:color w:val="000000" w:themeColor="text1"/>
                <w:sz w:val="24"/>
                <w:highlight w:val="yellow"/>
                <w14:textFill>
                  <w14:solidFill>
                    <w14:schemeClr w14:val="tx1"/>
                  </w14:solidFill>
                </w14:textFill>
              </w:rPr>
            </w:pPr>
            <w:r>
              <w:rPr>
                <w:color w:val="000000"/>
                <w:sz w:val="24"/>
              </w:rPr>
              <w:t>（6）工程投资：</w:t>
            </w:r>
            <w:r>
              <w:rPr>
                <w:color w:val="auto"/>
                <w:sz w:val="24"/>
              </w:rPr>
              <w:t>总投资</w:t>
            </w:r>
            <w:r>
              <w:rPr>
                <w:rFonts w:hint="eastAsia"/>
                <w:color w:val="auto"/>
                <w:sz w:val="24"/>
                <w:lang w:val="en-US" w:eastAsia="zh-CN"/>
              </w:rPr>
              <w:t>4217.79</w:t>
            </w:r>
            <w:r>
              <w:rPr>
                <w:color w:val="auto"/>
                <w:sz w:val="24"/>
              </w:rPr>
              <w:t>万元</w:t>
            </w:r>
            <w:r>
              <w:rPr>
                <w:rFonts w:hint="eastAsia"/>
                <w:sz w:val="24"/>
                <w:lang w:val="en-US" w:eastAsia="zh-CN"/>
              </w:rPr>
              <w:t>。</w:t>
            </w:r>
          </w:p>
          <w:p w14:paraId="2CC0D4B7">
            <w:pPr>
              <w:spacing w:line="360" w:lineRule="auto"/>
              <w:ind w:firstLine="482" w:firstLineChars="200"/>
              <w:rPr>
                <w:b/>
                <w:color w:val="000000"/>
                <w:sz w:val="24"/>
                <w:u w:val="none"/>
              </w:rPr>
            </w:pPr>
            <w:r>
              <w:rPr>
                <w:rFonts w:hint="eastAsia"/>
                <w:b/>
                <w:color w:val="000000"/>
                <w:sz w:val="24"/>
                <w:u w:val="none"/>
              </w:rPr>
              <w:t>3</w:t>
            </w:r>
            <w:r>
              <w:rPr>
                <w:b/>
                <w:color w:val="000000"/>
                <w:sz w:val="24"/>
                <w:u w:val="none"/>
              </w:rPr>
              <w:t>、项目主要建设内容</w:t>
            </w:r>
          </w:p>
          <w:p w14:paraId="607DFA35">
            <w:pPr>
              <w:spacing w:line="360" w:lineRule="auto"/>
              <w:ind w:firstLine="480" w:firstLineChars="200"/>
              <w:jc w:val="both"/>
              <w:rPr>
                <w:rFonts w:hint="eastAsia"/>
                <w:color w:val="000000"/>
                <w:kern w:val="24"/>
                <w:sz w:val="24"/>
                <w:u w:val="none"/>
              </w:rPr>
            </w:pPr>
            <w:r>
              <w:rPr>
                <w:rFonts w:hint="eastAsia"/>
                <w:color w:val="000000"/>
                <w:kern w:val="24"/>
                <w:sz w:val="24"/>
                <w:u w:val="none"/>
              </w:rPr>
              <w:t>本工程项目内容主要包含：</w:t>
            </w:r>
            <w:r>
              <w:rPr>
                <w:rFonts w:hint="default" w:ascii="Times New Roman" w:hAnsi="Times New Roman" w:cs="Times New Roman"/>
                <w:b w:val="0"/>
                <w:bCs w:val="0"/>
                <w:color w:val="auto"/>
                <w:sz w:val="24"/>
                <w:u w:val="none"/>
                <w:lang w:val="en-US" w:eastAsia="zh-CN"/>
              </w:rPr>
              <w:t>闸</w:t>
            </w:r>
            <w:r>
              <w:rPr>
                <w:rFonts w:hint="default" w:ascii="Times New Roman" w:hAnsi="Times New Roman" w:cs="Times New Roman"/>
                <w:b w:val="0"/>
                <w:bCs w:val="0"/>
                <w:color w:val="auto"/>
                <w:sz w:val="24"/>
                <w:lang w:val="en-US" w:eastAsia="zh-CN"/>
              </w:rPr>
              <w:t>室溢流堰体加固，闸室基础及闸肩防渗处理，新建消能防冲设施，闸门及启闭设备拆除重建，两岸水轮泵（站）拆除重建，工作桥拆除重建，两岸岸墙、翼墙、挡墙加固，新建管理房，供电设施，配置信息化系统、安全监测设施等</w:t>
            </w:r>
            <w:r>
              <w:rPr>
                <w:rFonts w:hint="eastAsia"/>
                <w:color w:val="000000"/>
                <w:kern w:val="24"/>
                <w:sz w:val="24"/>
                <w:u w:val="none"/>
              </w:rPr>
              <w:t>。</w:t>
            </w:r>
          </w:p>
          <w:p w14:paraId="35703EED">
            <w:pPr>
              <w:spacing w:line="360" w:lineRule="auto"/>
              <w:ind w:firstLine="422" w:firstLineChars="200"/>
              <w:jc w:val="center"/>
              <w:rPr>
                <w:rFonts w:hint="eastAsia"/>
                <w:b/>
                <w:bCs/>
                <w:szCs w:val="21"/>
                <w:u w:val="none"/>
              </w:rPr>
            </w:pPr>
            <w:r>
              <w:rPr>
                <w:rFonts w:hint="eastAsia"/>
                <w:b/>
                <w:bCs/>
                <w:szCs w:val="21"/>
                <w:u w:val="none"/>
              </w:rPr>
              <w:t>表</w:t>
            </w:r>
            <w:r>
              <w:rPr>
                <w:rFonts w:hint="eastAsia"/>
                <w:b/>
                <w:bCs/>
                <w:szCs w:val="21"/>
                <w:u w:val="none"/>
                <w:lang w:val="en-US" w:eastAsia="zh-CN"/>
              </w:rPr>
              <w:t>2-</w:t>
            </w:r>
            <w:r>
              <w:rPr>
                <w:rFonts w:hint="eastAsia"/>
                <w:b/>
                <w:bCs/>
                <w:szCs w:val="21"/>
                <w:u w:val="none"/>
              </w:rPr>
              <w:t>1 项目建设工程一览表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540"/>
              <w:gridCol w:w="6444"/>
            </w:tblGrid>
            <w:tr w14:paraId="340A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l2br w:val="nil"/>
                    <w:tr2bl w:val="nil"/>
                  </w:tcBorders>
                  <w:vAlign w:val="center"/>
                </w:tcPr>
                <w:p w14:paraId="1B926052">
                  <w:pPr>
                    <w:ind w:left="-53" w:leftChars="-25" w:right="-53" w:rightChars="-25"/>
                    <w:jc w:val="center"/>
                    <w:rPr>
                      <w:rFonts w:hint="default" w:ascii="Times New Roman" w:hAnsi="Times New Roman" w:eastAsia="宋体"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lang w:eastAsia="zh-CN"/>
                    </w:rPr>
                    <w:t>类别</w:t>
                  </w:r>
                </w:p>
              </w:tc>
              <w:tc>
                <w:tcPr>
                  <w:tcW w:w="886" w:type="pct"/>
                  <w:tcBorders>
                    <w:tl2br w:val="nil"/>
                    <w:tr2bl w:val="nil"/>
                  </w:tcBorders>
                  <w:vAlign w:val="center"/>
                </w:tcPr>
                <w:p w14:paraId="3A3FE50C">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名称</w:t>
                  </w:r>
                </w:p>
              </w:tc>
              <w:tc>
                <w:tcPr>
                  <w:tcW w:w="3708" w:type="pct"/>
                  <w:tcBorders>
                    <w:tl2br w:val="nil"/>
                    <w:tr2bl w:val="nil"/>
                  </w:tcBorders>
                  <w:vAlign w:val="center"/>
                </w:tcPr>
                <w:p w14:paraId="037AFFFA">
                  <w:pPr>
                    <w:ind w:left="-53" w:leftChars="-25" w:right="-53" w:rightChars="-25"/>
                    <w:jc w:val="center"/>
                    <w:rPr>
                      <w:rFonts w:hint="default" w:ascii="Times New Roman" w:hAnsi="Times New Roman" w:eastAsia="宋体"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lang w:eastAsia="zh-CN"/>
                    </w:rPr>
                    <w:t>建设内容</w:t>
                  </w:r>
                </w:p>
              </w:tc>
            </w:tr>
            <w:tr w14:paraId="2461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restart"/>
                  <w:tcBorders>
                    <w:tl2br w:val="nil"/>
                    <w:tr2bl w:val="nil"/>
                  </w:tcBorders>
                  <w:vAlign w:val="center"/>
                </w:tcPr>
                <w:p w14:paraId="2C58C6D3">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主体工程</w:t>
                  </w:r>
                </w:p>
              </w:tc>
              <w:tc>
                <w:tcPr>
                  <w:tcW w:w="886" w:type="pct"/>
                  <w:tcBorders>
                    <w:tl2br w:val="nil"/>
                    <w:tr2bl w:val="nil"/>
                  </w:tcBorders>
                  <w:vAlign w:val="center"/>
                </w:tcPr>
                <w:p w14:paraId="66DB90C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水闸加固改造</w:t>
                  </w:r>
                </w:p>
              </w:tc>
              <w:tc>
                <w:tcPr>
                  <w:tcW w:w="3708" w:type="pct"/>
                  <w:tcBorders>
                    <w:tl2br w:val="nil"/>
                    <w:tr2bl w:val="nil"/>
                  </w:tcBorders>
                  <w:vAlign w:val="center"/>
                </w:tcPr>
                <w:p w14:paraId="386DFB04">
                  <w:pPr>
                    <w:keepNext w:val="0"/>
                    <w:keepLines w:val="0"/>
                    <w:pageBreakBefore w:val="0"/>
                    <w:widowControl w:val="0"/>
                    <w:kinsoku/>
                    <w:wordWrap/>
                    <w:overflowPunct/>
                    <w:topLinePunct w:val="0"/>
                    <w:autoSpaceDE/>
                    <w:autoSpaceDN/>
                    <w:bidi w:val="0"/>
                    <w:adjustRightInd/>
                    <w:snapToGrid/>
                    <w:spacing w:line="240" w:lineRule="auto"/>
                    <w:ind w:left="0" w:leftChars="0" w:firstLine="420"/>
                    <w:jc w:val="both"/>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包含拆除重建泄洪闸，水闸基础防渗处理，水闸下游增设消能设施，闸顶新建工作桥。</w:t>
                  </w:r>
                </w:p>
                <w:p w14:paraId="53F9EE9E">
                  <w:pPr>
                    <w:keepNext w:val="0"/>
                    <w:keepLines w:val="0"/>
                    <w:pageBreakBefore w:val="0"/>
                    <w:widowControl w:val="0"/>
                    <w:kinsoku/>
                    <w:wordWrap/>
                    <w:overflowPunct/>
                    <w:topLinePunct w:val="0"/>
                    <w:autoSpaceDE/>
                    <w:autoSpaceDN/>
                    <w:bidi w:val="0"/>
                    <w:adjustRightInd/>
                    <w:snapToGrid/>
                    <w:spacing w:line="240" w:lineRule="auto"/>
                    <w:ind w:left="0" w:leftChars="0" w:firstLine="420"/>
                    <w:jc w:val="both"/>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其中平面闸坝总长69.00m，闸底高程为98.10m，共设8扇闸门（尺寸7.1x3.0m），中墩厚度1.2m，缝墩厚度为1.8m，闸堰为C30 钢筋混凝土坝结构，闸坝溢流堰堰顶高程为98.10m，堰体顺流向长 15.90m。</w:t>
                  </w:r>
                </w:p>
                <w:p w14:paraId="0D43101E">
                  <w:pPr>
                    <w:keepNext w:val="0"/>
                    <w:keepLines w:val="0"/>
                    <w:pageBreakBefore w:val="0"/>
                    <w:widowControl w:val="0"/>
                    <w:kinsoku/>
                    <w:wordWrap/>
                    <w:overflowPunct/>
                    <w:topLinePunct w:val="0"/>
                    <w:autoSpaceDE/>
                    <w:autoSpaceDN/>
                    <w:bidi w:val="0"/>
                    <w:adjustRightInd/>
                    <w:snapToGrid/>
                    <w:spacing w:line="240" w:lineRule="auto"/>
                    <w:ind w:left="0" w:leftChars="0" w:firstLine="420"/>
                    <w:jc w:val="both"/>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坝基防渗采用帷幕灌浆，灌浆深度至弱透水层以下3m。</w:t>
                  </w:r>
                </w:p>
                <w:p w14:paraId="7CC0F839">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堰体建基面置于弱风化砂岩上，基岩采用固结灌浆，堰型采用宽顶溢流堰型式，闸后顶部曲线段长2.12m，半径3.0m，中间直线段坡比1.1.0，长0.95m，下部反弧段长2.83m，半径4.0m。末端接消力池。在底板的上、下游端设置齿墙，上游齿墙深度1.0m、底宽1.5m，下游齿墙深度1.0m、底宽1.5m。</w:t>
                  </w:r>
                </w:p>
                <w:p w14:paraId="64F8D361">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闸墩采用C30钢筋砼结构，中墩厚度为1.2m，缝墩厚度为1.8m，闸墩顶高程为 107.50m。</w:t>
                  </w:r>
                </w:p>
                <w:p w14:paraId="2CFA3B67">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为方便运行管理及交通要求，水闸闸墩上设置交通桥</w:t>
                  </w:r>
                  <w:r>
                    <w:rPr>
                      <w:rFonts w:hint="eastAsia" w:ascii="Times New Roman" w:hAnsi="Times New Roman" w:eastAsia="宋体" w:cs="Times New Roman"/>
                      <w:b w:val="0"/>
                      <w:bCs w:val="0"/>
                      <w:color w:val="auto"/>
                      <w:sz w:val="21"/>
                      <w:szCs w:val="21"/>
                      <w:u w:val="none"/>
                      <w:lang w:val="en-US" w:eastAsia="zh-CN" w:bidi="ar-SA"/>
                    </w:rPr>
                    <w:t>。</w:t>
                  </w:r>
                  <w:r>
                    <w:rPr>
                      <w:rFonts w:hint="default" w:ascii="Times New Roman" w:hAnsi="Times New Roman" w:eastAsia="宋体" w:cs="Times New Roman"/>
                      <w:b w:val="0"/>
                      <w:bCs w:val="0"/>
                      <w:color w:val="auto"/>
                      <w:sz w:val="21"/>
                      <w:szCs w:val="21"/>
                      <w:u w:val="none"/>
                      <w:lang w:val="en-US" w:eastAsia="zh-CN" w:bidi="ar-SA"/>
                    </w:rPr>
                    <w:t>工作桥轴线位于水闸轴线下游5.30m处。工作桥采用 2*8.2m+6*8.6m+1*11.05m+1*12.25m整体简支板式桥，桥面总宽 4.0m，车行道净宽3.5m</w:t>
                  </w:r>
                  <w:r>
                    <w:rPr>
                      <w:rFonts w:hint="eastAsia" w:ascii="Times New Roman" w:hAnsi="Times New Roman" w:eastAsia="宋体" w:cs="Times New Roman"/>
                      <w:b w:val="0"/>
                      <w:bCs w:val="0"/>
                      <w:color w:val="auto"/>
                      <w:sz w:val="21"/>
                      <w:szCs w:val="21"/>
                      <w:u w:val="none"/>
                      <w:lang w:val="en-US" w:eastAsia="zh-CN" w:bidi="ar-SA"/>
                    </w:rPr>
                    <w:t>。</w:t>
                  </w:r>
                </w:p>
                <w:p w14:paraId="155787E1">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原泄洪闸下游无消能设施，现新建消力池，新建后的消力池顶面高程 88.00m，池长20.0m，池深1.0m，池尾设斜坡式尾坎，坎顶高程 89.00m，顶宽0.5m。消力池底板厚度0.5m，底部冲坑采用 C10埋石混凝土回填至高程87.50m，底板设结构缝并设止水，构成分离式结构。为防止下游河床冲刷，危及水闸的安全，在消力池出口下游铺设300mm 厚宾格海曼，海漫顺水流方向总长30.0m，宽度至河床两岸边坡</w:t>
                  </w:r>
                  <w:r>
                    <w:rPr>
                      <w:rFonts w:hint="eastAsia" w:ascii="Times New Roman" w:hAnsi="Times New Roman" w:eastAsia="宋体" w:cs="Times New Roman"/>
                      <w:b w:val="0"/>
                      <w:bCs w:val="0"/>
                      <w:color w:val="auto"/>
                      <w:sz w:val="21"/>
                      <w:szCs w:val="21"/>
                      <w:u w:val="none"/>
                      <w:lang w:val="en-US" w:eastAsia="zh-CN" w:bidi="ar-SA"/>
                    </w:rPr>
                    <w:t>。</w:t>
                  </w:r>
                </w:p>
              </w:tc>
            </w:tr>
            <w:tr w14:paraId="23F1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5A1EDAF1">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12CB4C6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两岸水轮泵</w:t>
                  </w:r>
                  <w:r>
                    <w:rPr>
                      <w:rFonts w:hint="eastAsia" w:ascii="Times New Roman" w:hAnsi="Times New Roman" w:eastAsia="宋体" w:cs="Times New Roman"/>
                      <w:b w:val="0"/>
                      <w:bCs w:val="0"/>
                      <w:color w:val="auto"/>
                      <w:sz w:val="21"/>
                      <w:szCs w:val="21"/>
                      <w:u w:val="none"/>
                      <w:lang w:val="en-US" w:eastAsia="zh-CN" w:bidi="ar-SA"/>
                    </w:rPr>
                    <w:t>房改</w:t>
                  </w:r>
                  <w:r>
                    <w:rPr>
                      <w:rFonts w:hint="default" w:ascii="Times New Roman" w:hAnsi="Times New Roman" w:eastAsia="宋体" w:cs="Times New Roman"/>
                      <w:b w:val="0"/>
                      <w:bCs w:val="0"/>
                      <w:color w:val="auto"/>
                      <w:sz w:val="21"/>
                      <w:szCs w:val="21"/>
                      <w:u w:val="none"/>
                      <w:lang w:val="en-US" w:eastAsia="zh-CN" w:bidi="ar-SA"/>
                    </w:rPr>
                    <w:t>建</w:t>
                  </w:r>
                </w:p>
              </w:tc>
              <w:tc>
                <w:tcPr>
                  <w:tcW w:w="3708" w:type="pct"/>
                  <w:tcBorders>
                    <w:tl2br w:val="nil"/>
                    <w:tr2bl w:val="nil"/>
                  </w:tcBorders>
                  <w:vAlign w:val="center"/>
                </w:tcPr>
                <w:p w14:paraId="59EA3EAC">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Times New Roman" w:hAnsi="Times New Roman" w:eastAsia="宋体" w:cs="Times New Roman"/>
                      <w:b w:val="0"/>
                      <w:bCs w:val="0"/>
                      <w:color w:val="auto"/>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bidi="ar-SA"/>
                    </w:rPr>
                    <w:t>维持原设计的泵站装机和泵型不变。左岸水轮泵房总体尺寸为6.1m×4.4m，右岸下游水轮泵泵房总体尺寸为6.0m×14.7m，右岸上游中开泵泵房总体尺寸为 6.5m×6.0m。</w:t>
                  </w:r>
                </w:p>
                <w:p w14:paraId="0B0545F7">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水闸上游右岸布置中开泵泵房，水泵设计流量720m</w:t>
                  </w:r>
                  <w:r>
                    <w:rPr>
                      <w:rFonts w:hint="default" w:ascii="Times New Roman" w:hAnsi="Times New Roman" w:eastAsia="宋体" w:cs="Times New Roman"/>
                      <w:b w:val="0"/>
                      <w:bCs w:val="0"/>
                      <w:color w:val="auto"/>
                      <w:sz w:val="21"/>
                      <w:szCs w:val="21"/>
                      <w:u w:val="none"/>
                      <w:vertAlign w:val="superscript"/>
                      <w:lang w:val="en-US" w:eastAsia="zh-CN" w:bidi="ar-SA"/>
                    </w:rPr>
                    <w:t>3</w:t>
                  </w:r>
                  <w:r>
                    <w:rPr>
                      <w:rFonts w:hint="default" w:ascii="Times New Roman" w:hAnsi="Times New Roman" w:eastAsia="宋体" w:cs="Times New Roman"/>
                      <w:b w:val="0"/>
                      <w:bCs w:val="0"/>
                      <w:color w:val="auto"/>
                      <w:sz w:val="21"/>
                      <w:szCs w:val="21"/>
                      <w:u w:val="none"/>
                      <w:lang w:val="en-US" w:eastAsia="zh-CN" w:bidi="ar-SA"/>
                    </w:rPr>
                    <w:t>/h，扬程 30m，泵房内空尺寸5.1m×4.6m，边墙厚0.7m，泵房基础开挖高程 97.6m，泵房水机层高程99.10m，泵房电气层107.50m。</w:t>
                  </w:r>
                </w:p>
                <w:p w14:paraId="30913903">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水闸下游右岸布置 4 台水轮泵，水泵设计流量150m</w:t>
                  </w:r>
                  <w:r>
                    <w:rPr>
                      <w:rFonts w:hint="default" w:ascii="Times New Roman" w:hAnsi="Times New Roman" w:eastAsia="宋体" w:cs="Times New Roman"/>
                      <w:b w:val="0"/>
                      <w:bCs w:val="0"/>
                      <w:color w:val="auto"/>
                      <w:sz w:val="21"/>
                      <w:szCs w:val="21"/>
                      <w:u w:val="none"/>
                      <w:vertAlign w:val="superscript"/>
                      <w:lang w:val="en-US" w:eastAsia="zh-CN" w:bidi="ar-SA"/>
                    </w:rPr>
                    <w:t>3</w:t>
                  </w:r>
                  <w:r>
                    <w:rPr>
                      <w:rFonts w:hint="default" w:ascii="Times New Roman" w:hAnsi="Times New Roman" w:eastAsia="宋体" w:cs="Times New Roman"/>
                      <w:b w:val="0"/>
                      <w:bCs w:val="0"/>
                      <w:color w:val="auto"/>
                      <w:sz w:val="21"/>
                      <w:szCs w:val="21"/>
                      <w:u w:val="none"/>
                      <w:lang w:val="en-US" w:eastAsia="zh-CN" w:bidi="ar-SA"/>
                    </w:rPr>
                    <w:t>/h，扬程 30m，共4台，泵房总体尺寸6.0m×14.7m，泵房基础开挖高程95.40m，泵房水机层高程98.10m，泵房闸墩顶高程102.00m，泵房启闭层高程107.50m。</w:t>
                  </w:r>
                </w:p>
                <w:p w14:paraId="4A3E4005">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水闸下游左岸布置1台水轮泵，水泵设计流量100m</w:t>
                  </w:r>
                  <w:r>
                    <w:rPr>
                      <w:rFonts w:hint="default" w:ascii="Times New Roman" w:hAnsi="Times New Roman" w:eastAsia="宋体" w:cs="Times New Roman"/>
                      <w:b w:val="0"/>
                      <w:bCs w:val="0"/>
                      <w:color w:val="auto"/>
                      <w:sz w:val="21"/>
                      <w:szCs w:val="21"/>
                      <w:u w:val="none"/>
                      <w:vertAlign w:val="superscript"/>
                      <w:lang w:val="en-US" w:eastAsia="zh-CN" w:bidi="ar-SA"/>
                    </w:rPr>
                    <w:t>3</w:t>
                  </w:r>
                  <w:r>
                    <w:rPr>
                      <w:rFonts w:hint="default" w:ascii="Times New Roman" w:hAnsi="Times New Roman" w:eastAsia="宋体" w:cs="Times New Roman"/>
                      <w:b w:val="0"/>
                      <w:bCs w:val="0"/>
                      <w:color w:val="auto"/>
                      <w:sz w:val="21"/>
                      <w:szCs w:val="21"/>
                      <w:u w:val="none"/>
                      <w:lang w:val="en-US" w:eastAsia="zh-CN" w:bidi="ar-SA"/>
                    </w:rPr>
                    <w:t>/h，扬程 12m，泵房总体尺寸6.1m×4.4m，泵房基础开挖高程 95.40m，泵房水机层高程98.10m，泵房闸墩顶高程102.00m，泵房启闭层高程 107.50m。</w:t>
                  </w:r>
                </w:p>
              </w:tc>
            </w:tr>
            <w:tr w14:paraId="234E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7BBF4873">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39A3A0F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两岸岸墙、翼墙、挡墙加固</w:t>
                  </w:r>
                </w:p>
              </w:tc>
              <w:tc>
                <w:tcPr>
                  <w:tcW w:w="3708" w:type="pct"/>
                  <w:tcBorders>
                    <w:tl2br w:val="nil"/>
                    <w:tr2bl w:val="nil"/>
                  </w:tcBorders>
                  <w:vAlign w:val="center"/>
                </w:tcPr>
                <w:p w14:paraId="7F1F7EA5">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Times New Roman" w:hAnsi="Times New Roman" w:eastAsia="宋体" w:cs="Times New Roman"/>
                      <w:b w:val="0"/>
                      <w:bCs w:val="0"/>
                      <w:color w:val="auto"/>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bidi="ar-SA"/>
                    </w:rPr>
                    <w:t>加固左岸上游护岸长58.70m（桩号 ZS0+000.0～ZS0+058.70），左岸下游岸墙长63.20m（桩号 ZX0+000.0～ZX0+063.20），采用直斜复合式护坡型式。</w:t>
                  </w:r>
                </w:p>
                <w:p w14:paraId="18329488">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新建下游右岸护岸长64.50m（桩号YX0+000.0～YX0+064.50），采用直斜复合式护坡型式</w:t>
                  </w:r>
                  <w:r>
                    <w:rPr>
                      <w:rFonts w:hint="eastAsia" w:ascii="Times New Roman" w:hAnsi="Times New Roman" w:eastAsia="宋体" w:cs="Times New Roman"/>
                      <w:b w:val="0"/>
                      <w:bCs w:val="0"/>
                      <w:color w:val="auto"/>
                      <w:sz w:val="21"/>
                      <w:szCs w:val="21"/>
                      <w:u w:val="none"/>
                      <w:lang w:val="en-US" w:eastAsia="zh-CN" w:bidi="ar-SA"/>
                    </w:rPr>
                    <w:t>。</w:t>
                  </w:r>
                </w:p>
              </w:tc>
            </w:tr>
            <w:tr w14:paraId="495F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11CCD340">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7B53FAD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导流工程</w:t>
                  </w:r>
                </w:p>
                <w:p w14:paraId="602CE25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（临时围堰）</w:t>
                  </w:r>
                </w:p>
              </w:tc>
              <w:tc>
                <w:tcPr>
                  <w:tcW w:w="3708" w:type="pct"/>
                  <w:tcBorders>
                    <w:tl2br w:val="nil"/>
                    <w:tr2bl w:val="nil"/>
                  </w:tcBorders>
                  <w:vAlign w:val="center"/>
                </w:tcPr>
                <w:p w14:paraId="36810A00">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bidi="ar-SA"/>
                    </w:rPr>
                    <w:t>采用分期围堰法导流，两段两期导流方案，即一期围右岸（包括右岸水轮泵房和 4 孔水闸坝段），利用左岸天然河床导流；二期围左岸（包括左岸水轮泵房及 2 孔水闸坝段），利用一期已建3 孔水闸导流</w:t>
                  </w:r>
                  <w:r>
                    <w:rPr>
                      <w:rFonts w:hint="eastAsia" w:ascii="Times New Roman" w:hAnsi="Times New Roman" w:eastAsia="宋体" w:cs="Times New Roman"/>
                      <w:b w:val="0"/>
                      <w:bCs w:val="0"/>
                      <w:color w:val="auto"/>
                      <w:sz w:val="21"/>
                      <w:szCs w:val="21"/>
                      <w:u w:val="none"/>
                      <w:lang w:val="en-US" w:eastAsia="zh-CN" w:bidi="ar-SA"/>
                    </w:rPr>
                    <w:t>。</w:t>
                  </w:r>
                </w:p>
              </w:tc>
            </w:tr>
            <w:tr w14:paraId="6191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4C851DB1">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602FA7D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color w:val="auto"/>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bidi="ar-SA"/>
                    </w:rPr>
                    <w:t>施工临建区</w:t>
                  </w:r>
                </w:p>
              </w:tc>
              <w:tc>
                <w:tcPr>
                  <w:tcW w:w="3708" w:type="pct"/>
                  <w:tcBorders>
                    <w:tl2br w:val="nil"/>
                    <w:tr2bl w:val="nil"/>
                  </w:tcBorders>
                  <w:vAlign w:val="center"/>
                </w:tcPr>
                <w:p w14:paraId="4CEE9984">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b w:val="0"/>
                      <w:bCs w:val="0"/>
                      <w:color w:val="auto"/>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bidi="ar-SA"/>
                    </w:rPr>
                    <w:t xml:space="preserve">    主要管理和施工人员生活主要租赁附近民房，场内主要设置简易工棚，堆放材料及临时办公等需求，施工临建设施区占地0.578hm</w:t>
                  </w:r>
                  <w:r>
                    <w:rPr>
                      <w:rFonts w:hint="eastAsia" w:ascii="Times New Roman" w:hAnsi="Times New Roman" w:eastAsia="宋体" w:cs="Times New Roman"/>
                      <w:b w:val="0"/>
                      <w:bCs w:val="0"/>
                      <w:color w:val="auto"/>
                      <w:sz w:val="21"/>
                      <w:szCs w:val="21"/>
                      <w:u w:val="none"/>
                      <w:vertAlign w:val="superscript"/>
                      <w:lang w:val="en-US" w:eastAsia="zh-CN" w:bidi="ar-SA"/>
                    </w:rPr>
                    <w:t>2</w:t>
                  </w:r>
                  <w:r>
                    <w:rPr>
                      <w:rFonts w:hint="eastAsia" w:ascii="Times New Roman" w:hAnsi="Times New Roman" w:eastAsia="宋体" w:cs="Times New Roman"/>
                      <w:b w:val="0"/>
                      <w:bCs w:val="0"/>
                      <w:color w:val="auto"/>
                      <w:sz w:val="21"/>
                      <w:szCs w:val="21"/>
                      <w:u w:val="none"/>
                      <w:lang w:val="en-US" w:eastAsia="zh-CN" w:bidi="ar-SA"/>
                    </w:rPr>
                    <w:t>。</w:t>
                  </w:r>
                </w:p>
              </w:tc>
            </w:tr>
            <w:tr w14:paraId="22EA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36AB0843">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3C8365A3">
                  <w:pPr>
                    <w:ind w:left="-53" w:leftChars="-25" w:right="-53" w:rightChars="-25"/>
                    <w:jc w:val="center"/>
                    <w:rPr>
                      <w:rFonts w:hint="eastAsia" w:ascii="Times New Roman" w:hAnsi="Times New Roman" w:cs="Times New Roman"/>
                      <w:b w:val="0"/>
                      <w:bCs w:val="0"/>
                      <w:color w:val="auto"/>
                      <w:sz w:val="21"/>
                      <w:szCs w:val="21"/>
                      <w:u w:val="none"/>
                      <w:lang w:eastAsia="zh-CN"/>
                    </w:rPr>
                  </w:pPr>
                  <w:r>
                    <w:rPr>
                      <w:rFonts w:hint="eastAsia" w:ascii="Times New Roman" w:hAnsi="Times New Roman" w:cs="Times New Roman"/>
                      <w:b w:val="0"/>
                      <w:bCs w:val="0"/>
                      <w:color w:val="auto"/>
                      <w:sz w:val="21"/>
                      <w:szCs w:val="21"/>
                      <w:u w:val="none"/>
                      <w:lang w:val="en-US" w:eastAsia="zh-CN"/>
                    </w:rPr>
                    <w:t>弃土场</w:t>
                  </w:r>
                </w:p>
              </w:tc>
              <w:tc>
                <w:tcPr>
                  <w:tcW w:w="3708" w:type="pct"/>
                  <w:tcBorders>
                    <w:tl2br w:val="nil"/>
                    <w:tr2bl w:val="nil"/>
                  </w:tcBorders>
                  <w:vAlign w:val="center"/>
                </w:tcPr>
                <w:p w14:paraId="4693487B">
                  <w:pPr>
                    <w:ind w:left="-53" w:leftChars="-25" w:right="-53" w:rightChars="-25" w:firstLine="420" w:firstLineChars="200"/>
                    <w:jc w:val="both"/>
                    <w:rPr>
                      <w:rFonts w:hint="eastAsia" w:ascii="Times New Roman" w:hAnsi="Times New Roman" w:cs="Times New Roman"/>
                      <w:b w:val="0"/>
                      <w:bCs w:val="0"/>
                      <w:color w:val="auto"/>
                      <w:sz w:val="21"/>
                      <w:szCs w:val="21"/>
                      <w:u w:val="none"/>
                      <w:lang w:eastAsia="zh-CN"/>
                    </w:rPr>
                  </w:pPr>
                  <w:r>
                    <w:rPr>
                      <w:rFonts w:hint="eastAsia" w:ascii="Times New Roman" w:hAnsi="Times New Roman" w:cs="Times New Roman"/>
                      <w:b w:val="0"/>
                      <w:bCs w:val="0"/>
                      <w:color w:val="auto"/>
                      <w:sz w:val="21"/>
                      <w:szCs w:val="21"/>
                      <w:u w:val="none"/>
                      <w:lang w:eastAsia="zh-CN"/>
                    </w:rPr>
                    <w:t>主体设计1处弃渣场区，位于祁阳市马斯坪村，距离本项目5km，总面积约</w:t>
                  </w:r>
                  <w:r>
                    <w:rPr>
                      <w:rFonts w:hint="eastAsia" w:ascii="Times New Roman" w:hAnsi="Times New Roman" w:cs="Times New Roman"/>
                      <w:b w:val="0"/>
                      <w:bCs w:val="0"/>
                      <w:color w:val="auto"/>
                      <w:sz w:val="21"/>
                      <w:szCs w:val="21"/>
                      <w:u w:val="none"/>
                      <w:lang w:val="en-US" w:eastAsia="zh-CN"/>
                    </w:rPr>
                    <w:t>5.7亩</w:t>
                  </w:r>
                  <w:r>
                    <w:rPr>
                      <w:rFonts w:hint="eastAsia" w:ascii="Times New Roman" w:hAnsi="Times New Roman" w:cs="Times New Roman"/>
                      <w:b w:val="0"/>
                      <w:bCs w:val="0"/>
                      <w:color w:val="auto"/>
                      <w:sz w:val="21"/>
                      <w:szCs w:val="21"/>
                      <w:u w:val="none"/>
                      <w:lang w:eastAsia="zh-CN"/>
                    </w:rPr>
                    <w:t>，可满足容纳本项目弃土方量。</w:t>
                  </w:r>
                </w:p>
              </w:tc>
            </w:tr>
            <w:tr w14:paraId="51DD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restart"/>
                  <w:tcBorders>
                    <w:tl2br w:val="nil"/>
                    <w:tr2bl w:val="nil"/>
                  </w:tcBorders>
                  <w:vAlign w:val="center"/>
                </w:tcPr>
                <w:p w14:paraId="4FBB97BA">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辅助工程</w:t>
                  </w:r>
                </w:p>
              </w:tc>
              <w:tc>
                <w:tcPr>
                  <w:tcW w:w="886" w:type="pct"/>
                  <w:tcBorders>
                    <w:tl2br w:val="nil"/>
                    <w:tr2bl w:val="nil"/>
                  </w:tcBorders>
                  <w:vAlign w:val="center"/>
                </w:tcPr>
                <w:p w14:paraId="0353358A">
                  <w:pPr>
                    <w:ind w:left="-53" w:leftChars="-25" w:right="-53" w:rightChars="-25"/>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cs="Times New Roman"/>
                      <w:b w:val="0"/>
                      <w:bCs w:val="0"/>
                      <w:color w:val="auto"/>
                      <w:sz w:val="21"/>
                      <w:szCs w:val="21"/>
                      <w:u w:val="none"/>
                    </w:rPr>
                    <w:t>运输道路</w:t>
                  </w:r>
                </w:p>
              </w:tc>
              <w:tc>
                <w:tcPr>
                  <w:tcW w:w="3708" w:type="pct"/>
                  <w:tcBorders>
                    <w:tl2br w:val="nil"/>
                    <w:tr2bl w:val="nil"/>
                  </w:tcBorders>
                  <w:vAlign w:val="center"/>
                </w:tcPr>
                <w:p w14:paraId="0BECC00B">
                  <w:pPr>
                    <w:ind w:left="-53" w:leftChars="-25" w:right="-53" w:rightChars="-25" w:firstLine="420" w:firstLineChars="200"/>
                    <w:jc w:val="both"/>
                    <w:rPr>
                      <w:rFonts w:hint="eastAsia" w:ascii="Times New Roman" w:hAnsi="Times New Roman" w:cs="Times New Roman" w:eastAsiaTheme="minorEastAsia"/>
                      <w:b w:val="0"/>
                      <w:bCs w:val="0"/>
                      <w:color w:val="auto"/>
                      <w:kern w:val="2"/>
                      <w:sz w:val="21"/>
                      <w:szCs w:val="21"/>
                      <w:u w:val="none"/>
                      <w:lang w:val="en-US" w:eastAsia="zh-CN" w:bidi="ar-SA"/>
                    </w:rPr>
                  </w:pPr>
                  <w:r>
                    <w:rPr>
                      <w:rFonts w:hint="default" w:ascii="Times New Roman" w:hAnsi="Times New Roman" w:cs="Times New Roman"/>
                      <w:b w:val="0"/>
                      <w:bCs w:val="0"/>
                      <w:color w:val="auto"/>
                      <w:sz w:val="21"/>
                      <w:szCs w:val="21"/>
                      <w:u w:val="none"/>
                    </w:rPr>
                    <w:t>利用现有</w:t>
                  </w:r>
                  <w:r>
                    <w:rPr>
                      <w:rFonts w:hint="eastAsia" w:ascii="Times New Roman" w:hAnsi="Times New Roman" w:cs="Times New Roman"/>
                      <w:b w:val="0"/>
                      <w:bCs w:val="0"/>
                      <w:color w:val="auto"/>
                      <w:sz w:val="21"/>
                      <w:szCs w:val="21"/>
                      <w:u w:val="none"/>
                      <w:lang w:eastAsia="zh-CN"/>
                    </w:rPr>
                    <w:t>国道、桥梁、乡村</w:t>
                  </w:r>
                  <w:r>
                    <w:rPr>
                      <w:rFonts w:hint="default" w:ascii="Times New Roman" w:hAnsi="Times New Roman" w:cs="Times New Roman"/>
                      <w:b w:val="0"/>
                      <w:bCs w:val="0"/>
                      <w:color w:val="auto"/>
                      <w:sz w:val="21"/>
                      <w:szCs w:val="21"/>
                      <w:u w:val="none"/>
                    </w:rPr>
                    <w:t>道路</w:t>
                  </w:r>
                  <w:r>
                    <w:rPr>
                      <w:rFonts w:hint="eastAsia" w:ascii="Times New Roman" w:hAnsi="Times New Roman" w:cs="Times New Roman"/>
                      <w:b w:val="0"/>
                      <w:bCs w:val="0"/>
                      <w:color w:val="auto"/>
                      <w:sz w:val="21"/>
                      <w:szCs w:val="21"/>
                      <w:u w:val="none"/>
                      <w:lang w:eastAsia="zh-CN"/>
                    </w:rPr>
                    <w:t>；场内施工临时施工道路，路面宽4m，总长0.24km，采用泥结碎石路面，路面坡度为4%～6%，临时施工道路为场内三级道路。场内施工道路与场外道路相通连。</w:t>
                  </w:r>
                </w:p>
              </w:tc>
            </w:tr>
            <w:tr w14:paraId="6F95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3B26EA7C">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20B5FFC3">
                  <w:pPr>
                    <w:ind w:left="-53" w:leftChars="-25" w:right="-53" w:rightChars="-25"/>
                    <w:jc w:val="center"/>
                    <w:rPr>
                      <w:rFonts w:hint="default" w:ascii="Times New Roman" w:hAnsi="Times New Roman" w:cs="Times New Roman" w:eastAsiaTheme="minorEastAsia"/>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设备控制房</w:t>
                  </w:r>
                </w:p>
              </w:tc>
              <w:tc>
                <w:tcPr>
                  <w:tcW w:w="3708" w:type="pct"/>
                  <w:tcBorders>
                    <w:tl2br w:val="nil"/>
                    <w:tr2bl w:val="nil"/>
                  </w:tcBorders>
                  <w:vAlign w:val="center"/>
                </w:tcPr>
                <w:p w14:paraId="48349DD7">
                  <w:pPr>
                    <w:ind w:left="-53" w:leftChars="-25" w:right="-53" w:rightChars="-25" w:firstLine="420" w:firstLineChars="200"/>
                    <w:jc w:val="both"/>
                    <w:rPr>
                      <w:rFonts w:hint="eastAsia" w:ascii="Times New Roman" w:hAnsi="Times New Roman" w:cs="Times New Roman" w:eastAsiaTheme="minorEastAsia"/>
                      <w:b w:val="0"/>
                      <w:bCs w:val="0"/>
                      <w:color w:val="auto"/>
                      <w:sz w:val="21"/>
                      <w:szCs w:val="21"/>
                      <w:u w:val="none"/>
                      <w:lang w:eastAsia="zh-CN"/>
                    </w:rPr>
                  </w:pPr>
                  <w:r>
                    <w:rPr>
                      <w:rFonts w:hint="default" w:ascii="Times New Roman" w:hAnsi="Times New Roman" w:cs="Times New Roman"/>
                      <w:b w:val="0"/>
                      <w:bCs w:val="0"/>
                      <w:color w:val="auto"/>
                      <w:sz w:val="21"/>
                      <w:szCs w:val="21"/>
                      <w:u w:val="none"/>
                    </w:rPr>
                    <w:t>在水闸右岸布置管理用房等设施，管理区总占地面积约 240m²，设备控制房面积140m</w:t>
                  </w:r>
                  <w:r>
                    <w:rPr>
                      <w:rFonts w:hint="default" w:ascii="Times New Roman" w:hAnsi="Times New Roman" w:cs="Times New Roman"/>
                      <w:b w:val="0"/>
                      <w:bCs w:val="0"/>
                      <w:color w:val="auto"/>
                      <w:sz w:val="21"/>
                      <w:szCs w:val="21"/>
                      <w:u w:val="none"/>
                      <w:vertAlign w:val="superscript"/>
                    </w:rPr>
                    <w:t>2</w:t>
                  </w:r>
                  <w:r>
                    <w:rPr>
                      <w:rFonts w:hint="default" w:ascii="Times New Roman" w:hAnsi="Times New Roman" w:cs="Times New Roman"/>
                      <w:b w:val="0"/>
                      <w:bCs w:val="0"/>
                      <w:color w:val="auto"/>
                      <w:sz w:val="21"/>
                      <w:szCs w:val="21"/>
                      <w:u w:val="none"/>
                    </w:rPr>
                    <w:t>，为单层钢筋混凝土框架结构，砌砖维护墙。设液压设备控制室、电气室、值班室及卫生间等</w:t>
                  </w:r>
                  <w:r>
                    <w:rPr>
                      <w:rFonts w:hint="eastAsia" w:ascii="Times New Roman" w:hAnsi="Times New Roman" w:cs="Times New Roman"/>
                      <w:b w:val="0"/>
                      <w:bCs w:val="0"/>
                      <w:color w:val="auto"/>
                      <w:sz w:val="21"/>
                      <w:szCs w:val="21"/>
                      <w:u w:val="none"/>
                      <w:lang w:eastAsia="zh-CN"/>
                    </w:rPr>
                    <w:t>。</w:t>
                  </w:r>
                </w:p>
              </w:tc>
            </w:tr>
            <w:tr w14:paraId="60AA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3375E047">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55A9AC62">
                  <w:pPr>
                    <w:ind w:left="-53" w:leftChars="-25" w:right="-53" w:rightChars="-25"/>
                    <w:jc w:val="center"/>
                    <w:rPr>
                      <w:rFonts w:hint="eastAsia"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安全监测系统</w:t>
                  </w:r>
                </w:p>
              </w:tc>
              <w:tc>
                <w:tcPr>
                  <w:tcW w:w="3708" w:type="pct"/>
                  <w:tcBorders>
                    <w:tl2br w:val="nil"/>
                    <w:tr2bl w:val="nil"/>
                  </w:tcBorders>
                  <w:vAlign w:val="center"/>
                </w:tcPr>
                <w:p w14:paraId="06F4C398">
                  <w:pPr>
                    <w:ind w:left="-53" w:leftChars="-25" w:right="-53" w:rightChars="-25" w:firstLine="420" w:firstLineChars="200"/>
                    <w:jc w:val="both"/>
                    <w:rPr>
                      <w:rFonts w:hint="eastAsia" w:ascii="Times New Roman" w:hAnsi="Times New Roman" w:cs="Times New Roman" w:eastAsiaTheme="minorEastAsia"/>
                      <w:b w:val="0"/>
                      <w:bCs w:val="0"/>
                      <w:color w:val="auto"/>
                      <w:sz w:val="21"/>
                      <w:szCs w:val="21"/>
                      <w:u w:val="none"/>
                      <w:lang w:val="en-US" w:eastAsia="zh-CN"/>
                    </w:rPr>
                  </w:pPr>
                  <w:r>
                    <w:rPr>
                      <w:rFonts w:hint="default" w:ascii="Times New Roman" w:hAnsi="Times New Roman" w:cs="Times New Roman"/>
                      <w:b w:val="0"/>
                      <w:bCs w:val="0"/>
                      <w:color w:val="auto"/>
                      <w:sz w:val="21"/>
                      <w:szCs w:val="21"/>
                      <w:u w:val="none"/>
                    </w:rPr>
                    <w:t>拟设置水平位移、垂直位移、扬压力、闸前后水位、环境量等监测项目</w:t>
                  </w:r>
                  <w:r>
                    <w:rPr>
                      <w:rFonts w:hint="eastAsia" w:ascii="Times New Roman" w:hAnsi="Times New Roman" w:cs="Times New Roman"/>
                      <w:b w:val="0"/>
                      <w:bCs w:val="0"/>
                      <w:color w:val="auto"/>
                      <w:sz w:val="21"/>
                      <w:szCs w:val="21"/>
                      <w:u w:val="none"/>
                      <w:lang w:eastAsia="zh-CN"/>
                    </w:rPr>
                    <w:t>。</w:t>
                  </w:r>
                </w:p>
              </w:tc>
            </w:tr>
            <w:tr w14:paraId="130A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restart"/>
                  <w:tcBorders>
                    <w:tl2br w:val="nil"/>
                    <w:tr2bl w:val="nil"/>
                  </w:tcBorders>
                  <w:vAlign w:val="center"/>
                </w:tcPr>
                <w:p w14:paraId="51FD019F">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公用工程</w:t>
                  </w:r>
                </w:p>
              </w:tc>
              <w:tc>
                <w:tcPr>
                  <w:tcW w:w="886" w:type="pct"/>
                  <w:tcBorders>
                    <w:tl2br w:val="nil"/>
                    <w:tr2bl w:val="nil"/>
                  </w:tcBorders>
                  <w:vAlign w:val="center"/>
                </w:tcPr>
                <w:p w14:paraId="0E05035C">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供水</w:t>
                  </w:r>
                </w:p>
              </w:tc>
              <w:tc>
                <w:tcPr>
                  <w:tcW w:w="3708" w:type="pct"/>
                  <w:tcBorders>
                    <w:tl2br w:val="nil"/>
                    <w:tr2bl w:val="nil"/>
                  </w:tcBorders>
                  <w:vAlign w:val="center"/>
                </w:tcPr>
                <w:p w14:paraId="49572964">
                  <w:pPr>
                    <w:ind w:left="-53" w:leftChars="-25" w:right="-53" w:rightChars="-25" w:firstLine="420" w:firstLineChars="200"/>
                    <w:jc w:val="both"/>
                    <w:rPr>
                      <w:rFonts w:hint="default" w:ascii="Times New Roman" w:hAnsi="Times New Roman" w:cs="Times New Roman"/>
                      <w:b w:val="0"/>
                      <w:bCs w:val="0"/>
                      <w:color w:val="auto"/>
                      <w:sz w:val="21"/>
                      <w:szCs w:val="21"/>
                      <w:u w:val="none"/>
                    </w:rPr>
                  </w:pPr>
                  <w:r>
                    <w:rPr>
                      <w:rFonts w:hint="eastAsia" w:ascii="Times New Roman" w:hAnsi="Times New Roman" w:cs="Times New Roman"/>
                      <w:b w:val="0"/>
                      <w:bCs w:val="0"/>
                      <w:color w:val="auto"/>
                      <w:sz w:val="21"/>
                      <w:szCs w:val="21"/>
                      <w:u w:val="none"/>
                      <w:lang w:val="en-US" w:eastAsia="zh-CN"/>
                    </w:rPr>
                    <w:t>在</w:t>
                  </w:r>
                  <w:r>
                    <w:rPr>
                      <w:rFonts w:hint="default" w:ascii="Times New Roman" w:hAnsi="Times New Roman" w:cs="Times New Roman"/>
                      <w:b w:val="0"/>
                      <w:bCs w:val="0"/>
                      <w:color w:val="auto"/>
                      <w:sz w:val="21"/>
                      <w:szCs w:val="21"/>
                      <w:u w:val="none"/>
                      <w:lang w:val="en-US" w:eastAsia="zh-CN"/>
                    </w:rPr>
                    <w:t>各施工用水点根据需要架设水泵抽取</w:t>
                  </w:r>
                  <w:r>
                    <w:rPr>
                      <w:rFonts w:hint="eastAsia" w:ascii="Times New Roman" w:hAnsi="Times New Roman" w:cs="Times New Roman"/>
                      <w:b w:val="0"/>
                      <w:bCs w:val="0"/>
                      <w:color w:val="auto"/>
                      <w:sz w:val="21"/>
                      <w:szCs w:val="21"/>
                      <w:u w:val="none"/>
                      <w:lang w:val="en-US" w:eastAsia="zh-CN"/>
                    </w:rPr>
                    <w:t>河</w:t>
                  </w:r>
                  <w:r>
                    <w:rPr>
                      <w:rFonts w:hint="default" w:ascii="Times New Roman" w:hAnsi="Times New Roman" w:cs="Times New Roman"/>
                      <w:b w:val="0"/>
                      <w:bCs w:val="0"/>
                      <w:color w:val="auto"/>
                      <w:sz w:val="21"/>
                      <w:szCs w:val="21"/>
                      <w:u w:val="none"/>
                      <w:lang w:val="en-US" w:eastAsia="zh-CN"/>
                    </w:rPr>
                    <w:t>水用于施工。</w:t>
                  </w:r>
                </w:p>
              </w:tc>
            </w:tr>
            <w:tr w14:paraId="6001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34C0BE4F">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74CA39C2">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供电</w:t>
                  </w:r>
                </w:p>
              </w:tc>
              <w:tc>
                <w:tcPr>
                  <w:tcW w:w="3708" w:type="pct"/>
                  <w:tcBorders>
                    <w:tl2br w:val="nil"/>
                    <w:tr2bl w:val="nil"/>
                  </w:tcBorders>
                  <w:vAlign w:val="center"/>
                </w:tcPr>
                <w:p w14:paraId="75D18BF3">
                  <w:pPr>
                    <w:ind w:left="-53" w:leftChars="-25" w:right="-53" w:rightChars="-25" w:firstLine="420" w:firstLineChars="200"/>
                    <w:jc w:val="both"/>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沿岸线就近接电网用电。沿线有可就近接电源，布置配电设备及架设临时线路供电。</w:t>
                  </w:r>
                </w:p>
              </w:tc>
            </w:tr>
            <w:tr w14:paraId="068A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restart"/>
                  <w:tcBorders>
                    <w:tl2br w:val="nil"/>
                    <w:tr2bl w:val="nil"/>
                  </w:tcBorders>
                  <w:vAlign w:val="center"/>
                </w:tcPr>
                <w:p w14:paraId="63EBED74">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lang w:eastAsia="zh-CN"/>
                    </w:rPr>
                    <w:t>施工期</w:t>
                  </w:r>
                  <w:r>
                    <w:rPr>
                      <w:rFonts w:hint="default" w:ascii="Times New Roman" w:hAnsi="Times New Roman" w:cs="Times New Roman"/>
                      <w:b w:val="0"/>
                      <w:bCs w:val="0"/>
                      <w:color w:val="auto"/>
                      <w:sz w:val="21"/>
                      <w:szCs w:val="21"/>
                      <w:u w:val="none"/>
                    </w:rPr>
                    <w:t>环保工程</w:t>
                  </w:r>
                </w:p>
              </w:tc>
              <w:tc>
                <w:tcPr>
                  <w:tcW w:w="886" w:type="pct"/>
                  <w:tcBorders>
                    <w:tl2br w:val="nil"/>
                    <w:tr2bl w:val="nil"/>
                  </w:tcBorders>
                  <w:vAlign w:val="center"/>
                </w:tcPr>
                <w:p w14:paraId="2AC63164">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lang w:eastAsia="zh-CN"/>
                    </w:rPr>
                    <w:t>固废</w:t>
                  </w:r>
                  <w:r>
                    <w:rPr>
                      <w:rFonts w:hint="default" w:ascii="Times New Roman" w:hAnsi="Times New Roman" w:cs="Times New Roman"/>
                      <w:b w:val="0"/>
                      <w:bCs w:val="0"/>
                      <w:color w:val="auto"/>
                      <w:sz w:val="21"/>
                      <w:szCs w:val="21"/>
                      <w:u w:val="none"/>
                    </w:rPr>
                    <w:t>处理</w:t>
                  </w:r>
                </w:p>
              </w:tc>
              <w:tc>
                <w:tcPr>
                  <w:tcW w:w="3708" w:type="pct"/>
                  <w:tcBorders>
                    <w:tl2br w:val="nil"/>
                    <w:tr2bl w:val="nil"/>
                  </w:tcBorders>
                  <w:vAlign w:val="center"/>
                </w:tcPr>
                <w:p w14:paraId="2C62B36E">
                  <w:pPr>
                    <w:ind w:left="-53" w:leftChars="-25" w:right="-53" w:rightChars="-25" w:firstLine="420" w:firstLineChars="200"/>
                    <w:jc w:val="both"/>
                    <w:rPr>
                      <w:rFonts w:hint="eastAsia" w:ascii="Times New Roman" w:hAnsi="Times New Roman" w:cs="Times New Roman" w:eastAsiaTheme="minorEastAsia"/>
                      <w:b w:val="0"/>
                      <w:bCs w:val="0"/>
                      <w:color w:val="auto"/>
                      <w:sz w:val="21"/>
                      <w:szCs w:val="21"/>
                      <w:u w:val="none"/>
                      <w:lang w:eastAsia="zh-CN"/>
                    </w:rPr>
                  </w:pPr>
                  <w:r>
                    <w:rPr>
                      <w:rFonts w:hint="eastAsia" w:ascii="Times New Roman" w:hAnsi="Times New Roman" w:eastAsia="宋体" w:cs="Times New Roman"/>
                      <w:b w:val="0"/>
                      <w:bCs w:val="0"/>
                      <w:color w:val="auto"/>
                      <w:sz w:val="21"/>
                      <w:szCs w:val="21"/>
                      <w:u w:val="none"/>
                      <w:lang w:val="en-US" w:eastAsia="zh-CN" w:bidi="ar-SA"/>
                    </w:rPr>
                    <w:t>施工期拆除原有工程产生的建筑垃圾分类收集后将可利用的木材、石材、砼结构等外售，不可利用的土石混杂弃方运送至弃渣场。建设过程产生的弃土，就近用于本项目其他工程的夯填用土和植物种植用土，尽量做到就地消化，剩余的弃土运至弃渣场。</w:t>
                  </w:r>
                  <w:r>
                    <w:rPr>
                      <w:rFonts w:hint="default" w:ascii="Times New Roman" w:hAnsi="Times New Roman" w:cs="Times New Roman"/>
                      <w:b w:val="0"/>
                      <w:bCs w:val="0"/>
                      <w:color w:val="auto"/>
                      <w:sz w:val="21"/>
                      <w:szCs w:val="21"/>
                      <w:u w:val="none"/>
                    </w:rPr>
                    <w:t>生活垃圾统一收集，定期外运至</w:t>
                  </w:r>
                  <w:r>
                    <w:rPr>
                      <w:rFonts w:hint="eastAsia" w:ascii="Times New Roman" w:hAnsi="Times New Roman" w:cs="Times New Roman"/>
                      <w:b w:val="0"/>
                      <w:bCs w:val="0"/>
                      <w:color w:val="auto"/>
                      <w:sz w:val="21"/>
                      <w:szCs w:val="21"/>
                      <w:u w:val="none"/>
                      <w:lang w:eastAsia="zh-CN"/>
                    </w:rPr>
                    <w:t>当地</w:t>
                  </w:r>
                  <w:r>
                    <w:rPr>
                      <w:rFonts w:hint="default" w:ascii="Times New Roman" w:hAnsi="Times New Roman" w:cs="Times New Roman"/>
                      <w:b w:val="0"/>
                      <w:bCs w:val="0"/>
                      <w:color w:val="auto"/>
                      <w:sz w:val="21"/>
                      <w:szCs w:val="21"/>
                      <w:u w:val="none"/>
                    </w:rPr>
                    <w:t>生活垃圾收集点</w:t>
                  </w:r>
                  <w:r>
                    <w:rPr>
                      <w:rFonts w:hint="eastAsia" w:ascii="Times New Roman" w:hAnsi="Times New Roman" w:cs="Times New Roman"/>
                      <w:b w:val="0"/>
                      <w:bCs w:val="0"/>
                      <w:color w:val="auto"/>
                      <w:sz w:val="21"/>
                      <w:szCs w:val="21"/>
                      <w:u w:val="none"/>
                      <w:lang w:eastAsia="zh-CN"/>
                    </w:rPr>
                    <w:t>。</w:t>
                  </w:r>
                </w:p>
              </w:tc>
            </w:tr>
            <w:tr w14:paraId="4366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5EF93995">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07C888E1">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废水处理</w:t>
                  </w:r>
                </w:p>
              </w:tc>
              <w:tc>
                <w:tcPr>
                  <w:tcW w:w="3708" w:type="pct"/>
                  <w:tcBorders>
                    <w:tl2br w:val="nil"/>
                    <w:tr2bl w:val="nil"/>
                  </w:tcBorders>
                  <w:vAlign w:val="center"/>
                </w:tcPr>
                <w:p w14:paraId="7472D019">
                  <w:pPr>
                    <w:ind w:left="-53" w:leftChars="-25" w:right="-53" w:rightChars="-25" w:firstLine="420" w:firstLineChars="200"/>
                    <w:jc w:val="both"/>
                    <w:rPr>
                      <w:rFonts w:hint="eastAsia" w:ascii="Times New Roman" w:hAnsi="Times New Roman"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施工机械</w:t>
                  </w:r>
                  <w:r>
                    <w:rPr>
                      <w:rFonts w:hint="eastAsia" w:ascii="Times New Roman" w:hAnsi="Times New Roman" w:cs="Times New Roman"/>
                      <w:b w:val="0"/>
                      <w:bCs w:val="0"/>
                      <w:color w:val="auto"/>
                      <w:sz w:val="21"/>
                      <w:szCs w:val="21"/>
                      <w:u w:val="none"/>
                      <w:lang w:val="en-US" w:eastAsia="zh-CN"/>
                    </w:rPr>
                    <w:t>、车辆冲洗废水、砼养护废水收集经临时隔油池、沉淀池处理后回用。</w:t>
                  </w:r>
                </w:p>
                <w:p w14:paraId="469BEC0E">
                  <w:pPr>
                    <w:ind w:left="-53" w:leftChars="-25" w:right="-53" w:rightChars="-25" w:firstLine="420" w:firstLineChars="200"/>
                    <w:jc w:val="both"/>
                    <w:rPr>
                      <w:rFonts w:hint="eastAsia" w:ascii="Times New Roman" w:hAnsi="Times New Roman"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施工</w:t>
                  </w:r>
                  <w:r>
                    <w:rPr>
                      <w:rFonts w:hint="eastAsia" w:ascii="Times New Roman" w:hAnsi="Times New Roman" w:cs="Times New Roman"/>
                      <w:b w:val="0"/>
                      <w:bCs w:val="0"/>
                      <w:color w:val="auto"/>
                      <w:sz w:val="21"/>
                      <w:szCs w:val="21"/>
                      <w:u w:val="none"/>
                      <w:lang w:val="en-US" w:eastAsia="zh-CN"/>
                    </w:rPr>
                    <w:t>生活污水通过就近民房化粪池处理后用于农肥。</w:t>
                  </w:r>
                </w:p>
                <w:p w14:paraId="6E627DD2">
                  <w:pPr>
                    <w:ind w:left="-53" w:leftChars="-25" w:right="-53" w:rightChars="-25" w:firstLine="420" w:firstLineChars="200"/>
                    <w:jc w:val="both"/>
                    <w:rPr>
                      <w:rFonts w:hint="eastAsia" w:ascii="Times New Roman" w:hAnsi="Times New Roman"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施工场地导流及围堰施工后因降雨汇集的废水经围堰末端的临时沉淀池处理后回用于洒水抑尘及护坡养护，不外排。</w:t>
                  </w:r>
                </w:p>
                <w:p w14:paraId="6C308342">
                  <w:pPr>
                    <w:ind w:left="-53" w:leftChars="-25" w:right="-53" w:rightChars="-25" w:firstLine="420" w:firstLineChars="200"/>
                    <w:jc w:val="both"/>
                    <w:rPr>
                      <w:rFonts w:hint="eastAsia" w:ascii="Times New Roman" w:hAnsi="Times New Roman" w:eastAsia="宋体" w:cs="Times New Roman"/>
                      <w:b w:val="0"/>
                      <w:bCs w:val="0"/>
                      <w:color w:val="auto"/>
                      <w:sz w:val="21"/>
                      <w:szCs w:val="21"/>
                      <w:u w:val="none"/>
                      <w:lang w:eastAsia="zh-CN"/>
                    </w:rPr>
                  </w:pPr>
                  <w:r>
                    <w:rPr>
                      <w:rFonts w:hint="eastAsia" w:ascii="Times New Roman" w:hAnsi="Times New Roman" w:cs="Times New Roman"/>
                      <w:b w:val="0"/>
                      <w:bCs w:val="0"/>
                      <w:color w:val="auto"/>
                      <w:sz w:val="21"/>
                      <w:szCs w:val="21"/>
                      <w:u w:val="none"/>
                      <w:lang w:val="en-US" w:eastAsia="zh-CN"/>
                    </w:rPr>
                    <w:t xml:space="preserve">弃渣场设上游截洪沟及下游排水沟，渣场内部汇水自流进入临时沉淀池沉淀后回用于洒水抑尘，不外排。 </w:t>
                  </w:r>
                </w:p>
              </w:tc>
            </w:tr>
            <w:tr w14:paraId="6CA3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26E8F058">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7A9B4945">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噪声处理</w:t>
                  </w:r>
                </w:p>
              </w:tc>
              <w:tc>
                <w:tcPr>
                  <w:tcW w:w="3708" w:type="pct"/>
                  <w:tcBorders>
                    <w:tl2br w:val="nil"/>
                    <w:tr2bl w:val="nil"/>
                  </w:tcBorders>
                  <w:vAlign w:val="center"/>
                </w:tcPr>
                <w:p w14:paraId="1067D7C4">
                  <w:pPr>
                    <w:ind w:left="-53" w:leftChars="-25" w:right="-53" w:rightChars="-25" w:firstLine="420" w:firstLineChars="200"/>
                    <w:jc w:val="both"/>
                    <w:rPr>
                      <w:rFonts w:hint="eastAsia" w:ascii="Times New Roman" w:hAnsi="Times New Roman" w:eastAsia="宋体"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rPr>
                    <w:t>采用低噪声设备和工艺</w:t>
                  </w:r>
                  <w:r>
                    <w:rPr>
                      <w:rFonts w:hint="eastAsia" w:ascii="Times New Roman" w:hAnsi="Times New Roman" w:cs="Times New Roman"/>
                      <w:b w:val="0"/>
                      <w:bCs w:val="0"/>
                      <w:color w:val="auto"/>
                      <w:sz w:val="21"/>
                      <w:szCs w:val="21"/>
                      <w:u w:val="none"/>
                      <w:lang w:eastAsia="zh-CN"/>
                    </w:rPr>
                    <w:t>，合理安排施工时间。距离居民区较近的施工点设置隔声围挡。</w:t>
                  </w:r>
                </w:p>
              </w:tc>
            </w:tr>
            <w:tr w14:paraId="7C56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1CFC2DF9">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72B18A47">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废气处理</w:t>
                  </w:r>
                </w:p>
              </w:tc>
              <w:tc>
                <w:tcPr>
                  <w:tcW w:w="3708" w:type="pct"/>
                  <w:tcBorders>
                    <w:tl2br w:val="nil"/>
                    <w:tr2bl w:val="nil"/>
                  </w:tcBorders>
                  <w:vAlign w:val="center"/>
                </w:tcPr>
                <w:p w14:paraId="36ACA3F1">
                  <w:pPr>
                    <w:ind w:left="-53" w:leftChars="-25" w:right="-53" w:rightChars="-25" w:firstLine="420" w:firstLineChars="200"/>
                    <w:jc w:val="both"/>
                    <w:rPr>
                      <w:rFonts w:hint="eastAsia" w:ascii="Times New Roman" w:hAnsi="Times New Roman" w:eastAsia="宋体"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rPr>
                    <w:t>对临时堆场</w:t>
                  </w:r>
                  <w:r>
                    <w:rPr>
                      <w:rFonts w:hint="eastAsia" w:ascii="Times New Roman" w:hAnsi="Times New Roman" w:cs="Times New Roman"/>
                      <w:b w:val="0"/>
                      <w:bCs w:val="0"/>
                      <w:color w:val="auto"/>
                      <w:sz w:val="21"/>
                      <w:szCs w:val="21"/>
                      <w:u w:val="none"/>
                      <w:lang w:eastAsia="zh-CN"/>
                    </w:rPr>
                    <w:t>设置</w:t>
                  </w:r>
                  <w:r>
                    <w:rPr>
                      <w:rFonts w:hint="default" w:ascii="Times New Roman" w:hAnsi="Times New Roman" w:cs="Times New Roman"/>
                      <w:b w:val="0"/>
                      <w:bCs w:val="0"/>
                      <w:color w:val="auto"/>
                      <w:sz w:val="21"/>
                      <w:szCs w:val="21"/>
                      <w:u w:val="none"/>
                    </w:rPr>
                    <w:t>围挡</w:t>
                  </w:r>
                  <w:r>
                    <w:rPr>
                      <w:rFonts w:hint="eastAsia" w:ascii="Times New Roman" w:hAnsi="Times New Roman" w:cs="Times New Roman"/>
                      <w:b w:val="0"/>
                      <w:bCs w:val="0"/>
                      <w:color w:val="auto"/>
                      <w:sz w:val="21"/>
                      <w:szCs w:val="21"/>
                      <w:u w:val="none"/>
                      <w:lang w:eastAsia="zh-CN"/>
                    </w:rPr>
                    <w:t>，对</w:t>
                  </w:r>
                  <w:r>
                    <w:rPr>
                      <w:rFonts w:hint="eastAsia" w:ascii="Times New Roman" w:hAnsi="Times New Roman" w:eastAsia="宋体" w:cs="Times New Roman"/>
                      <w:b w:val="0"/>
                      <w:bCs w:val="0"/>
                      <w:color w:val="auto"/>
                      <w:sz w:val="21"/>
                      <w:szCs w:val="21"/>
                      <w:u w:val="none"/>
                      <w:lang w:val="en-US" w:eastAsia="zh-CN" w:bidi="ar-SA"/>
                    </w:rPr>
                    <w:t>堆</w:t>
                  </w:r>
                  <w:r>
                    <w:rPr>
                      <w:rFonts w:hint="default" w:ascii="Times New Roman" w:hAnsi="Times New Roman" w:eastAsia="宋体" w:cs="Times New Roman"/>
                      <w:b w:val="0"/>
                      <w:bCs w:val="0"/>
                      <w:color w:val="auto"/>
                      <w:sz w:val="21"/>
                      <w:szCs w:val="21"/>
                      <w:u w:val="none"/>
                      <w:lang w:val="en-US" w:eastAsia="zh-CN" w:bidi="ar-SA"/>
                    </w:rPr>
                    <w:t>料</w:t>
                  </w:r>
                  <w:r>
                    <w:rPr>
                      <w:rFonts w:hint="eastAsia" w:ascii="Times New Roman" w:hAnsi="Times New Roman" w:eastAsia="宋体" w:cs="Times New Roman"/>
                      <w:b w:val="0"/>
                      <w:bCs w:val="0"/>
                      <w:color w:val="auto"/>
                      <w:sz w:val="21"/>
                      <w:szCs w:val="21"/>
                      <w:u w:val="none"/>
                      <w:lang w:val="en-US" w:eastAsia="zh-CN" w:bidi="ar-SA"/>
                    </w:rPr>
                    <w:t>场</w:t>
                  </w:r>
                  <w:r>
                    <w:rPr>
                      <w:rFonts w:hint="default" w:ascii="Times New Roman" w:hAnsi="Times New Roman" w:cs="Times New Roman"/>
                      <w:b w:val="0"/>
                      <w:bCs w:val="0"/>
                      <w:color w:val="auto"/>
                      <w:sz w:val="21"/>
                      <w:szCs w:val="21"/>
                      <w:u w:val="none"/>
                    </w:rPr>
                    <w:t>进行</w:t>
                  </w:r>
                  <w:r>
                    <w:rPr>
                      <w:rFonts w:hint="eastAsia" w:ascii="Times New Roman" w:hAnsi="Times New Roman" w:cs="Times New Roman"/>
                      <w:b w:val="0"/>
                      <w:bCs w:val="0"/>
                      <w:color w:val="auto"/>
                      <w:sz w:val="21"/>
                      <w:szCs w:val="21"/>
                      <w:u w:val="none"/>
                      <w:lang w:eastAsia="zh-CN"/>
                    </w:rPr>
                    <w:t>防尘布</w:t>
                  </w:r>
                  <w:r>
                    <w:rPr>
                      <w:rFonts w:hint="default" w:ascii="Times New Roman" w:hAnsi="Times New Roman" w:cs="Times New Roman"/>
                      <w:b w:val="0"/>
                      <w:bCs w:val="0"/>
                      <w:color w:val="auto"/>
                      <w:sz w:val="21"/>
                      <w:szCs w:val="21"/>
                      <w:u w:val="none"/>
                    </w:rPr>
                    <w:t>覆盖</w:t>
                  </w:r>
                  <w:r>
                    <w:rPr>
                      <w:rFonts w:hint="eastAsia" w:ascii="Times New Roman" w:hAnsi="Times New Roman" w:cs="Times New Roman"/>
                      <w:b w:val="0"/>
                      <w:bCs w:val="0"/>
                      <w:color w:val="auto"/>
                      <w:sz w:val="21"/>
                      <w:szCs w:val="21"/>
                      <w:u w:val="none"/>
                      <w:lang w:eastAsia="zh-CN"/>
                    </w:rPr>
                    <w:t>，定期</w:t>
                  </w:r>
                  <w:r>
                    <w:rPr>
                      <w:rFonts w:hint="default" w:ascii="Times New Roman" w:hAnsi="Times New Roman" w:cs="Times New Roman"/>
                      <w:b w:val="0"/>
                      <w:bCs w:val="0"/>
                      <w:color w:val="auto"/>
                      <w:sz w:val="21"/>
                      <w:szCs w:val="21"/>
                      <w:u w:val="none"/>
                    </w:rPr>
                    <w:t>洒水</w:t>
                  </w:r>
                  <w:r>
                    <w:rPr>
                      <w:rFonts w:hint="eastAsia" w:ascii="Times New Roman" w:hAnsi="Times New Roman" w:cs="Times New Roman"/>
                      <w:b w:val="0"/>
                      <w:bCs w:val="0"/>
                      <w:color w:val="auto"/>
                      <w:sz w:val="21"/>
                      <w:szCs w:val="21"/>
                      <w:u w:val="none"/>
                      <w:lang w:eastAsia="zh-CN"/>
                    </w:rPr>
                    <w:t>抑尘；同时在临时堆场设置</w:t>
                  </w:r>
                  <w:r>
                    <w:rPr>
                      <w:rFonts w:hint="eastAsia" w:ascii="Times New Roman" w:hAnsi="Times New Roman" w:cs="Times New Roman"/>
                      <w:b w:val="0"/>
                      <w:bCs w:val="0"/>
                      <w:color w:val="auto"/>
                      <w:sz w:val="21"/>
                      <w:szCs w:val="21"/>
                      <w:u w:val="none"/>
                      <w:lang w:val="en-US" w:eastAsia="zh-CN"/>
                    </w:rPr>
                    <w:t>喷淋装置；运输车辆采用密闭运输。渣场及进场道路定期洒水抑尘。</w:t>
                  </w:r>
                </w:p>
              </w:tc>
            </w:tr>
            <w:tr w14:paraId="084F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31800955">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46A02062">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环境风险</w:t>
                  </w:r>
                </w:p>
              </w:tc>
              <w:tc>
                <w:tcPr>
                  <w:tcW w:w="3708" w:type="pct"/>
                  <w:tcBorders>
                    <w:tl2br w:val="nil"/>
                    <w:tr2bl w:val="nil"/>
                  </w:tcBorders>
                  <w:vAlign w:val="center"/>
                </w:tcPr>
                <w:p w14:paraId="34764B27">
                  <w:pPr>
                    <w:ind w:left="-53" w:leftChars="-25" w:right="-53" w:rightChars="-25" w:firstLine="420" w:firstLineChars="200"/>
                    <w:jc w:val="both"/>
                    <w:rPr>
                      <w:rFonts w:hint="default" w:ascii="Times New Roman" w:hAnsi="Times New Roman" w:cs="Times New Roman"/>
                      <w:b w:val="0"/>
                      <w:bCs w:val="0"/>
                      <w:color w:val="auto"/>
                      <w:sz w:val="21"/>
                      <w:szCs w:val="21"/>
                      <w:u w:val="none"/>
                    </w:rPr>
                  </w:pPr>
                  <w:r>
                    <w:rPr>
                      <w:rFonts w:hint="eastAsia" w:ascii="Times New Roman" w:hAnsi="Times New Roman" w:cs="Times New Roman"/>
                      <w:b w:val="0"/>
                      <w:bCs w:val="0"/>
                      <w:color w:val="auto"/>
                      <w:sz w:val="21"/>
                      <w:szCs w:val="21"/>
                      <w:u w:val="none"/>
                      <w:lang w:val="en-US" w:eastAsia="zh-CN"/>
                    </w:rPr>
                    <w:t>施工</w:t>
                  </w:r>
                  <w:r>
                    <w:rPr>
                      <w:rFonts w:hint="default" w:ascii="Times New Roman" w:hAnsi="Times New Roman" w:cs="Times New Roman"/>
                      <w:b w:val="0"/>
                      <w:bCs w:val="0"/>
                      <w:color w:val="auto"/>
                      <w:sz w:val="21"/>
                      <w:szCs w:val="21"/>
                      <w:u w:val="none"/>
                    </w:rPr>
                    <w:t>区</w:t>
                  </w:r>
                  <w:r>
                    <w:rPr>
                      <w:rFonts w:hint="eastAsia" w:ascii="Times New Roman" w:hAnsi="Times New Roman" w:cs="Times New Roman"/>
                      <w:b w:val="0"/>
                      <w:bCs w:val="0"/>
                      <w:color w:val="auto"/>
                      <w:sz w:val="21"/>
                      <w:szCs w:val="21"/>
                      <w:u w:val="none"/>
                      <w:lang w:val="en-US" w:eastAsia="zh-CN"/>
                    </w:rPr>
                    <w:t>靠近水域一侧</w:t>
                  </w:r>
                  <w:r>
                    <w:rPr>
                      <w:rFonts w:hint="default" w:ascii="Times New Roman" w:hAnsi="Times New Roman" w:cs="Times New Roman"/>
                      <w:b w:val="0"/>
                      <w:bCs w:val="0"/>
                      <w:color w:val="auto"/>
                      <w:sz w:val="21"/>
                      <w:szCs w:val="21"/>
                      <w:u w:val="none"/>
                    </w:rPr>
                    <w:t>设置围</w:t>
                  </w:r>
                  <w:r>
                    <w:rPr>
                      <w:rFonts w:hint="eastAsia" w:ascii="Times New Roman" w:hAnsi="Times New Roman" w:cs="Times New Roman"/>
                      <w:b w:val="0"/>
                      <w:bCs w:val="0"/>
                      <w:color w:val="auto"/>
                      <w:sz w:val="21"/>
                      <w:szCs w:val="21"/>
                      <w:u w:val="none"/>
                      <w:lang w:val="en-US" w:eastAsia="zh-CN"/>
                    </w:rPr>
                    <w:t>档</w:t>
                  </w:r>
                  <w:r>
                    <w:rPr>
                      <w:rFonts w:hint="eastAsia" w:ascii="Times New Roman" w:hAnsi="Times New Roman" w:cs="Times New Roman"/>
                      <w:b w:val="0"/>
                      <w:bCs w:val="0"/>
                      <w:color w:val="auto"/>
                      <w:sz w:val="21"/>
                      <w:szCs w:val="21"/>
                      <w:u w:val="none"/>
                      <w:lang w:eastAsia="zh-CN"/>
                    </w:rPr>
                    <w:t>；</w:t>
                  </w:r>
                  <w:r>
                    <w:rPr>
                      <w:rFonts w:hint="default" w:ascii="Times New Roman" w:hAnsi="Times New Roman" w:cs="Times New Roman"/>
                      <w:b w:val="0"/>
                      <w:bCs w:val="0"/>
                      <w:color w:val="auto"/>
                      <w:sz w:val="21"/>
                      <w:szCs w:val="21"/>
                      <w:u w:val="none"/>
                    </w:rPr>
                    <w:t>施工</w:t>
                  </w:r>
                  <w:r>
                    <w:rPr>
                      <w:rFonts w:hint="eastAsia" w:ascii="Times New Roman" w:hAnsi="Times New Roman" w:cs="Times New Roman"/>
                      <w:b w:val="0"/>
                      <w:bCs w:val="0"/>
                      <w:color w:val="auto"/>
                      <w:sz w:val="21"/>
                      <w:szCs w:val="21"/>
                      <w:u w:val="none"/>
                      <w:lang w:val="en-US" w:eastAsia="zh-CN"/>
                    </w:rPr>
                    <w:t>机械、车辆</w:t>
                  </w:r>
                  <w:r>
                    <w:rPr>
                      <w:rFonts w:hint="default" w:ascii="Times New Roman" w:hAnsi="Times New Roman" w:cs="Times New Roman"/>
                      <w:b w:val="0"/>
                      <w:bCs w:val="0"/>
                      <w:color w:val="auto"/>
                      <w:sz w:val="21"/>
                      <w:szCs w:val="21"/>
                      <w:u w:val="none"/>
                    </w:rPr>
                    <w:t>设置事故溢油应急设备等措施</w:t>
                  </w:r>
                </w:p>
              </w:tc>
            </w:tr>
            <w:tr w14:paraId="6E1A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tcBorders>
                    <w:tl2br w:val="nil"/>
                    <w:tr2bl w:val="nil"/>
                  </w:tcBorders>
                  <w:vAlign w:val="center"/>
                </w:tcPr>
                <w:p w14:paraId="3A4B2335">
                  <w:pPr>
                    <w:ind w:left="-53" w:leftChars="-25" w:right="-53" w:rightChars="-25"/>
                    <w:jc w:val="center"/>
                    <w:rPr>
                      <w:rFonts w:hint="default" w:ascii="Times New Roman" w:hAnsi="Times New Roman" w:cs="Times New Roman"/>
                      <w:b w:val="0"/>
                      <w:bCs w:val="0"/>
                      <w:color w:val="auto"/>
                      <w:sz w:val="21"/>
                      <w:szCs w:val="21"/>
                      <w:u w:val="none"/>
                    </w:rPr>
                  </w:pPr>
                </w:p>
              </w:tc>
              <w:tc>
                <w:tcPr>
                  <w:tcW w:w="886" w:type="pct"/>
                  <w:tcBorders>
                    <w:tl2br w:val="nil"/>
                    <w:tr2bl w:val="nil"/>
                  </w:tcBorders>
                  <w:vAlign w:val="center"/>
                </w:tcPr>
                <w:p w14:paraId="77D53BE5">
                  <w:pPr>
                    <w:ind w:left="-53" w:leftChars="-25" w:right="-53" w:rightChars="-25"/>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水土保持</w:t>
                  </w:r>
                </w:p>
              </w:tc>
              <w:tc>
                <w:tcPr>
                  <w:tcW w:w="3708" w:type="pct"/>
                  <w:tcBorders>
                    <w:tl2br w:val="nil"/>
                    <w:tr2bl w:val="nil"/>
                  </w:tcBorders>
                  <w:vAlign w:val="center"/>
                </w:tcPr>
                <w:p w14:paraId="44165654">
                  <w:pPr>
                    <w:ind w:left="-53" w:leftChars="-25" w:right="-53" w:rightChars="-25" w:firstLine="420" w:firstLineChars="200"/>
                    <w:jc w:val="both"/>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挡土墙、土工布临时覆盖、临时排水沟和沉砂池措施</w:t>
                  </w:r>
                </w:p>
              </w:tc>
            </w:tr>
          </w:tbl>
          <w:p w14:paraId="238D3945">
            <w:pPr>
              <w:pStyle w:val="60"/>
              <w:ind w:left="0" w:leftChars="0" w:firstLine="0" w:firstLineChars="0"/>
            </w:pPr>
          </w:p>
          <w:p w14:paraId="08F6FD77">
            <w:pPr>
              <w:spacing w:line="500" w:lineRule="exact"/>
              <w:ind w:left="50" w:right="50" w:firstLine="482" w:firstLineChars="200"/>
              <w:rPr>
                <w:rFonts w:hint="default" w:eastAsia="宋体"/>
                <w:b/>
                <w:color w:val="000000"/>
                <w:sz w:val="24"/>
                <w:lang w:val="en-US" w:eastAsia="zh-CN"/>
              </w:rPr>
            </w:pPr>
            <w:r>
              <w:rPr>
                <w:rFonts w:hint="eastAsia"/>
                <w:b/>
                <w:color w:val="000000"/>
                <w:sz w:val="24"/>
                <w:lang w:val="en-US" w:eastAsia="zh-CN"/>
              </w:rPr>
              <w:t>4</w:t>
            </w:r>
            <w:r>
              <w:rPr>
                <w:rFonts w:hint="eastAsia"/>
                <w:b/>
                <w:color w:val="000000"/>
                <w:sz w:val="24"/>
              </w:rPr>
              <w:t>、</w:t>
            </w:r>
            <w:r>
              <w:rPr>
                <w:rFonts w:hint="eastAsia"/>
                <w:b/>
                <w:color w:val="000000"/>
                <w:sz w:val="24"/>
                <w:lang w:val="en-US" w:eastAsia="zh-CN"/>
              </w:rPr>
              <w:t>本</w:t>
            </w:r>
            <w:r>
              <w:rPr>
                <w:b/>
                <w:color w:val="000000"/>
                <w:sz w:val="24"/>
              </w:rPr>
              <w:t>项目</w:t>
            </w:r>
            <w:r>
              <w:rPr>
                <w:rFonts w:hint="eastAsia"/>
                <w:b/>
                <w:color w:val="000000"/>
                <w:sz w:val="24"/>
                <w:lang w:val="en-US" w:eastAsia="zh-CN"/>
              </w:rPr>
              <w:t>工程特性</w:t>
            </w:r>
          </w:p>
          <w:p w14:paraId="5AF6F417">
            <w:pPr>
              <w:spacing w:line="480" w:lineRule="exact"/>
              <w:ind w:firstLine="480" w:firstLineChars="200"/>
              <w:rPr>
                <w:color w:val="000000"/>
                <w:sz w:val="24"/>
              </w:rPr>
            </w:pPr>
            <w:r>
              <w:rPr>
                <w:rFonts w:hint="eastAsia"/>
                <w:color w:val="000000"/>
                <w:sz w:val="24"/>
              </w:rPr>
              <w:t>项目</w:t>
            </w:r>
            <w:r>
              <w:rPr>
                <w:rFonts w:hint="eastAsia" w:ascii="Times New Roman" w:hAnsi="Times New Roman" w:eastAsia="宋体" w:cs="Times New Roman"/>
                <w:b w:val="0"/>
                <w:bCs w:val="0"/>
                <w:color w:val="auto"/>
                <w:spacing w:val="-2"/>
                <w:sz w:val="24"/>
                <w:szCs w:val="24"/>
                <w:lang w:val="en-US" w:eastAsia="zh-CN"/>
              </w:rPr>
              <w:t>建设的工程特性如</w:t>
            </w:r>
            <w:r>
              <w:rPr>
                <w:rFonts w:hint="eastAsia"/>
                <w:color w:val="000000"/>
                <w:sz w:val="24"/>
              </w:rPr>
              <w:t>下表</w:t>
            </w:r>
            <w:r>
              <w:rPr>
                <w:rFonts w:hint="eastAsia"/>
                <w:color w:val="000000"/>
                <w:sz w:val="24"/>
                <w:lang w:val="en-US" w:eastAsia="zh-CN"/>
              </w:rPr>
              <w:t>2-2</w:t>
            </w:r>
            <w:r>
              <w:rPr>
                <w:rFonts w:hint="eastAsia"/>
                <w:color w:val="000000"/>
                <w:sz w:val="24"/>
              </w:rPr>
              <w:t>。</w:t>
            </w:r>
          </w:p>
          <w:p w14:paraId="24FF6071">
            <w:pPr>
              <w:spacing w:line="480" w:lineRule="exact"/>
              <w:jc w:val="center"/>
              <w:rPr>
                <w:b/>
                <w:color w:val="000000"/>
                <w:szCs w:val="21"/>
              </w:rPr>
            </w:pPr>
            <w:r>
              <w:rPr>
                <w:b/>
                <w:color w:val="000000"/>
                <w:szCs w:val="21"/>
              </w:rPr>
              <w:t>表</w:t>
            </w:r>
            <w:r>
              <w:rPr>
                <w:rFonts w:hint="eastAsia"/>
                <w:b/>
                <w:color w:val="000000"/>
                <w:szCs w:val="21"/>
              </w:rPr>
              <w:t>2</w:t>
            </w:r>
            <w:r>
              <w:rPr>
                <w:b/>
                <w:color w:val="000000"/>
                <w:szCs w:val="21"/>
              </w:rPr>
              <w:t>-</w:t>
            </w:r>
            <w:r>
              <w:rPr>
                <w:rFonts w:hint="eastAsia"/>
                <w:b/>
                <w:color w:val="000000"/>
                <w:szCs w:val="21"/>
                <w:lang w:val="en-US" w:eastAsia="zh-CN"/>
              </w:rPr>
              <w:t>2</w:t>
            </w:r>
            <w:r>
              <w:rPr>
                <w:b/>
                <w:color w:val="000000"/>
                <w:szCs w:val="21"/>
              </w:rPr>
              <w:t xml:space="preserve">  项目主要</w:t>
            </w:r>
            <w:r>
              <w:rPr>
                <w:rFonts w:hint="eastAsia"/>
                <w:b/>
                <w:color w:val="000000"/>
                <w:szCs w:val="21"/>
                <w:lang w:val="en-US" w:eastAsia="zh-CN"/>
              </w:rPr>
              <w:t>工程量</w:t>
            </w:r>
            <w:r>
              <w:rPr>
                <w:b/>
                <w:color w:val="000000"/>
                <w:szCs w:val="21"/>
              </w:rPr>
              <w:t>一览表</w:t>
            </w:r>
          </w:p>
          <w:tbl>
            <w:tblPr>
              <w:tblStyle w:val="4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10"/>
              <w:gridCol w:w="5"/>
              <w:gridCol w:w="3130"/>
              <w:gridCol w:w="1075"/>
              <w:gridCol w:w="1103"/>
              <w:gridCol w:w="9"/>
              <w:gridCol w:w="1168"/>
              <w:gridCol w:w="1569"/>
            </w:tblGrid>
            <w:tr w14:paraId="64A7B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4E7A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序号</w:t>
                  </w: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3209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名称</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2992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单位</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6051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原设计</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A1B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安全鉴定</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C6B4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本次除险加固</w:t>
                  </w:r>
                </w:p>
              </w:tc>
            </w:tr>
            <w:tr w14:paraId="5E36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D2E1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一</w:t>
                  </w: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EBF1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水 文</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79DFF">
                  <w:pPr>
                    <w:jc w:val="center"/>
                    <w:rPr>
                      <w:rFonts w:hint="eastAsia" w:ascii="Times New Roman" w:hAnsi="Times New Roman" w:eastAsia="宋体" w:cs="Times New Roman"/>
                      <w:i w:val="0"/>
                      <w:iCs w:val="0"/>
                      <w:color w:val="000000"/>
                      <w:sz w:val="21"/>
                      <w:szCs w:val="21"/>
                      <w:u w:val="none"/>
                    </w:rPr>
                  </w:pP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0BF2A">
                  <w:pPr>
                    <w:jc w:val="center"/>
                    <w:rPr>
                      <w:rFonts w:hint="default" w:ascii="Times New Roman" w:hAnsi="Times New Roman" w:eastAsia="宋体" w:cs="Times New Roman"/>
                      <w:i w:val="0"/>
                      <w:iCs w:val="0"/>
                      <w:color w:val="000000"/>
                      <w:sz w:val="21"/>
                      <w:szCs w:val="21"/>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A5EA3">
                  <w:pPr>
                    <w:jc w:val="center"/>
                    <w:rPr>
                      <w:rFonts w:hint="default" w:ascii="Times New Roman" w:hAnsi="Times New Roman" w:eastAsia="宋体" w:cs="Times New Roman"/>
                      <w:i w:val="0"/>
                      <w:iCs w:val="0"/>
                      <w:color w:val="000000"/>
                      <w:sz w:val="21"/>
                      <w:szCs w:val="21"/>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11F0">
                  <w:pPr>
                    <w:jc w:val="center"/>
                    <w:rPr>
                      <w:rFonts w:hint="default" w:ascii="Times New Roman" w:hAnsi="Times New Roman" w:eastAsia="宋体" w:cs="Times New Roman"/>
                      <w:i w:val="0"/>
                      <w:iCs w:val="0"/>
                      <w:color w:val="000000"/>
                      <w:sz w:val="21"/>
                      <w:szCs w:val="21"/>
                      <w:u w:val="none"/>
                    </w:rPr>
                  </w:pPr>
                </w:p>
              </w:tc>
            </w:tr>
            <w:tr w14:paraId="6D81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B3DF2">
                  <w:pPr>
                    <w:keepNext w:val="0"/>
                    <w:keepLines w:val="0"/>
                    <w:widowControl/>
                    <w:suppressLineNumbers w:val="0"/>
                    <w:jc w:val="center"/>
                    <w:textAlignment w:val="center"/>
                    <w:rPr>
                      <w:rFonts w:ascii="Times New Roman" w:hAnsi="Times New Roman" w:eastAsia="宋体" w:cs="Times New Roman"/>
                      <w:i w:val="0"/>
                      <w:iCs w:val="0"/>
                      <w:color w:val="606060"/>
                      <w:sz w:val="21"/>
                      <w:szCs w:val="21"/>
                      <w:u w:val="none"/>
                    </w:rPr>
                  </w:pPr>
                  <w:r>
                    <w:rPr>
                      <w:rFonts w:ascii="Times New Roman" w:hAnsi="Times New Roman" w:eastAsia="宋体" w:cs="Times New Roman"/>
                      <w:i w:val="0"/>
                      <w:iCs w:val="0"/>
                      <w:color w:val="606060"/>
                      <w:kern w:val="0"/>
                      <w:sz w:val="21"/>
                      <w:szCs w:val="21"/>
                      <w:u w:val="none"/>
                      <w:lang w:val="en-US" w:eastAsia="zh-CN" w:bidi="ar"/>
                    </w:rPr>
                    <w:t>1</w:t>
                  </w: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70B2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祁水控制流域面积</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E20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50"/>
                      <w:rFonts w:ascii="Times New Roman" w:hAnsi="Times New Roman" w:eastAsia="宋体" w:cs="Times New Roman"/>
                      <w:sz w:val="21"/>
                      <w:szCs w:val="21"/>
                      <w:lang w:val="en-US" w:eastAsia="zh-CN" w:bidi="ar"/>
                    </w:rPr>
                    <w:t>km²</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7061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1685</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FA31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1685</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6E4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1685</w:t>
                  </w:r>
                </w:p>
              </w:tc>
            </w:tr>
            <w:tr w14:paraId="2E7DC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7136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BB5D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坝址控制流域面积</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AE2F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50"/>
                      <w:rFonts w:ascii="Times New Roman" w:hAnsi="Times New Roman" w:eastAsia="宋体" w:cs="Times New Roman"/>
                      <w:sz w:val="21"/>
                      <w:szCs w:val="21"/>
                      <w:lang w:val="en-US" w:eastAsia="zh-CN" w:bidi="ar"/>
                    </w:rPr>
                    <w:t>km²</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6725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1260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900E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1260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D8B5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1260</w:t>
                  </w:r>
                </w:p>
              </w:tc>
            </w:tr>
            <w:tr w14:paraId="158A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2B23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w:t>
                  </w: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713F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干流长度</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F43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km</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5F9A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114</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2A2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114</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851F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114</w:t>
                  </w:r>
                </w:p>
              </w:tc>
            </w:tr>
            <w:tr w14:paraId="1302E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1B9E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w:t>
                  </w: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0BA2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干流比降</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633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50"/>
                      <w:rFonts w:ascii="Times New Roman" w:hAnsi="Times New Roman" w:eastAsia="宋体" w:cs="Times New Roman"/>
                      <w:sz w:val="21"/>
                      <w:szCs w:val="21"/>
                      <w:lang w:val="en-US" w:eastAsia="zh-CN" w:bidi="ar"/>
                    </w:rPr>
                    <w:t>‰</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36A2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6CF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3CEE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w:t>
                  </w:r>
                </w:p>
              </w:tc>
            </w:tr>
            <w:tr w14:paraId="5FB0A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F31F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5</w:t>
                  </w: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02CF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利用水文系列年</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150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年</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072C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8554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B1D9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w:t>
                  </w:r>
                </w:p>
              </w:tc>
            </w:tr>
            <w:tr w14:paraId="14A4E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C529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二</w:t>
                  </w: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8B92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洪水标准</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F040">
                  <w:pPr>
                    <w:jc w:val="center"/>
                    <w:rPr>
                      <w:rFonts w:hint="default" w:ascii="Times New Roman" w:hAnsi="Times New Roman" w:eastAsia="宋体" w:cs="Times New Roman"/>
                      <w:i w:val="0"/>
                      <w:iCs w:val="0"/>
                      <w:color w:val="000000"/>
                      <w:sz w:val="21"/>
                      <w:szCs w:val="21"/>
                      <w:u w:val="none"/>
                    </w:rPr>
                  </w:pP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7B158">
                  <w:pPr>
                    <w:jc w:val="center"/>
                    <w:rPr>
                      <w:rFonts w:hint="default" w:ascii="Times New Roman" w:hAnsi="Times New Roman" w:eastAsia="宋体" w:cs="Times New Roman"/>
                      <w:i w:val="0"/>
                      <w:iCs w:val="0"/>
                      <w:color w:val="000000"/>
                      <w:sz w:val="21"/>
                      <w:szCs w:val="21"/>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65F6D">
                  <w:pPr>
                    <w:jc w:val="center"/>
                    <w:rPr>
                      <w:rFonts w:hint="default" w:ascii="Times New Roman" w:hAnsi="Times New Roman" w:eastAsia="宋体" w:cs="Times New Roman"/>
                      <w:i w:val="0"/>
                      <w:iCs w:val="0"/>
                      <w:color w:val="000000"/>
                      <w:sz w:val="21"/>
                      <w:szCs w:val="21"/>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3C2F">
                  <w:pPr>
                    <w:jc w:val="center"/>
                    <w:rPr>
                      <w:rFonts w:hint="default" w:ascii="Times New Roman" w:hAnsi="Times New Roman" w:eastAsia="宋体" w:cs="Times New Roman"/>
                      <w:i w:val="0"/>
                      <w:iCs w:val="0"/>
                      <w:color w:val="000000"/>
                      <w:sz w:val="21"/>
                      <w:szCs w:val="21"/>
                      <w:u w:val="none"/>
                    </w:rPr>
                  </w:pPr>
                </w:p>
              </w:tc>
            </w:tr>
            <w:tr w14:paraId="3115D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24B2A">
                  <w:pPr>
                    <w:jc w:val="center"/>
                    <w:rPr>
                      <w:rFonts w:hint="default" w:ascii="Times New Roman" w:hAnsi="Times New Roman" w:eastAsia="宋体" w:cs="Times New Roman"/>
                      <w:i w:val="0"/>
                      <w:iCs w:val="0"/>
                      <w:color w:val="000000"/>
                      <w:sz w:val="21"/>
                      <w:szCs w:val="21"/>
                      <w:u w:val="none"/>
                    </w:rPr>
                  </w:pP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22A5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水闸设计洪水标准(P=5%)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0B90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50"/>
                      <w:rFonts w:ascii="Times New Roman" w:hAnsi="Times New Roman" w:eastAsia="宋体" w:cs="Times New Roman"/>
                      <w:sz w:val="21"/>
                      <w:szCs w:val="21"/>
                      <w:lang w:val="en-US" w:eastAsia="zh-CN" w:bidi="ar"/>
                    </w:rPr>
                    <w:t>m³/s</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DC9C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1355.85</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CB8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1355.85</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853C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1360</w:t>
                  </w:r>
                </w:p>
              </w:tc>
            </w:tr>
            <w:tr w14:paraId="57245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9FC1B">
                  <w:pPr>
                    <w:jc w:val="center"/>
                    <w:rPr>
                      <w:rFonts w:hint="default" w:ascii="Times New Roman" w:hAnsi="Times New Roman" w:eastAsia="宋体" w:cs="Times New Roman"/>
                      <w:i w:val="0"/>
                      <w:iCs w:val="0"/>
                      <w:color w:val="000000"/>
                      <w:sz w:val="21"/>
                      <w:szCs w:val="21"/>
                      <w:u w:val="none"/>
                    </w:rPr>
                  </w:pP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C41D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水闸校核洪水标准(P=2%)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289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50"/>
                      <w:rFonts w:ascii="Times New Roman" w:hAnsi="Times New Roman" w:eastAsia="宋体" w:cs="Times New Roman"/>
                      <w:sz w:val="21"/>
                      <w:szCs w:val="21"/>
                      <w:lang w:val="en-US" w:eastAsia="zh-CN" w:bidi="ar"/>
                    </w:rPr>
                    <w:t>m³/s</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B272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1733.60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84E8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1733.60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6585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1730</w:t>
                  </w:r>
                </w:p>
              </w:tc>
            </w:tr>
            <w:tr w14:paraId="24E20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6463C">
                  <w:pPr>
                    <w:jc w:val="center"/>
                    <w:rPr>
                      <w:rFonts w:hint="default" w:ascii="Times New Roman" w:hAnsi="Times New Roman" w:eastAsia="宋体" w:cs="Times New Roman"/>
                      <w:i w:val="0"/>
                      <w:iCs w:val="0"/>
                      <w:color w:val="000000"/>
                      <w:sz w:val="21"/>
                      <w:szCs w:val="21"/>
                      <w:u w:val="none"/>
                    </w:rPr>
                  </w:pP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2F5C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洪水标准及流量(P=10%)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CA7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50"/>
                      <w:rFonts w:ascii="Times New Roman" w:hAnsi="Times New Roman" w:eastAsia="宋体" w:cs="Times New Roman"/>
                      <w:sz w:val="21"/>
                      <w:szCs w:val="21"/>
                      <w:lang w:val="en-US" w:eastAsia="zh-CN" w:bidi="ar"/>
                    </w:rPr>
                    <w:t>m³/s</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E0CE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EB1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D38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1070</w:t>
                  </w:r>
                </w:p>
              </w:tc>
            </w:tr>
            <w:tr w14:paraId="4533D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26A38">
                  <w:pPr>
                    <w:jc w:val="center"/>
                    <w:rPr>
                      <w:rFonts w:hint="default" w:ascii="Times New Roman" w:hAnsi="Times New Roman" w:eastAsia="宋体" w:cs="Times New Roman"/>
                      <w:i w:val="0"/>
                      <w:iCs w:val="0"/>
                      <w:color w:val="000000"/>
                      <w:sz w:val="21"/>
                      <w:szCs w:val="21"/>
                      <w:u w:val="none"/>
                    </w:rPr>
                  </w:pP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2776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施工导流设计标准及流量(P=20%)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2CB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50"/>
                      <w:rFonts w:ascii="Times New Roman" w:hAnsi="Times New Roman" w:eastAsia="宋体" w:cs="Times New Roman"/>
                      <w:sz w:val="21"/>
                      <w:szCs w:val="21"/>
                      <w:lang w:val="en-US" w:eastAsia="zh-CN" w:bidi="ar"/>
                    </w:rPr>
                    <w:t>m³/s</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28B6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C766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DF34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158</w:t>
                  </w:r>
                </w:p>
              </w:tc>
            </w:tr>
            <w:tr w14:paraId="0374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4CE6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三</w:t>
                  </w: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C5BC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特征水位</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E61B">
                  <w:pPr>
                    <w:jc w:val="center"/>
                    <w:rPr>
                      <w:rFonts w:hint="default" w:ascii="Times New Roman" w:hAnsi="Times New Roman" w:eastAsia="宋体" w:cs="Times New Roman"/>
                      <w:i w:val="0"/>
                      <w:iCs w:val="0"/>
                      <w:color w:val="000000"/>
                      <w:sz w:val="21"/>
                      <w:szCs w:val="21"/>
                      <w:u w:val="none"/>
                    </w:rPr>
                  </w:pP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63A0A">
                  <w:pPr>
                    <w:jc w:val="center"/>
                    <w:rPr>
                      <w:rFonts w:hint="default" w:ascii="Times New Roman" w:hAnsi="Times New Roman" w:eastAsia="宋体" w:cs="Times New Roman"/>
                      <w:i w:val="0"/>
                      <w:iCs w:val="0"/>
                      <w:color w:val="000000"/>
                      <w:sz w:val="21"/>
                      <w:szCs w:val="21"/>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71141">
                  <w:pPr>
                    <w:jc w:val="center"/>
                    <w:rPr>
                      <w:rFonts w:hint="default" w:ascii="Times New Roman" w:hAnsi="Times New Roman" w:eastAsia="宋体" w:cs="Times New Roman"/>
                      <w:i w:val="0"/>
                      <w:iCs w:val="0"/>
                      <w:color w:val="000000"/>
                      <w:sz w:val="21"/>
                      <w:szCs w:val="21"/>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8099">
                  <w:pPr>
                    <w:jc w:val="center"/>
                    <w:rPr>
                      <w:rFonts w:hint="default" w:ascii="Times New Roman" w:hAnsi="Times New Roman" w:eastAsia="宋体" w:cs="Times New Roman"/>
                      <w:i w:val="0"/>
                      <w:iCs w:val="0"/>
                      <w:color w:val="000000"/>
                      <w:sz w:val="21"/>
                      <w:szCs w:val="21"/>
                      <w:u w:val="none"/>
                    </w:rPr>
                  </w:pPr>
                </w:p>
              </w:tc>
            </w:tr>
            <w:tr w14:paraId="4C15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CE154">
                  <w:pPr>
                    <w:keepNext w:val="0"/>
                    <w:keepLines w:val="0"/>
                    <w:widowControl/>
                    <w:suppressLineNumbers w:val="0"/>
                    <w:jc w:val="center"/>
                    <w:textAlignment w:val="center"/>
                    <w:rPr>
                      <w:rFonts w:ascii="Times New Roman" w:hAnsi="Times New Roman" w:eastAsia="宋体" w:cs="Times New Roman"/>
                      <w:i w:val="0"/>
                      <w:iCs w:val="0"/>
                      <w:color w:val="605050"/>
                      <w:sz w:val="21"/>
                      <w:szCs w:val="21"/>
                      <w:u w:val="none"/>
                    </w:rPr>
                  </w:pPr>
                  <w:r>
                    <w:rPr>
                      <w:rFonts w:ascii="Times New Roman" w:hAnsi="Times New Roman" w:eastAsia="宋体" w:cs="Times New Roman"/>
                      <w:i w:val="0"/>
                      <w:iCs w:val="0"/>
                      <w:color w:val="605050"/>
                      <w:kern w:val="0"/>
                      <w:sz w:val="21"/>
                      <w:szCs w:val="21"/>
                      <w:u w:val="none"/>
                      <w:lang w:val="en-US" w:eastAsia="zh-CN" w:bidi="ar"/>
                    </w:rPr>
                    <w:t>1</w:t>
                  </w: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271D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正常蓄水位</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7755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50"/>
                      <w:rFonts w:ascii="Times New Roman" w:hAnsi="Times New Roman" w:eastAsia="宋体" w:cs="Times New Roman"/>
                      <w:sz w:val="21"/>
                      <w:szCs w:val="21"/>
                      <w:lang w:val="en-US" w:eastAsia="zh-CN" w:bidi="ar"/>
                    </w:rPr>
                    <w:t>m</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6D1E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101.10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F43C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101.10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A61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101.10</w:t>
                  </w:r>
                </w:p>
              </w:tc>
            </w:tr>
            <w:tr w14:paraId="6FA0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A05F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A396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设计洪水位(P=5%)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255BD">
                  <w:pPr>
                    <w:jc w:val="center"/>
                    <w:rPr>
                      <w:rFonts w:hint="default" w:ascii="Times New Roman" w:hAnsi="Times New Roman" w:eastAsia="宋体" w:cs="Times New Roman"/>
                      <w:i w:val="0"/>
                      <w:iCs w:val="0"/>
                      <w:color w:val="000000"/>
                      <w:sz w:val="21"/>
                      <w:szCs w:val="21"/>
                      <w:u w:val="none"/>
                    </w:rPr>
                  </w:pP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E9482">
                  <w:pPr>
                    <w:jc w:val="center"/>
                    <w:rPr>
                      <w:rFonts w:hint="default" w:ascii="Times New Roman" w:hAnsi="Times New Roman" w:eastAsia="宋体" w:cs="Times New Roman"/>
                      <w:i w:val="0"/>
                      <w:iCs w:val="0"/>
                      <w:color w:val="000000"/>
                      <w:sz w:val="21"/>
                      <w:szCs w:val="21"/>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B3CC8">
                  <w:pPr>
                    <w:jc w:val="center"/>
                    <w:rPr>
                      <w:rFonts w:hint="default" w:ascii="Times New Roman" w:hAnsi="Times New Roman" w:eastAsia="宋体" w:cs="Times New Roman"/>
                      <w:i w:val="0"/>
                      <w:iCs w:val="0"/>
                      <w:color w:val="000000"/>
                      <w:sz w:val="21"/>
                      <w:szCs w:val="21"/>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467B">
                  <w:pPr>
                    <w:jc w:val="center"/>
                    <w:rPr>
                      <w:rFonts w:hint="default" w:ascii="Times New Roman" w:hAnsi="Times New Roman" w:eastAsia="宋体" w:cs="Times New Roman"/>
                      <w:i w:val="0"/>
                      <w:iCs w:val="0"/>
                      <w:color w:val="000000"/>
                      <w:sz w:val="21"/>
                      <w:szCs w:val="21"/>
                      <w:u w:val="none"/>
                    </w:rPr>
                  </w:pPr>
                </w:p>
              </w:tc>
            </w:tr>
            <w:tr w14:paraId="60F2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F4DB2">
                  <w:pPr>
                    <w:jc w:val="center"/>
                    <w:rPr>
                      <w:rFonts w:hint="default" w:ascii="Times New Roman" w:hAnsi="Times New Roman" w:eastAsia="宋体" w:cs="Times New Roman"/>
                      <w:i w:val="0"/>
                      <w:iCs w:val="0"/>
                      <w:color w:val="000000"/>
                      <w:sz w:val="21"/>
                      <w:szCs w:val="21"/>
                      <w:u w:val="none"/>
                    </w:rPr>
                  </w:pP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CF6A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上游洪水位</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3548">
                  <w:pPr>
                    <w:keepNext w:val="0"/>
                    <w:keepLines w:val="0"/>
                    <w:widowControl/>
                    <w:suppressLineNumbers w:val="0"/>
                    <w:jc w:val="center"/>
                    <w:textAlignment w:val="bottom"/>
                    <w:rPr>
                      <w:rFonts w:ascii="Times New Roman" w:hAnsi="Times New Roman" w:eastAsia="宋体" w:cs="Times New Roman"/>
                      <w:i w:val="0"/>
                      <w:iCs w:val="0"/>
                      <w:color w:val="000000"/>
                      <w:sz w:val="21"/>
                      <w:szCs w:val="21"/>
                      <w:u w:val="none"/>
                    </w:rPr>
                  </w:pPr>
                  <w:r>
                    <w:rPr>
                      <w:rStyle w:val="250"/>
                      <w:rFonts w:ascii="Times New Roman" w:hAnsi="Times New Roman" w:eastAsia="宋体" w:cs="Times New Roman"/>
                      <w:sz w:val="21"/>
                      <w:szCs w:val="21"/>
                      <w:lang w:val="en-US" w:eastAsia="zh-CN" w:bidi="ar"/>
                    </w:rPr>
                    <w:t>m</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B42A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107.27</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6C26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107.27</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1DB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106.36</w:t>
                  </w:r>
                </w:p>
              </w:tc>
            </w:tr>
            <w:tr w14:paraId="0CA62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8EFC4">
                  <w:pPr>
                    <w:jc w:val="center"/>
                    <w:rPr>
                      <w:rFonts w:hint="default" w:ascii="Times New Roman" w:hAnsi="Times New Roman" w:eastAsia="宋体" w:cs="Times New Roman"/>
                      <w:i w:val="0"/>
                      <w:iCs w:val="0"/>
                      <w:color w:val="000000"/>
                      <w:sz w:val="21"/>
                      <w:szCs w:val="21"/>
                      <w:u w:val="none"/>
                    </w:rPr>
                  </w:pP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B920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下游洪水位</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FFFA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50"/>
                      <w:rFonts w:ascii="Times New Roman" w:hAnsi="Times New Roman" w:eastAsia="宋体" w:cs="Times New Roman"/>
                      <w:sz w:val="21"/>
                      <w:szCs w:val="21"/>
                      <w:lang w:val="en-US" w:eastAsia="zh-CN" w:bidi="ar"/>
                    </w:rPr>
                    <w:t>m</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ADD6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106.22</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1D6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106.22</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5D9B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105.82</w:t>
                  </w:r>
                </w:p>
              </w:tc>
            </w:tr>
            <w:tr w14:paraId="732E7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F199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w:t>
                  </w: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595B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校核洪水位(P=2%)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FABB">
                  <w:pPr>
                    <w:jc w:val="center"/>
                    <w:rPr>
                      <w:rFonts w:hint="default" w:ascii="Times New Roman" w:hAnsi="Times New Roman" w:eastAsia="宋体" w:cs="Times New Roman"/>
                      <w:i w:val="0"/>
                      <w:iCs w:val="0"/>
                      <w:color w:val="000000"/>
                      <w:sz w:val="21"/>
                      <w:szCs w:val="21"/>
                      <w:u w:val="none"/>
                    </w:rPr>
                  </w:pP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8086D">
                  <w:pPr>
                    <w:jc w:val="center"/>
                    <w:rPr>
                      <w:rFonts w:hint="default" w:ascii="Times New Roman" w:hAnsi="Times New Roman" w:eastAsia="宋体" w:cs="Times New Roman"/>
                      <w:i w:val="0"/>
                      <w:iCs w:val="0"/>
                      <w:color w:val="000000"/>
                      <w:sz w:val="21"/>
                      <w:szCs w:val="21"/>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3AC06">
                  <w:pPr>
                    <w:jc w:val="center"/>
                    <w:rPr>
                      <w:rFonts w:hint="default" w:ascii="Times New Roman" w:hAnsi="Times New Roman" w:eastAsia="宋体" w:cs="Times New Roman"/>
                      <w:i w:val="0"/>
                      <w:iCs w:val="0"/>
                      <w:color w:val="000000"/>
                      <w:sz w:val="21"/>
                      <w:szCs w:val="21"/>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2054">
                  <w:pPr>
                    <w:jc w:val="center"/>
                    <w:rPr>
                      <w:rFonts w:hint="default" w:ascii="Times New Roman" w:hAnsi="Times New Roman" w:eastAsia="宋体" w:cs="Times New Roman"/>
                      <w:i w:val="0"/>
                      <w:iCs w:val="0"/>
                      <w:color w:val="000000"/>
                      <w:sz w:val="21"/>
                      <w:szCs w:val="21"/>
                      <w:u w:val="none"/>
                    </w:rPr>
                  </w:pPr>
                </w:p>
              </w:tc>
            </w:tr>
            <w:tr w14:paraId="76F91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0093B">
                  <w:pPr>
                    <w:jc w:val="center"/>
                    <w:rPr>
                      <w:rFonts w:hint="default" w:ascii="Times New Roman" w:hAnsi="Times New Roman" w:eastAsia="宋体" w:cs="Times New Roman"/>
                      <w:i w:val="0"/>
                      <w:iCs w:val="0"/>
                      <w:color w:val="000000"/>
                      <w:sz w:val="21"/>
                      <w:szCs w:val="21"/>
                      <w:u w:val="none"/>
                    </w:rPr>
                  </w:pP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57F2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上游洪水位</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613C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50"/>
                      <w:rFonts w:ascii="Times New Roman" w:hAnsi="Times New Roman" w:eastAsia="宋体" w:cs="Times New Roman"/>
                      <w:sz w:val="21"/>
                      <w:szCs w:val="21"/>
                      <w:lang w:val="en-US" w:eastAsia="zh-CN" w:bidi="ar"/>
                    </w:rPr>
                    <w:t>m</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91A9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108.09</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449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108.09</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61E4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107.03</w:t>
                  </w:r>
                </w:p>
              </w:tc>
            </w:tr>
            <w:tr w14:paraId="7F2E5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7C299">
                  <w:pPr>
                    <w:jc w:val="center"/>
                    <w:rPr>
                      <w:rFonts w:hint="default" w:ascii="Times New Roman" w:hAnsi="Times New Roman" w:eastAsia="宋体" w:cs="Times New Roman"/>
                      <w:i w:val="0"/>
                      <w:iCs w:val="0"/>
                      <w:color w:val="000000"/>
                      <w:sz w:val="21"/>
                      <w:szCs w:val="21"/>
                      <w:u w:val="none"/>
                    </w:rPr>
                  </w:pP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EE63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下游洪水位</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C6C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50"/>
                      <w:rFonts w:ascii="Times New Roman" w:hAnsi="Times New Roman" w:eastAsia="宋体" w:cs="Times New Roman"/>
                      <w:sz w:val="21"/>
                      <w:szCs w:val="21"/>
                      <w:lang w:val="en-US" w:eastAsia="zh-CN" w:bidi="ar"/>
                    </w:rPr>
                    <w:t>m</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87A7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107.13</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248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107.13</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202E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106.36</w:t>
                  </w:r>
                </w:p>
              </w:tc>
            </w:tr>
            <w:tr w14:paraId="34736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2F24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四</w:t>
                  </w: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5A8A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工程规模</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9A115">
                  <w:pPr>
                    <w:jc w:val="center"/>
                    <w:rPr>
                      <w:rFonts w:hint="default" w:ascii="Times New Roman" w:hAnsi="Times New Roman" w:eastAsia="宋体" w:cs="Times New Roman"/>
                      <w:i w:val="0"/>
                      <w:iCs w:val="0"/>
                      <w:color w:val="000000"/>
                      <w:sz w:val="21"/>
                      <w:szCs w:val="21"/>
                      <w:u w:val="none"/>
                    </w:rPr>
                  </w:pP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D7D55">
                  <w:pPr>
                    <w:jc w:val="center"/>
                    <w:rPr>
                      <w:rFonts w:hint="default" w:ascii="Times New Roman" w:hAnsi="Times New Roman" w:eastAsia="宋体" w:cs="Times New Roman"/>
                      <w:i w:val="0"/>
                      <w:iCs w:val="0"/>
                      <w:color w:val="000000"/>
                      <w:sz w:val="21"/>
                      <w:szCs w:val="21"/>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4EC90">
                  <w:pPr>
                    <w:jc w:val="center"/>
                    <w:rPr>
                      <w:rFonts w:hint="default" w:ascii="Times New Roman" w:hAnsi="Times New Roman" w:eastAsia="宋体" w:cs="Times New Roman"/>
                      <w:i w:val="0"/>
                      <w:iCs w:val="0"/>
                      <w:color w:val="000000"/>
                      <w:sz w:val="21"/>
                      <w:szCs w:val="21"/>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FF8CD">
                  <w:pPr>
                    <w:jc w:val="center"/>
                    <w:rPr>
                      <w:rFonts w:hint="default" w:ascii="Times New Roman" w:hAnsi="Times New Roman" w:eastAsia="宋体" w:cs="Times New Roman"/>
                      <w:i w:val="0"/>
                      <w:iCs w:val="0"/>
                      <w:color w:val="000000"/>
                      <w:sz w:val="21"/>
                      <w:szCs w:val="21"/>
                      <w:u w:val="none"/>
                    </w:rPr>
                  </w:pPr>
                </w:p>
              </w:tc>
            </w:tr>
            <w:tr w14:paraId="48DB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36708">
                  <w:pPr>
                    <w:keepNext w:val="0"/>
                    <w:keepLines w:val="0"/>
                    <w:widowControl/>
                    <w:suppressLineNumbers w:val="0"/>
                    <w:jc w:val="center"/>
                    <w:textAlignment w:val="center"/>
                    <w:rPr>
                      <w:rFonts w:ascii="Times New Roman" w:hAnsi="Times New Roman" w:eastAsia="宋体" w:cs="Times New Roman"/>
                      <w:i w:val="0"/>
                      <w:iCs w:val="0"/>
                      <w:color w:val="505040"/>
                      <w:sz w:val="21"/>
                      <w:szCs w:val="21"/>
                      <w:u w:val="none"/>
                    </w:rPr>
                  </w:pPr>
                  <w:r>
                    <w:rPr>
                      <w:rFonts w:ascii="Times New Roman" w:hAnsi="Times New Roman" w:eastAsia="宋体" w:cs="Times New Roman"/>
                      <w:i w:val="0"/>
                      <w:iCs w:val="0"/>
                      <w:color w:val="505040"/>
                      <w:kern w:val="0"/>
                      <w:sz w:val="21"/>
                      <w:szCs w:val="21"/>
                      <w:u w:val="none"/>
                      <w:lang w:val="en-US" w:eastAsia="zh-CN" w:bidi="ar"/>
                    </w:rPr>
                    <w:t>1</w:t>
                  </w: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F82C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正常蓄水位</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5519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50"/>
                      <w:rFonts w:ascii="Times New Roman" w:hAnsi="Times New Roman" w:eastAsia="宋体" w:cs="Times New Roman"/>
                      <w:sz w:val="21"/>
                      <w:szCs w:val="21"/>
                      <w:lang w:val="en-US" w:eastAsia="zh-CN" w:bidi="ar"/>
                    </w:rPr>
                    <w:t>m</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14F0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101.10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3362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101.10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936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101.10</w:t>
                  </w:r>
                </w:p>
              </w:tc>
            </w:tr>
            <w:tr w14:paraId="04BFA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384B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6A7E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壅水库容(正常蓄水位下)</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F239F">
                  <w:pPr>
                    <w:jc w:val="center"/>
                    <w:rPr>
                      <w:rFonts w:hint="default" w:ascii="Times New Roman" w:hAnsi="Times New Roman" w:eastAsia="宋体" w:cs="Times New Roman"/>
                      <w:i w:val="0"/>
                      <w:iCs w:val="0"/>
                      <w:color w:val="000000"/>
                      <w:sz w:val="21"/>
                      <w:szCs w:val="21"/>
                      <w:u w:val="none"/>
                    </w:rPr>
                  </w:pP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CFAE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6385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21E1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w:t>
                  </w:r>
                </w:p>
              </w:tc>
            </w:tr>
            <w:tr w14:paraId="6093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1F85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w:t>
                  </w: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1A23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水闸等别</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E2F4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万 m ³</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1BB7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Ⅲ</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996E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Ⅲ</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E4EED">
                  <w:pPr>
                    <w:keepNext w:val="0"/>
                    <w:keepLines w:val="0"/>
                    <w:widowControl/>
                    <w:suppressLineNumbers w:val="0"/>
                    <w:jc w:val="center"/>
                    <w:textAlignment w:val="center"/>
                    <w:rPr>
                      <w:rFonts w:ascii="Times New Roman" w:hAnsi="Times New Roman" w:eastAsia="宋体" w:cs="Times New Roman"/>
                      <w:i w:val="0"/>
                      <w:iCs w:val="0"/>
                      <w:color w:val="203040"/>
                      <w:sz w:val="21"/>
                      <w:szCs w:val="21"/>
                      <w:u w:val="none"/>
                    </w:rPr>
                  </w:pPr>
                  <w:r>
                    <w:rPr>
                      <w:rFonts w:ascii="Times New Roman" w:hAnsi="Times New Roman" w:eastAsia="宋体" w:cs="Times New Roman"/>
                      <w:i w:val="0"/>
                      <w:iCs w:val="0"/>
                      <w:color w:val="203040"/>
                      <w:kern w:val="0"/>
                      <w:sz w:val="21"/>
                      <w:szCs w:val="21"/>
                      <w:u w:val="none"/>
                      <w:lang w:val="en-US" w:eastAsia="zh-CN" w:bidi="ar"/>
                    </w:rPr>
                    <w:t>Ⅲ</w:t>
                  </w:r>
                </w:p>
              </w:tc>
            </w:tr>
            <w:tr w14:paraId="7552A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6CD3D">
                  <w:pPr>
                    <w:jc w:val="center"/>
                    <w:rPr>
                      <w:rFonts w:hint="default" w:ascii="Times New Roman" w:hAnsi="Times New Roman" w:eastAsia="宋体" w:cs="Times New Roman"/>
                      <w:i w:val="0"/>
                      <w:iCs w:val="0"/>
                      <w:color w:val="000000"/>
                      <w:sz w:val="21"/>
                      <w:szCs w:val="21"/>
                      <w:u w:val="none"/>
                    </w:rPr>
                  </w:pP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4FB0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主要建筑物级别</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CA418">
                  <w:pPr>
                    <w:jc w:val="center"/>
                    <w:rPr>
                      <w:rFonts w:hint="default" w:ascii="Times New Roman" w:hAnsi="Times New Roman" w:eastAsia="宋体" w:cs="Times New Roman"/>
                      <w:i w:val="0"/>
                      <w:iCs w:val="0"/>
                      <w:color w:val="000000"/>
                      <w:sz w:val="21"/>
                      <w:szCs w:val="21"/>
                      <w:u w:val="none"/>
                    </w:rPr>
                  </w:pP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683C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6DF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8C9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w:t>
                  </w:r>
                </w:p>
              </w:tc>
            </w:tr>
            <w:tr w14:paraId="407F7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C2BFE">
                  <w:pPr>
                    <w:jc w:val="center"/>
                    <w:rPr>
                      <w:rFonts w:hint="default" w:ascii="Times New Roman" w:hAnsi="Times New Roman" w:eastAsia="宋体" w:cs="Times New Roman"/>
                      <w:i w:val="0"/>
                      <w:iCs w:val="0"/>
                      <w:color w:val="000000"/>
                      <w:sz w:val="21"/>
                      <w:szCs w:val="21"/>
                      <w:u w:val="none"/>
                    </w:rPr>
                  </w:pP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E090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次要建筑物级别</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34322">
                  <w:pPr>
                    <w:jc w:val="center"/>
                    <w:rPr>
                      <w:rFonts w:hint="default" w:ascii="Times New Roman" w:hAnsi="Times New Roman" w:eastAsia="宋体" w:cs="Times New Roman"/>
                      <w:i w:val="0"/>
                      <w:iCs w:val="0"/>
                      <w:color w:val="000000"/>
                      <w:sz w:val="21"/>
                      <w:szCs w:val="21"/>
                      <w:u w:val="none"/>
                    </w:rPr>
                  </w:pP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C564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9A9C">
                  <w:pPr>
                    <w:keepNext w:val="0"/>
                    <w:keepLines w:val="0"/>
                    <w:widowControl/>
                    <w:suppressLineNumbers w:val="0"/>
                    <w:jc w:val="center"/>
                    <w:textAlignment w:val="center"/>
                    <w:rPr>
                      <w:rFonts w:ascii="Times New Roman" w:hAnsi="Times New Roman" w:eastAsia="宋体" w:cs="Times New Roman"/>
                      <w:i w:val="0"/>
                      <w:iCs w:val="0"/>
                      <w:color w:val="404040"/>
                      <w:sz w:val="21"/>
                      <w:szCs w:val="21"/>
                      <w:u w:val="none"/>
                    </w:rPr>
                  </w:pPr>
                  <w:r>
                    <w:rPr>
                      <w:rFonts w:ascii="Times New Roman" w:hAnsi="Times New Roman" w:eastAsia="宋体" w:cs="Times New Roman"/>
                      <w:i w:val="0"/>
                      <w:iCs w:val="0"/>
                      <w:color w:val="404040"/>
                      <w:kern w:val="0"/>
                      <w:sz w:val="21"/>
                      <w:szCs w:val="21"/>
                      <w:u w:val="none"/>
                      <w:lang w:val="en-US" w:eastAsia="zh-CN" w:bidi="ar"/>
                    </w:rPr>
                    <w:t>4</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F3C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w:t>
                  </w:r>
                </w:p>
              </w:tc>
            </w:tr>
            <w:tr w14:paraId="07C6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33ED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w:t>
                  </w: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D000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护岸长度</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C8C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50"/>
                      <w:rFonts w:ascii="Times New Roman" w:hAnsi="Times New Roman" w:eastAsia="宋体" w:cs="Times New Roman"/>
                      <w:sz w:val="21"/>
                      <w:szCs w:val="21"/>
                      <w:lang w:val="en-US" w:eastAsia="zh-CN" w:bidi="ar"/>
                    </w:rPr>
                    <w:t>m</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1C76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AC5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8098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219</w:t>
                  </w:r>
                </w:p>
              </w:tc>
            </w:tr>
            <w:tr w14:paraId="09AC2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3A44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6</w:t>
                  </w: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A8AD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河道疏浚总长度</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362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50"/>
                      <w:rFonts w:ascii="Times New Roman" w:hAnsi="Times New Roman" w:eastAsia="宋体" w:cs="Times New Roman"/>
                      <w:sz w:val="21"/>
                      <w:szCs w:val="21"/>
                      <w:lang w:val="en-US" w:eastAsia="zh-CN" w:bidi="ar"/>
                    </w:rPr>
                    <w:t>m</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70E6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BD6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A582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w:t>
                  </w:r>
                </w:p>
              </w:tc>
            </w:tr>
            <w:tr w14:paraId="6045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677D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7</w:t>
                  </w: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37A8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人行桥</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0FEA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8"/>
                      <w:rFonts w:ascii="Times New Roman" w:hAnsi="Times New Roman" w:eastAsia="宋体" w:cs="Times New Roman"/>
                      <w:sz w:val="21"/>
                      <w:szCs w:val="21"/>
                      <w:lang w:val="en-US" w:eastAsia="zh-CN" w:bidi="ar"/>
                    </w:rPr>
                    <w:t>座</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AE86A">
                  <w:pPr>
                    <w:keepNext w:val="0"/>
                    <w:keepLines w:val="0"/>
                    <w:widowControl/>
                    <w:suppressLineNumbers w:val="0"/>
                    <w:jc w:val="center"/>
                    <w:textAlignment w:val="center"/>
                    <w:rPr>
                      <w:rFonts w:ascii="Times New Roman" w:hAnsi="Times New Roman" w:eastAsia="宋体" w:cs="Times New Roman"/>
                      <w:i w:val="0"/>
                      <w:iCs w:val="0"/>
                      <w:color w:val="606050"/>
                      <w:sz w:val="21"/>
                      <w:szCs w:val="21"/>
                      <w:u w:val="none"/>
                    </w:rPr>
                  </w:pPr>
                  <w:r>
                    <w:rPr>
                      <w:rFonts w:ascii="Times New Roman" w:hAnsi="Times New Roman" w:eastAsia="宋体" w:cs="Times New Roman"/>
                      <w:i w:val="0"/>
                      <w:iCs w:val="0"/>
                      <w:color w:val="606050"/>
                      <w:kern w:val="0"/>
                      <w:sz w:val="21"/>
                      <w:szCs w:val="21"/>
                      <w:u w:val="none"/>
                      <w:lang w:val="en-US" w:eastAsia="zh-CN" w:bidi="ar"/>
                    </w:rPr>
                    <w:t>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CF38B">
                  <w:pPr>
                    <w:keepNext w:val="0"/>
                    <w:keepLines w:val="0"/>
                    <w:widowControl/>
                    <w:suppressLineNumbers w:val="0"/>
                    <w:jc w:val="center"/>
                    <w:textAlignment w:val="center"/>
                    <w:rPr>
                      <w:rFonts w:ascii="Times New Roman" w:hAnsi="Times New Roman" w:eastAsia="宋体" w:cs="Times New Roman"/>
                      <w:i w:val="0"/>
                      <w:iCs w:val="0"/>
                      <w:color w:val="606050"/>
                      <w:sz w:val="21"/>
                      <w:szCs w:val="21"/>
                      <w:u w:val="none"/>
                    </w:rPr>
                  </w:pPr>
                  <w:r>
                    <w:rPr>
                      <w:rFonts w:ascii="Times New Roman" w:hAnsi="Times New Roman" w:eastAsia="宋体" w:cs="Times New Roman"/>
                      <w:i w:val="0"/>
                      <w:iCs w:val="0"/>
                      <w:color w:val="606050"/>
                      <w:kern w:val="0"/>
                      <w:sz w:val="21"/>
                      <w:szCs w:val="21"/>
                      <w:u w:val="none"/>
                      <w:lang w:val="en-US" w:eastAsia="zh-CN" w:bidi="ar"/>
                    </w:rPr>
                    <w:t>1</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FD53D">
                  <w:pPr>
                    <w:keepNext w:val="0"/>
                    <w:keepLines w:val="0"/>
                    <w:widowControl/>
                    <w:suppressLineNumbers w:val="0"/>
                    <w:jc w:val="center"/>
                    <w:textAlignment w:val="center"/>
                    <w:rPr>
                      <w:rFonts w:ascii="Times New Roman" w:hAnsi="Times New Roman" w:eastAsia="宋体" w:cs="Times New Roman"/>
                      <w:i w:val="0"/>
                      <w:iCs w:val="0"/>
                      <w:color w:val="606050"/>
                      <w:sz w:val="21"/>
                      <w:szCs w:val="21"/>
                      <w:u w:val="none"/>
                    </w:rPr>
                  </w:pPr>
                  <w:r>
                    <w:rPr>
                      <w:rFonts w:ascii="Times New Roman" w:hAnsi="Times New Roman" w:eastAsia="宋体" w:cs="Times New Roman"/>
                      <w:i w:val="0"/>
                      <w:iCs w:val="0"/>
                      <w:color w:val="606050"/>
                      <w:kern w:val="0"/>
                      <w:sz w:val="21"/>
                      <w:szCs w:val="21"/>
                      <w:u w:val="none"/>
                      <w:lang w:val="en-US" w:eastAsia="zh-CN" w:bidi="ar"/>
                    </w:rPr>
                    <w:t>1</w:t>
                  </w:r>
                </w:p>
              </w:tc>
            </w:tr>
            <w:tr w14:paraId="5D12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61DC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8</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D5F6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设备控制房建筑面积</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875C3">
                  <w:pPr>
                    <w:keepNext w:val="0"/>
                    <w:keepLines w:val="0"/>
                    <w:widowControl/>
                    <w:suppressLineNumbers w:val="0"/>
                    <w:ind w:firstLineChars="100"/>
                    <w:jc w:val="center"/>
                    <w:textAlignment w:val="center"/>
                    <w:rPr>
                      <w:rFonts w:ascii="Times New Roman" w:hAnsi="Times New Roman" w:eastAsia="宋体" w:cs="Times New Roman"/>
                      <w:i w:val="0"/>
                      <w:iCs w:val="0"/>
                      <w:color w:val="000000"/>
                      <w:sz w:val="21"/>
                      <w:szCs w:val="21"/>
                      <w:u w:val="none"/>
                    </w:rPr>
                  </w:pPr>
                  <w:r>
                    <w:rPr>
                      <w:rStyle w:val="246"/>
                      <w:rFonts w:ascii="Times New Roman" w:hAnsi="Times New Roman" w:eastAsia="宋体" w:cs="Times New Roman"/>
                      <w:sz w:val="21"/>
                      <w:szCs w:val="21"/>
                      <w:lang w:val="en-US" w:eastAsia="zh-CN" w:bidi="ar"/>
                    </w:rPr>
                    <w:t>m²</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163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240</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CE62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777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140</w:t>
                  </w:r>
                </w:p>
              </w:tc>
            </w:tr>
            <w:tr w14:paraId="2B06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D5C2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五</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7F5B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建设征地及移民安置</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B51B">
                  <w:pPr>
                    <w:jc w:val="center"/>
                    <w:rPr>
                      <w:rFonts w:hint="eastAsia"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99B94">
                  <w:pPr>
                    <w:jc w:val="center"/>
                    <w:rPr>
                      <w:rFonts w:hint="default" w:ascii="Times New Roman" w:hAnsi="Times New Roman" w:eastAsia="宋体" w:cs="Times New Roman"/>
                      <w:i w:val="0"/>
                      <w:iCs w:val="0"/>
                      <w:color w:val="000000"/>
                      <w:sz w:val="21"/>
                      <w:szCs w:val="21"/>
                      <w:u w:val="none"/>
                    </w:rPr>
                  </w:pP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E75A2">
                  <w:pPr>
                    <w:jc w:val="center"/>
                    <w:rPr>
                      <w:rFonts w:hint="default" w:ascii="Times New Roman" w:hAnsi="Times New Roman" w:eastAsia="宋体" w:cs="Times New Roman"/>
                      <w:i w:val="0"/>
                      <w:iCs w:val="0"/>
                      <w:color w:val="000000"/>
                      <w:sz w:val="21"/>
                      <w:szCs w:val="21"/>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7D688">
                  <w:pPr>
                    <w:jc w:val="center"/>
                    <w:rPr>
                      <w:rFonts w:hint="default" w:ascii="Times New Roman" w:hAnsi="Times New Roman" w:eastAsia="宋体" w:cs="Times New Roman"/>
                      <w:i w:val="0"/>
                      <w:iCs w:val="0"/>
                      <w:color w:val="000000"/>
                      <w:sz w:val="21"/>
                      <w:szCs w:val="21"/>
                      <w:u w:val="none"/>
                    </w:rPr>
                  </w:pPr>
                </w:p>
              </w:tc>
            </w:tr>
            <w:tr w14:paraId="1D59D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65CF0">
                  <w:pPr>
                    <w:keepNext w:val="0"/>
                    <w:keepLines w:val="0"/>
                    <w:widowControl/>
                    <w:suppressLineNumbers w:val="0"/>
                    <w:jc w:val="center"/>
                    <w:textAlignment w:val="center"/>
                    <w:rPr>
                      <w:rFonts w:ascii="Times New Roman" w:hAnsi="Times New Roman" w:eastAsia="宋体" w:cs="Times New Roman"/>
                      <w:i w:val="0"/>
                      <w:iCs w:val="0"/>
                      <w:color w:val="606050"/>
                      <w:sz w:val="21"/>
                      <w:szCs w:val="21"/>
                      <w:u w:val="none"/>
                    </w:rPr>
                  </w:pPr>
                  <w:r>
                    <w:rPr>
                      <w:rFonts w:ascii="Times New Roman" w:hAnsi="Times New Roman" w:eastAsia="宋体" w:cs="Times New Roman"/>
                      <w:i w:val="0"/>
                      <w:iCs w:val="0"/>
                      <w:color w:val="606050"/>
                      <w:kern w:val="0"/>
                      <w:sz w:val="21"/>
                      <w:szCs w:val="21"/>
                      <w:u w:val="none"/>
                      <w:lang w:val="en-US" w:eastAsia="zh-CN" w:bidi="ar"/>
                    </w:rPr>
                    <w:t>1</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C0C2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工程永久占地</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34045">
                  <w:pPr>
                    <w:keepNext w:val="0"/>
                    <w:keepLines w:val="0"/>
                    <w:widowControl/>
                    <w:suppressLineNumbers w:val="0"/>
                    <w:ind w:firstLineChars="10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亩</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2DC3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2ADC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E79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2.85</w:t>
                  </w:r>
                </w:p>
              </w:tc>
            </w:tr>
            <w:tr w14:paraId="21F31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A60C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6CF4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临时征用地</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766E">
                  <w:pPr>
                    <w:keepNext w:val="0"/>
                    <w:keepLines w:val="0"/>
                    <w:widowControl/>
                    <w:suppressLineNumbers w:val="0"/>
                    <w:ind w:firstLineChars="10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亩</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7197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1341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32E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16.2</w:t>
                  </w:r>
                </w:p>
              </w:tc>
            </w:tr>
            <w:tr w14:paraId="55A24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4D58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六</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5913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主要建筑物及设备</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A2778">
                  <w:pPr>
                    <w:jc w:val="center"/>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1D5B1">
                  <w:pPr>
                    <w:jc w:val="center"/>
                    <w:rPr>
                      <w:rFonts w:hint="default" w:ascii="Times New Roman" w:hAnsi="Times New Roman" w:eastAsia="宋体" w:cs="Times New Roman"/>
                      <w:i w:val="0"/>
                      <w:iCs w:val="0"/>
                      <w:color w:val="000000"/>
                      <w:sz w:val="21"/>
                      <w:szCs w:val="21"/>
                      <w:u w:val="none"/>
                    </w:rPr>
                  </w:pP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FA61C">
                  <w:pPr>
                    <w:jc w:val="center"/>
                    <w:rPr>
                      <w:rFonts w:hint="default" w:ascii="Times New Roman" w:hAnsi="Times New Roman" w:eastAsia="宋体" w:cs="Times New Roman"/>
                      <w:i w:val="0"/>
                      <w:iCs w:val="0"/>
                      <w:color w:val="000000"/>
                      <w:sz w:val="21"/>
                      <w:szCs w:val="21"/>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D14F">
                  <w:pPr>
                    <w:jc w:val="center"/>
                    <w:rPr>
                      <w:rFonts w:hint="default" w:ascii="Times New Roman" w:hAnsi="Times New Roman" w:eastAsia="宋体" w:cs="Times New Roman"/>
                      <w:i w:val="0"/>
                      <w:iCs w:val="0"/>
                      <w:color w:val="000000"/>
                      <w:sz w:val="21"/>
                      <w:szCs w:val="21"/>
                      <w:u w:val="none"/>
                    </w:rPr>
                  </w:pPr>
                </w:p>
              </w:tc>
            </w:tr>
            <w:tr w14:paraId="7233F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CEB33">
                  <w:pPr>
                    <w:keepNext w:val="0"/>
                    <w:keepLines w:val="0"/>
                    <w:widowControl/>
                    <w:suppressLineNumbers w:val="0"/>
                    <w:jc w:val="center"/>
                    <w:textAlignment w:val="center"/>
                    <w:rPr>
                      <w:rFonts w:ascii="Times New Roman" w:hAnsi="Times New Roman" w:eastAsia="宋体" w:cs="Times New Roman"/>
                      <w:i w:val="0"/>
                      <w:iCs w:val="0"/>
                      <w:color w:val="606040"/>
                      <w:sz w:val="21"/>
                      <w:szCs w:val="21"/>
                      <w:u w:val="none"/>
                    </w:rPr>
                  </w:pPr>
                  <w:r>
                    <w:rPr>
                      <w:rFonts w:ascii="Times New Roman" w:hAnsi="Times New Roman" w:eastAsia="宋体" w:cs="Times New Roman"/>
                      <w:i w:val="0"/>
                      <w:iCs w:val="0"/>
                      <w:color w:val="606040"/>
                      <w:kern w:val="0"/>
                      <w:sz w:val="21"/>
                      <w:szCs w:val="21"/>
                      <w:u w:val="none"/>
                      <w:lang w:val="en-US" w:eastAsia="zh-CN" w:bidi="ar"/>
                    </w:rPr>
                    <w:t>1</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6E97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泄洪冲砂闸</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2F9D">
                  <w:pPr>
                    <w:jc w:val="center"/>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BC09">
                  <w:pPr>
                    <w:jc w:val="center"/>
                    <w:rPr>
                      <w:rFonts w:hint="default" w:ascii="Times New Roman" w:hAnsi="Times New Roman" w:eastAsia="宋体" w:cs="Times New Roman"/>
                      <w:i w:val="0"/>
                      <w:iCs w:val="0"/>
                      <w:color w:val="000000"/>
                      <w:sz w:val="21"/>
                      <w:szCs w:val="21"/>
                      <w:u w:val="none"/>
                    </w:rPr>
                  </w:pP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8BBE7">
                  <w:pPr>
                    <w:jc w:val="center"/>
                    <w:rPr>
                      <w:rFonts w:hint="default" w:ascii="Times New Roman" w:hAnsi="Times New Roman" w:eastAsia="宋体" w:cs="Times New Roman"/>
                      <w:i w:val="0"/>
                      <w:iCs w:val="0"/>
                      <w:color w:val="000000"/>
                      <w:sz w:val="21"/>
                      <w:szCs w:val="21"/>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0999">
                  <w:pPr>
                    <w:jc w:val="center"/>
                    <w:rPr>
                      <w:rFonts w:hint="default" w:ascii="Times New Roman" w:hAnsi="Times New Roman" w:eastAsia="宋体" w:cs="Times New Roman"/>
                      <w:i w:val="0"/>
                      <w:iCs w:val="0"/>
                      <w:color w:val="000000"/>
                      <w:sz w:val="21"/>
                      <w:szCs w:val="21"/>
                      <w:u w:val="none"/>
                    </w:rPr>
                  </w:pPr>
                </w:p>
              </w:tc>
            </w:tr>
            <w:tr w14:paraId="26694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B2021E">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B58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地震基本烈度/设防烈度</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353C9">
                  <w:pPr>
                    <w:keepNext w:val="0"/>
                    <w:keepLines w:val="0"/>
                    <w:widowControl/>
                    <w:suppressLineNumbers w:val="0"/>
                    <w:ind w:firstLineChars="10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度</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A1F8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VI</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B605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VI</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DF82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VI</w:t>
                  </w:r>
                </w:p>
              </w:tc>
            </w:tr>
            <w:tr w14:paraId="06D2D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F8E48">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183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闸底板高程</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A69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6"/>
                      <w:rFonts w:ascii="Times New Roman" w:hAnsi="Times New Roman" w:eastAsia="宋体" w:cs="Times New Roman"/>
                      <w:sz w:val="21"/>
                      <w:szCs w:val="21"/>
                      <w:lang w:val="en-US" w:eastAsia="zh-CN" w:bidi="ar"/>
                    </w:rPr>
                    <w:t>m</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8D5A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99.3</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2729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99.3</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4420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98.1</w:t>
                  </w:r>
                </w:p>
              </w:tc>
            </w:tr>
            <w:tr w14:paraId="317C1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783A1">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7B45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门高/最大闸堰高</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80D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6"/>
                      <w:rFonts w:ascii="Times New Roman" w:hAnsi="Times New Roman" w:eastAsia="宋体" w:cs="Times New Roman"/>
                      <w:sz w:val="21"/>
                      <w:szCs w:val="21"/>
                      <w:lang w:val="en-US" w:eastAsia="zh-CN" w:bidi="ar"/>
                    </w:rPr>
                    <w:t>m</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EDBB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1.8/5.76</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71DD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1.8/5.76</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DE0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3.3/13.2</w:t>
                  </w:r>
                </w:p>
              </w:tc>
            </w:tr>
            <w:tr w14:paraId="5E48C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C792B">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0D29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闸顶高程</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2CC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6"/>
                      <w:rFonts w:ascii="Times New Roman" w:hAnsi="Times New Roman" w:eastAsia="宋体" w:cs="Times New Roman"/>
                      <w:sz w:val="21"/>
                      <w:szCs w:val="21"/>
                      <w:lang w:val="en-US" w:eastAsia="zh-CN" w:bidi="ar"/>
                    </w:rPr>
                    <w:t>m</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F105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102.00</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A45C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102.00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34A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107.50</w:t>
                  </w:r>
                </w:p>
              </w:tc>
            </w:tr>
            <w:tr w14:paraId="498D8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042BD">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0757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单扇水闸宽度</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6E91">
                  <w:pPr>
                    <w:keepNext w:val="0"/>
                    <w:keepLines w:val="0"/>
                    <w:widowControl/>
                    <w:suppressLineNumbers w:val="0"/>
                    <w:jc w:val="center"/>
                    <w:textAlignment w:val="bottom"/>
                    <w:rPr>
                      <w:rFonts w:ascii="Times New Roman" w:hAnsi="Times New Roman" w:eastAsia="宋体" w:cs="Times New Roman"/>
                      <w:i w:val="0"/>
                      <w:iCs w:val="0"/>
                      <w:color w:val="000000"/>
                      <w:sz w:val="21"/>
                      <w:szCs w:val="21"/>
                      <w:u w:val="none"/>
                    </w:rPr>
                  </w:pPr>
                  <w:r>
                    <w:rPr>
                      <w:rStyle w:val="246"/>
                      <w:rFonts w:ascii="Times New Roman" w:hAnsi="Times New Roman" w:eastAsia="宋体" w:cs="Times New Roman"/>
                      <w:sz w:val="21"/>
                      <w:szCs w:val="21"/>
                      <w:lang w:val="en-US" w:eastAsia="zh-CN" w:bidi="ar"/>
                    </w:rPr>
                    <w:t>m</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144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3.0</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25F4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267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7.1</w:t>
                  </w:r>
                </w:p>
              </w:tc>
            </w:tr>
            <w:tr w14:paraId="33875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AEBC0">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9B50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单扇水闸长度</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049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6"/>
                      <w:rFonts w:ascii="Times New Roman" w:hAnsi="Times New Roman" w:eastAsia="宋体" w:cs="Times New Roman"/>
                      <w:sz w:val="21"/>
                      <w:szCs w:val="21"/>
                      <w:lang w:val="en-US" w:eastAsia="zh-CN" w:bidi="ar"/>
                    </w:rPr>
                    <w:t>m</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B83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4.4</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BF7D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4.4</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796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w:t>
                  </w:r>
                </w:p>
              </w:tc>
            </w:tr>
            <w:tr w14:paraId="255AD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5D246">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EF56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水闸孔数</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FF9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孔</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9EB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20</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8B1E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76E1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8</w:t>
                  </w:r>
                </w:p>
              </w:tc>
            </w:tr>
            <w:tr w14:paraId="57F1D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2F3A0">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689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闸门宽×高</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6230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6"/>
                      <w:rFonts w:ascii="Times New Roman" w:hAnsi="Times New Roman" w:eastAsia="宋体" w:cs="Times New Roman"/>
                      <w:sz w:val="21"/>
                      <w:szCs w:val="21"/>
                      <w:lang w:val="en-US" w:eastAsia="zh-CN" w:bidi="ar"/>
                    </w:rPr>
                    <w:t>m</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504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3.0×1.8</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A292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3.0×1.8</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94D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7.1×3.3</w:t>
                  </w:r>
                </w:p>
              </w:tc>
            </w:tr>
            <w:tr w14:paraId="6A2DF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BDBDE">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CFEC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闸门形式</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8BA32">
                  <w:pPr>
                    <w:jc w:val="center"/>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2C55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水力自控</w:t>
                  </w:r>
                  <w:r>
                    <w:rPr>
                      <w:rStyle w:val="247"/>
                      <w:rFonts w:ascii="Times New Roman" w:hAnsi="Times New Roman" w:eastAsia="宋体" w:cs="Times New Roman"/>
                      <w:sz w:val="21"/>
                      <w:szCs w:val="21"/>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翻板闸门</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4EB2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水力自控</w:t>
                  </w:r>
                  <w:r>
                    <w:rPr>
                      <w:rStyle w:val="247"/>
                      <w:rFonts w:ascii="Times New Roman" w:hAnsi="Times New Roman" w:eastAsia="宋体" w:cs="Times New Roman"/>
                      <w:sz w:val="21"/>
                      <w:szCs w:val="21"/>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翻板闸门</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及1扇平</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板闸门</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22C9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平板钢闸门</w:t>
                  </w:r>
                </w:p>
              </w:tc>
            </w:tr>
            <w:tr w14:paraId="221B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974B2">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5562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启闭机数量</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26F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F713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7B8DB">
                  <w:pPr>
                    <w:keepNext w:val="0"/>
                    <w:keepLines w:val="0"/>
                    <w:widowControl/>
                    <w:suppressLineNumbers w:val="0"/>
                    <w:jc w:val="center"/>
                    <w:textAlignment w:val="center"/>
                    <w:rPr>
                      <w:rFonts w:ascii="Times New Roman" w:hAnsi="Times New Roman" w:eastAsia="宋体" w:cs="Times New Roman"/>
                      <w:i w:val="0"/>
                      <w:iCs w:val="0"/>
                      <w:color w:val="707060"/>
                      <w:sz w:val="21"/>
                      <w:szCs w:val="21"/>
                      <w:u w:val="none"/>
                    </w:rPr>
                  </w:pPr>
                  <w:r>
                    <w:rPr>
                      <w:rFonts w:ascii="Times New Roman" w:hAnsi="Times New Roman" w:eastAsia="宋体" w:cs="Times New Roman"/>
                      <w:i w:val="0"/>
                      <w:iCs w:val="0"/>
                      <w:color w:val="707060"/>
                      <w:kern w:val="0"/>
                      <w:sz w:val="21"/>
                      <w:szCs w:val="21"/>
                      <w:u w:val="none"/>
                      <w:lang w:val="en-US" w:eastAsia="zh-CN" w:bidi="ar"/>
                    </w:rPr>
                    <w:t>1</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B15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8</w:t>
                  </w:r>
                </w:p>
              </w:tc>
            </w:tr>
            <w:tr w14:paraId="42551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19ED0">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A3B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启闭机型号</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44BF">
                  <w:pPr>
                    <w:jc w:val="center"/>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2F62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无</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67B8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LQ100KN</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82F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QPQ2×100KN</w:t>
                  </w:r>
                </w:p>
              </w:tc>
            </w:tr>
            <w:tr w14:paraId="22C7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80B4F">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B66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消能型式</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60841">
                  <w:pPr>
                    <w:jc w:val="center"/>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93C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          </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83BFE">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FE3B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底流消能</w:t>
                  </w:r>
                </w:p>
              </w:tc>
            </w:tr>
            <w:tr w14:paraId="64CCC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F1481">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67BB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闸室段/消能段长度</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DE87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6"/>
                      <w:rFonts w:ascii="Times New Roman" w:hAnsi="Times New Roman" w:eastAsia="宋体" w:cs="Times New Roman"/>
                      <w:sz w:val="21"/>
                      <w:szCs w:val="21"/>
                      <w:lang w:val="en-US" w:eastAsia="zh-CN" w:bidi="ar"/>
                    </w:rPr>
                    <w:t>m</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8D19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4.5/0</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2F3A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4.5/0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4B3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10/26</w:t>
                  </w:r>
                </w:p>
              </w:tc>
            </w:tr>
            <w:tr w14:paraId="5102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D1C8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F1B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左右岸水轮泵/灌溉闸</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265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6"/>
                      <w:rFonts w:ascii="Times New Roman" w:hAnsi="Times New Roman" w:eastAsia="宋体" w:cs="Times New Roman"/>
                      <w:sz w:val="21"/>
                      <w:szCs w:val="21"/>
                      <w:lang w:val="en-US" w:eastAsia="zh-CN" w:bidi="ar"/>
                    </w:rPr>
                    <w:t>m</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47E0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2532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550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0</w:t>
                  </w:r>
                </w:p>
              </w:tc>
            </w:tr>
            <w:tr w14:paraId="003A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25501">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EE8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左岸闸顶高程</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09B5">
                  <w:pPr>
                    <w:keepNext w:val="0"/>
                    <w:keepLines w:val="0"/>
                    <w:widowControl/>
                    <w:suppressLineNumbers w:val="0"/>
                    <w:jc w:val="center"/>
                    <w:textAlignment w:val="bottom"/>
                    <w:rPr>
                      <w:rFonts w:ascii="Times New Roman" w:hAnsi="Times New Roman" w:eastAsia="宋体" w:cs="Times New Roman"/>
                      <w:i w:val="0"/>
                      <w:iCs w:val="0"/>
                      <w:color w:val="000000"/>
                      <w:sz w:val="21"/>
                      <w:szCs w:val="21"/>
                      <w:u w:val="none"/>
                    </w:rPr>
                  </w:pPr>
                  <w:r>
                    <w:rPr>
                      <w:rStyle w:val="246"/>
                      <w:rFonts w:ascii="Times New Roman" w:hAnsi="Times New Roman" w:eastAsia="宋体" w:cs="Times New Roman"/>
                      <w:sz w:val="21"/>
                      <w:szCs w:val="21"/>
                      <w:lang w:val="en-US" w:eastAsia="zh-CN" w:bidi="ar"/>
                    </w:rPr>
                    <w:t>m</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D9B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101.20</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D840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101.20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E16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102.00</w:t>
                  </w:r>
                </w:p>
              </w:tc>
            </w:tr>
            <w:tr w14:paraId="38120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E8E82">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F3C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左岸闸顶宽度</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E84E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6"/>
                      <w:rFonts w:ascii="Times New Roman" w:hAnsi="Times New Roman" w:eastAsia="宋体" w:cs="Times New Roman"/>
                      <w:sz w:val="21"/>
                      <w:szCs w:val="21"/>
                      <w:lang w:val="en-US" w:eastAsia="zh-CN" w:bidi="ar"/>
                    </w:rPr>
                    <w:t>m</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1D8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3.6</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1797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3.6</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754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4.4</w:t>
                  </w:r>
                </w:p>
              </w:tc>
            </w:tr>
            <w:tr w14:paraId="681A9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5D02BF">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956F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左岸闸底高程</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9D2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6"/>
                      <w:rFonts w:ascii="Times New Roman" w:hAnsi="Times New Roman" w:eastAsia="宋体" w:cs="Times New Roman"/>
                      <w:sz w:val="21"/>
                      <w:szCs w:val="21"/>
                      <w:lang w:val="en-US" w:eastAsia="zh-CN" w:bidi="ar"/>
                    </w:rPr>
                    <w:t>m</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170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98.1</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4EDC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98.1</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D8E5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98.1</w:t>
                  </w:r>
                </w:p>
              </w:tc>
            </w:tr>
            <w:tr w14:paraId="1816B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E86809">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627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左岸水轮泵台数</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9545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C24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3B64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B1E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w:t>
                  </w:r>
                </w:p>
              </w:tc>
            </w:tr>
            <w:tr w14:paraId="3880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F4FDF">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5195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左岸水泵型号</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3B4F0">
                  <w:pPr>
                    <w:jc w:val="center"/>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6BF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D30-4</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5D40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D30-4</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B934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D30-4</w:t>
                  </w:r>
                </w:p>
              </w:tc>
            </w:tr>
            <w:tr w14:paraId="13A42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D2AA5">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A04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左岸检修闸门尺寸</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F480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6"/>
                      <w:rFonts w:ascii="Times New Roman" w:hAnsi="Times New Roman" w:eastAsia="宋体" w:cs="Times New Roman"/>
                      <w:sz w:val="21"/>
                      <w:szCs w:val="21"/>
                      <w:lang w:val="en-US" w:eastAsia="zh-CN" w:bidi="ar"/>
                    </w:rPr>
                    <w:t>m</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938B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1.2×3.0</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8D15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1.2×3.0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649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1.7×3.5</w:t>
                  </w:r>
                </w:p>
              </w:tc>
            </w:tr>
            <w:tr w14:paraId="1CB34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C8B43">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A4A1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右岸闸顶高程</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757E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Style w:val="246"/>
                      <w:rFonts w:ascii="Times New Roman" w:hAnsi="Times New Roman" w:eastAsia="宋体" w:cs="Times New Roman"/>
                      <w:sz w:val="21"/>
                      <w:szCs w:val="21"/>
                      <w:lang w:val="en-US" w:eastAsia="zh-CN" w:bidi="ar"/>
                    </w:rPr>
                    <w:t>m</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DEF8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101.20</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2D73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101.20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7781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102.00</w:t>
                  </w:r>
                </w:p>
              </w:tc>
            </w:tr>
            <w:tr w14:paraId="3339E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533111">
                  <w:pPr>
                    <w:jc w:val="center"/>
                    <w:rPr>
                      <w:rFonts w:hint="eastAsia"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CA1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右岸闸顶宽度</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A37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165F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14.7</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DED3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14.7</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9238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14.7</w:t>
                  </w:r>
                </w:p>
              </w:tc>
            </w:tr>
            <w:tr w14:paraId="0A99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54FD1">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0434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右岸闸底高程</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856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62D5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98.1</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2702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98.1</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297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98.1</w:t>
                  </w:r>
                </w:p>
              </w:tc>
            </w:tr>
            <w:tr w14:paraId="08F41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FD679">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78E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右岸水轮泵台数</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3A4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A71B3">
                  <w:pPr>
                    <w:keepNext w:val="0"/>
                    <w:keepLines w:val="0"/>
                    <w:widowControl/>
                    <w:suppressLineNumbers w:val="0"/>
                    <w:jc w:val="center"/>
                    <w:textAlignment w:val="center"/>
                    <w:rPr>
                      <w:rFonts w:ascii="Times New Roman" w:hAnsi="Times New Roman" w:eastAsia="宋体" w:cs="Times New Roman"/>
                      <w:i w:val="0"/>
                      <w:iCs w:val="0"/>
                      <w:color w:val="505050"/>
                      <w:sz w:val="21"/>
                      <w:szCs w:val="21"/>
                      <w:u w:val="none"/>
                    </w:rPr>
                  </w:pPr>
                  <w:r>
                    <w:rPr>
                      <w:rFonts w:ascii="Times New Roman" w:hAnsi="Times New Roman" w:eastAsia="宋体" w:cs="Times New Roman"/>
                      <w:i w:val="0"/>
                      <w:iCs w:val="0"/>
                      <w:color w:val="505050"/>
                      <w:kern w:val="0"/>
                      <w:sz w:val="21"/>
                      <w:szCs w:val="21"/>
                      <w:u w:val="none"/>
                      <w:lang w:val="en-US" w:eastAsia="zh-CN" w:bidi="ar"/>
                    </w:rPr>
                    <w:t>1</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62B9C">
                  <w:pPr>
                    <w:keepNext w:val="0"/>
                    <w:keepLines w:val="0"/>
                    <w:widowControl/>
                    <w:suppressLineNumbers w:val="0"/>
                    <w:jc w:val="center"/>
                    <w:textAlignment w:val="center"/>
                    <w:rPr>
                      <w:rFonts w:ascii="Times New Roman" w:hAnsi="Times New Roman" w:eastAsia="宋体" w:cs="Times New Roman"/>
                      <w:i w:val="0"/>
                      <w:iCs w:val="0"/>
                      <w:color w:val="605040"/>
                      <w:sz w:val="21"/>
                      <w:szCs w:val="21"/>
                      <w:u w:val="none"/>
                    </w:rPr>
                  </w:pPr>
                  <w:r>
                    <w:rPr>
                      <w:rFonts w:ascii="Times New Roman" w:hAnsi="Times New Roman" w:eastAsia="宋体" w:cs="Times New Roman"/>
                      <w:i w:val="0"/>
                      <w:iCs w:val="0"/>
                      <w:color w:val="605040"/>
                      <w:kern w:val="0"/>
                      <w:sz w:val="21"/>
                      <w:szCs w:val="21"/>
                      <w:u w:val="none"/>
                      <w:lang w:val="en-US" w:eastAsia="zh-CN" w:bidi="ar"/>
                    </w:rPr>
                    <w:t>1</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E334">
                  <w:pPr>
                    <w:keepNext w:val="0"/>
                    <w:keepLines w:val="0"/>
                    <w:widowControl/>
                    <w:suppressLineNumbers w:val="0"/>
                    <w:jc w:val="center"/>
                    <w:textAlignment w:val="center"/>
                    <w:rPr>
                      <w:rFonts w:ascii="Times New Roman" w:hAnsi="Times New Roman" w:eastAsia="宋体" w:cs="Times New Roman"/>
                      <w:i w:val="0"/>
                      <w:iCs w:val="0"/>
                      <w:color w:val="605040"/>
                      <w:sz w:val="21"/>
                      <w:szCs w:val="21"/>
                      <w:u w:val="none"/>
                    </w:rPr>
                  </w:pPr>
                  <w:r>
                    <w:rPr>
                      <w:rFonts w:ascii="Times New Roman" w:hAnsi="Times New Roman" w:eastAsia="宋体" w:cs="Times New Roman"/>
                      <w:i w:val="0"/>
                      <w:iCs w:val="0"/>
                      <w:color w:val="605040"/>
                      <w:kern w:val="0"/>
                      <w:sz w:val="21"/>
                      <w:szCs w:val="21"/>
                      <w:u w:val="none"/>
                      <w:lang w:val="en-US" w:eastAsia="zh-CN" w:bidi="ar"/>
                    </w:rPr>
                    <w:t>1</w:t>
                  </w:r>
                </w:p>
              </w:tc>
            </w:tr>
            <w:tr w14:paraId="02881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EA34D">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94D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右岸水泵型号</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3645">
                  <w:pPr>
                    <w:jc w:val="center"/>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EF71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D40-10</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1FD2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D40-10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69F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D40-10</w:t>
                  </w:r>
                </w:p>
              </w:tc>
            </w:tr>
            <w:tr w14:paraId="68CC8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70103A">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DFFE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右岸检修闸门尺寸</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4BF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204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1.0×3.0</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3E76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1.0×3.0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EFB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1.0×3.5</w:t>
                  </w:r>
                </w:p>
              </w:tc>
            </w:tr>
            <w:tr w14:paraId="73998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226D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D980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右岸中开泵</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7CD75">
                  <w:pPr>
                    <w:jc w:val="center"/>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5B52D">
                  <w:pPr>
                    <w:jc w:val="center"/>
                    <w:rPr>
                      <w:rFonts w:hint="default" w:ascii="Times New Roman" w:hAnsi="Times New Roman" w:eastAsia="宋体" w:cs="Times New Roman"/>
                      <w:i w:val="0"/>
                      <w:iCs w:val="0"/>
                      <w:color w:val="000000"/>
                      <w:sz w:val="21"/>
                      <w:szCs w:val="21"/>
                      <w:u w:val="none"/>
                    </w:rPr>
                  </w:pP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06E02">
                  <w:pPr>
                    <w:jc w:val="center"/>
                    <w:rPr>
                      <w:rFonts w:hint="default" w:ascii="Times New Roman" w:hAnsi="Times New Roman" w:eastAsia="宋体" w:cs="Times New Roman"/>
                      <w:i w:val="0"/>
                      <w:iCs w:val="0"/>
                      <w:color w:val="000000"/>
                      <w:sz w:val="21"/>
                      <w:szCs w:val="21"/>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9483B">
                  <w:pPr>
                    <w:jc w:val="center"/>
                    <w:rPr>
                      <w:rFonts w:hint="default" w:ascii="Times New Roman" w:hAnsi="Times New Roman" w:eastAsia="宋体" w:cs="Times New Roman"/>
                      <w:i w:val="0"/>
                      <w:iCs w:val="0"/>
                      <w:color w:val="000000"/>
                      <w:sz w:val="21"/>
                      <w:szCs w:val="21"/>
                      <w:u w:val="none"/>
                    </w:rPr>
                  </w:pPr>
                </w:p>
              </w:tc>
            </w:tr>
            <w:tr w14:paraId="47C1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8A5DF">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219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泵房尺寸</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39D1B">
                  <w:pPr>
                    <w:keepNext w:val="0"/>
                    <w:keepLines w:val="0"/>
                    <w:widowControl/>
                    <w:suppressLineNumbers w:val="0"/>
                    <w:jc w:val="center"/>
                    <w:textAlignment w:val="bottom"/>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0B3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5.0×5.4</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2F49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5.0×5.4</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8866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5.5×6.0</w:t>
                  </w:r>
                </w:p>
              </w:tc>
            </w:tr>
            <w:tr w14:paraId="11399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E47FC">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9EE9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水泵型号</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2A75">
                  <w:pPr>
                    <w:jc w:val="center"/>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2A1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300S-32A</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4552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300S-32A</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8A93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300S-32A</w:t>
                  </w:r>
                </w:p>
              </w:tc>
            </w:tr>
            <w:tr w14:paraId="01D0E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3FBF9A">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63E5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水泵安装高程</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44A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B6FA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102.00</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2A86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102.00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A17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99.10</w:t>
                  </w:r>
                </w:p>
              </w:tc>
            </w:tr>
            <w:tr w14:paraId="0ED31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6DD42">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EA9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泵房电气屏高程</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0D51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0EF8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无</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952A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无</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A0B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107.5</w:t>
                  </w:r>
                </w:p>
              </w:tc>
            </w:tr>
            <w:tr w14:paraId="4E8CC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AD5E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2991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工作桥</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DCD6">
                  <w:pPr>
                    <w:jc w:val="center"/>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C268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T型梁板桥</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A188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T型梁板桥</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F63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简支板桥</w:t>
                  </w:r>
                </w:p>
              </w:tc>
            </w:tr>
            <w:tr w14:paraId="0929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A9359">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9A6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桥面宽</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5277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9BE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1.4</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FC4A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1.4</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4FD9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4.0</w:t>
                  </w:r>
                </w:p>
              </w:tc>
            </w:tr>
            <w:tr w14:paraId="2A25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9319E">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565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桥长</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4613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91A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93</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2B69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93</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887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99.4</w:t>
                  </w:r>
                </w:p>
              </w:tc>
            </w:tr>
            <w:tr w14:paraId="24CD8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0A36F">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ECE6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桥跨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6A2B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跨</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6AE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29BF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5B6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12</w:t>
                  </w:r>
                </w:p>
              </w:tc>
            </w:tr>
            <w:tr w14:paraId="2A3B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E598F">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E9B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桥面高程</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DBF9D">
                  <w:pPr>
                    <w:keepNext w:val="0"/>
                    <w:keepLines w:val="0"/>
                    <w:widowControl/>
                    <w:suppressLineNumbers w:val="0"/>
                    <w:jc w:val="center"/>
                    <w:textAlignment w:val="bottom"/>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20B6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102.05</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8227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102.05</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811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107.50</w:t>
                  </w:r>
                </w:p>
              </w:tc>
            </w:tr>
            <w:tr w14:paraId="6C865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3DF0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079E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护岸工程</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EE51">
                  <w:pPr>
                    <w:jc w:val="center"/>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FDA7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99D1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7C69">
                  <w:pPr>
                    <w:jc w:val="center"/>
                    <w:rPr>
                      <w:rFonts w:hint="default" w:ascii="Times New Roman" w:hAnsi="Times New Roman" w:eastAsia="宋体" w:cs="Times New Roman"/>
                      <w:i w:val="0"/>
                      <w:iCs w:val="0"/>
                      <w:color w:val="000000"/>
                      <w:sz w:val="21"/>
                      <w:szCs w:val="21"/>
                      <w:u w:val="none"/>
                    </w:rPr>
                  </w:pPr>
                </w:p>
              </w:tc>
            </w:tr>
            <w:tr w14:paraId="4765F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59A9A">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39D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重力式挡墙</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6DB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74D2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ADBE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17E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154</w:t>
                  </w:r>
                </w:p>
              </w:tc>
            </w:tr>
            <w:tr w14:paraId="77905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FEA32B">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2DE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生态挡墙</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6EAB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E714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30F8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63CD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65</w:t>
                  </w:r>
                </w:p>
              </w:tc>
            </w:tr>
            <w:tr w14:paraId="4D8F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8F21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5</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52D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设备控制房</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543B">
                  <w:pPr>
                    <w:jc w:val="center"/>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356DC">
                  <w:pPr>
                    <w:jc w:val="center"/>
                    <w:rPr>
                      <w:rFonts w:hint="default" w:ascii="Times New Roman" w:hAnsi="Times New Roman" w:eastAsia="宋体" w:cs="Times New Roman"/>
                      <w:i w:val="0"/>
                      <w:iCs w:val="0"/>
                      <w:color w:val="000000"/>
                      <w:sz w:val="21"/>
                      <w:szCs w:val="21"/>
                      <w:u w:val="none"/>
                    </w:rPr>
                  </w:pP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4221D">
                  <w:pPr>
                    <w:jc w:val="center"/>
                    <w:rPr>
                      <w:rFonts w:hint="default" w:ascii="Times New Roman" w:hAnsi="Times New Roman" w:eastAsia="宋体" w:cs="Times New Roman"/>
                      <w:i w:val="0"/>
                      <w:iCs w:val="0"/>
                      <w:color w:val="000000"/>
                      <w:sz w:val="21"/>
                      <w:szCs w:val="21"/>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6BA6">
                  <w:pPr>
                    <w:jc w:val="center"/>
                    <w:rPr>
                      <w:rFonts w:hint="default" w:ascii="Times New Roman" w:hAnsi="Times New Roman" w:eastAsia="宋体" w:cs="Times New Roman"/>
                      <w:i w:val="0"/>
                      <w:iCs w:val="0"/>
                      <w:color w:val="000000"/>
                      <w:sz w:val="21"/>
                      <w:szCs w:val="21"/>
                      <w:u w:val="none"/>
                    </w:rPr>
                  </w:pPr>
                </w:p>
              </w:tc>
            </w:tr>
            <w:tr w14:paraId="2627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3DE9A">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A3D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建筑面积</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87B0">
                  <w:pPr>
                    <w:keepNext w:val="0"/>
                    <w:keepLines w:val="0"/>
                    <w:widowControl/>
                    <w:suppressLineNumbers w:val="0"/>
                    <w:ind w:firstLineChars="10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m²</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E31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240</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010B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F0F6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140</w:t>
                  </w:r>
                </w:p>
              </w:tc>
            </w:tr>
            <w:tr w14:paraId="4BB7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27B96">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BC4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总用地面积</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CAA2">
                  <w:pPr>
                    <w:keepNext w:val="0"/>
                    <w:keepLines w:val="0"/>
                    <w:widowControl/>
                    <w:suppressLineNumbers w:val="0"/>
                    <w:ind w:firstLineChars="10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m²</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1FF3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240</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7E68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1BE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240</w:t>
                  </w:r>
                </w:p>
              </w:tc>
            </w:tr>
            <w:tr w14:paraId="511DD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4C83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七</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C65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施工组织</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14F18">
                  <w:pPr>
                    <w:jc w:val="center"/>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C7D7C">
                  <w:pPr>
                    <w:jc w:val="center"/>
                    <w:rPr>
                      <w:rFonts w:hint="default" w:ascii="Times New Roman" w:hAnsi="Times New Roman" w:eastAsia="宋体" w:cs="Times New Roman"/>
                      <w:i w:val="0"/>
                      <w:iCs w:val="0"/>
                      <w:color w:val="000000"/>
                      <w:sz w:val="21"/>
                      <w:szCs w:val="21"/>
                      <w:u w:val="none"/>
                    </w:rPr>
                  </w:pP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2D431">
                  <w:pPr>
                    <w:jc w:val="center"/>
                    <w:rPr>
                      <w:rFonts w:hint="default" w:ascii="Times New Roman" w:hAnsi="Times New Roman" w:eastAsia="宋体" w:cs="Times New Roman"/>
                      <w:i w:val="0"/>
                      <w:iCs w:val="0"/>
                      <w:color w:val="000000"/>
                      <w:sz w:val="21"/>
                      <w:szCs w:val="21"/>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EA120">
                  <w:pPr>
                    <w:jc w:val="center"/>
                    <w:rPr>
                      <w:rFonts w:hint="default" w:ascii="Times New Roman" w:hAnsi="Times New Roman" w:eastAsia="宋体" w:cs="Times New Roman"/>
                      <w:i w:val="0"/>
                      <w:iCs w:val="0"/>
                      <w:color w:val="000000"/>
                      <w:sz w:val="21"/>
                      <w:szCs w:val="21"/>
                      <w:u w:val="none"/>
                    </w:rPr>
                  </w:pPr>
                </w:p>
              </w:tc>
            </w:tr>
            <w:tr w14:paraId="0015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16492">
                  <w:pPr>
                    <w:keepNext w:val="0"/>
                    <w:keepLines w:val="0"/>
                    <w:widowControl/>
                    <w:suppressLineNumbers w:val="0"/>
                    <w:jc w:val="center"/>
                    <w:textAlignment w:val="center"/>
                    <w:rPr>
                      <w:rFonts w:ascii="Times New Roman" w:hAnsi="Times New Roman" w:eastAsia="宋体" w:cs="Times New Roman"/>
                      <w:i w:val="0"/>
                      <w:iCs w:val="0"/>
                      <w:color w:val="404040"/>
                      <w:sz w:val="21"/>
                      <w:szCs w:val="21"/>
                      <w:u w:val="none"/>
                    </w:rPr>
                  </w:pPr>
                  <w:r>
                    <w:rPr>
                      <w:rFonts w:ascii="Times New Roman" w:hAnsi="Times New Roman" w:eastAsia="宋体" w:cs="Times New Roman"/>
                      <w:i w:val="0"/>
                      <w:iCs w:val="0"/>
                      <w:color w:val="404040"/>
                      <w:kern w:val="0"/>
                      <w:sz w:val="21"/>
                      <w:szCs w:val="21"/>
                      <w:u w:val="none"/>
                      <w:lang w:val="en-US" w:eastAsia="zh-CN" w:bidi="ar"/>
                    </w:rPr>
                    <w:t>1</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09E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主体工程数量</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30E1B">
                  <w:pPr>
                    <w:jc w:val="center"/>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936EF">
                  <w:pPr>
                    <w:jc w:val="center"/>
                    <w:rPr>
                      <w:rFonts w:hint="default" w:ascii="Times New Roman" w:hAnsi="Times New Roman" w:eastAsia="宋体" w:cs="Times New Roman"/>
                      <w:i w:val="0"/>
                      <w:iCs w:val="0"/>
                      <w:color w:val="000000"/>
                      <w:sz w:val="21"/>
                      <w:szCs w:val="21"/>
                      <w:u w:val="none"/>
                    </w:rPr>
                  </w:pP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F0AB3">
                  <w:pPr>
                    <w:jc w:val="center"/>
                    <w:rPr>
                      <w:rFonts w:hint="default" w:ascii="Times New Roman" w:hAnsi="Times New Roman" w:eastAsia="宋体" w:cs="Times New Roman"/>
                      <w:i w:val="0"/>
                      <w:iCs w:val="0"/>
                      <w:color w:val="000000"/>
                      <w:sz w:val="21"/>
                      <w:szCs w:val="21"/>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20DB4">
                  <w:pPr>
                    <w:jc w:val="center"/>
                    <w:rPr>
                      <w:rFonts w:hint="default" w:ascii="Times New Roman" w:hAnsi="Times New Roman" w:eastAsia="宋体" w:cs="Times New Roman"/>
                      <w:i w:val="0"/>
                      <w:iCs w:val="0"/>
                      <w:color w:val="000000"/>
                      <w:sz w:val="21"/>
                      <w:szCs w:val="21"/>
                      <w:u w:val="none"/>
                    </w:rPr>
                  </w:pPr>
                </w:p>
              </w:tc>
            </w:tr>
            <w:tr w14:paraId="726B1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A92B3">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8514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土</w:t>
                  </w:r>
                  <w:r>
                    <w:rPr>
                      <w:rFonts w:hint="eastAsia" w:ascii="Times New Roman" w:hAnsi="Times New Roman" w:eastAsia="宋体" w:cs="Times New Roman"/>
                      <w:i w:val="0"/>
                      <w:iCs w:val="0"/>
                      <w:color w:val="000000"/>
                      <w:kern w:val="0"/>
                      <w:sz w:val="21"/>
                      <w:szCs w:val="21"/>
                      <w:u w:val="none"/>
                      <w:lang w:val="en-US" w:eastAsia="zh-CN" w:bidi="ar"/>
                    </w:rPr>
                    <w:t>石</w:t>
                  </w:r>
                  <w:r>
                    <w:rPr>
                      <w:rFonts w:ascii="Times New Roman" w:hAnsi="Times New Roman" w:eastAsia="宋体" w:cs="Times New Roman"/>
                      <w:i w:val="0"/>
                      <w:iCs w:val="0"/>
                      <w:color w:val="000000"/>
                      <w:kern w:val="0"/>
                      <w:sz w:val="21"/>
                      <w:szCs w:val="21"/>
                      <w:u w:val="none"/>
                      <w:lang w:val="en-US" w:eastAsia="zh-CN" w:bidi="ar"/>
                    </w:rPr>
                    <w:t>开挖</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09A4B">
                  <w:pPr>
                    <w:keepNext w:val="0"/>
                    <w:keepLines w:val="0"/>
                    <w:widowControl/>
                    <w:suppressLineNumbers w:val="0"/>
                    <w:ind w:firstLineChars="100"/>
                    <w:jc w:val="center"/>
                    <w:textAlignment w:val="center"/>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万</w:t>
                  </w:r>
                  <w:r>
                    <w:rPr>
                      <w:rFonts w:ascii="Times New Roman" w:hAnsi="Times New Roman" w:eastAsia="宋体" w:cs="Times New Roman"/>
                      <w:i w:val="0"/>
                      <w:iCs w:val="0"/>
                      <w:color w:val="000000"/>
                      <w:kern w:val="0"/>
                      <w:sz w:val="21"/>
                      <w:szCs w:val="21"/>
                      <w:u w:val="none"/>
                      <w:lang w:val="en-US" w:eastAsia="zh-CN" w:bidi="ar"/>
                    </w:rPr>
                    <w:t>m³</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A005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D967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CC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3.48</w:t>
                  </w:r>
                </w:p>
              </w:tc>
            </w:tr>
            <w:tr w14:paraId="3BB71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84F02">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13F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土石回填</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7A3A8">
                  <w:pPr>
                    <w:keepNext w:val="0"/>
                    <w:keepLines w:val="0"/>
                    <w:widowControl/>
                    <w:suppressLineNumbers w:val="0"/>
                    <w:ind w:firstLineChars="100"/>
                    <w:jc w:val="center"/>
                    <w:textAlignment w:val="center"/>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万</w:t>
                  </w:r>
                  <w:r>
                    <w:rPr>
                      <w:rFonts w:ascii="Times New Roman" w:hAnsi="Times New Roman" w:eastAsia="宋体" w:cs="Times New Roman"/>
                      <w:i w:val="0"/>
                      <w:iCs w:val="0"/>
                      <w:color w:val="000000"/>
                      <w:kern w:val="0"/>
                      <w:sz w:val="21"/>
                      <w:szCs w:val="21"/>
                      <w:u w:val="none"/>
                      <w:lang w:val="en-US" w:eastAsia="zh-CN" w:bidi="ar"/>
                    </w:rPr>
                    <w:t>m³</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4EB6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E9DD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AB1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1.97</w:t>
                  </w:r>
                </w:p>
              </w:tc>
            </w:tr>
            <w:tr w14:paraId="6210E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80EDF">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9771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土</w:t>
                  </w:r>
                  <w:r>
                    <w:rPr>
                      <w:rFonts w:ascii="Times New Roman" w:hAnsi="Times New Roman" w:eastAsia="宋体" w:cs="Times New Roman"/>
                      <w:i w:val="0"/>
                      <w:iCs w:val="0"/>
                      <w:color w:val="000000"/>
                      <w:kern w:val="0"/>
                      <w:sz w:val="21"/>
                      <w:szCs w:val="21"/>
                      <w:u w:val="none"/>
                      <w:lang w:val="en-US" w:eastAsia="zh-CN" w:bidi="ar"/>
                    </w:rPr>
                    <w:t>方</w:t>
                  </w:r>
                  <w:r>
                    <w:rPr>
                      <w:rFonts w:hint="eastAsia" w:ascii="Times New Roman" w:hAnsi="Times New Roman" w:eastAsia="宋体" w:cs="Times New Roman"/>
                      <w:i w:val="0"/>
                      <w:iCs w:val="0"/>
                      <w:color w:val="000000"/>
                      <w:kern w:val="0"/>
                      <w:sz w:val="21"/>
                      <w:szCs w:val="21"/>
                      <w:u w:val="none"/>
                      <w:lang w:val="en-US" w:eastAsia="zh-CN" w:bidi="ar"/>
                    </w:rPr>
                    <w:t>取土</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C6431">
                  <w:pPr>
                    <w:keepNext w:val="0"/>
                    <w:keepLines w:val="0"/>
                    <w:widowControl/>
                    <w:suppressLineNumbers w:val="0"/>
                    <w:ind w:firstLineChars="100"/>
                    <w:jc w:val="center"/>
                    <w:textAlignment w:val="center"/>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万</w:t>
                  </w:r>
                  <w:r>
                    <w:rPr>
                      <w:rFonts w:ascii="Times New Roman" w:hAnsi="Times New Roman" w:eastAsia="宋体" w:cs="Times New Roman"/>
                      <w:i w:val="0"/>
                      <w:iCs w:val="0"/>
                      <w:color w:val="000000"/>
                      <w:kern w:val="0"/>
                      <w:sz w:val="21"/>
                      <w:szCs w:val="21"/>
                      <w:u w:val="none"/>
                      <w:lang w:val="en-US" w:eastAsia="zh-CN" w:bidi="ar"/>
                    </w:rPr>
                    <w:t>m³</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DCD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02FFD">
                  <w:pPr>
                    <w:jc w:val="center"/>
                    <w:rPr>
                      <w:rFonts w:hint="eastAsia"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2BD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1.63</w:t>
                  </w:r>
                </w:p>
              </w:tc>
            </w:tr>
            <w:tr w14:paraId="6D922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DA889">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ED9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外弃土</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71563">
                  <w:pPr>
                    <w:keepNext w:val="0"/>
                    <w:keepLines w:val="0"/>
                    <w:widowControl/>
                    <w:suppressLineNumbers w:val="0"/>
                    <w:ind w:firstLineChars="100"/>
                    <w:jc w:val="center"/>
                    <w:textAlignment w:val="center"/>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万</w:t>
                  </w:r>
                  <w:r>
                    <w:rPr>
                      <w:rFonts w:ascii="Times New Roman" w:hAnsi="Times New Roman" w:eastAsia="宋体" w:cs="Times New Roman"/>
                      <w:i w:val="0"/>
                      <w:iCs w:val="0"/>
                      <w:color w:val="000000"/>
                      <w:kern w:val="0"/>
                      <w:sz w:val="21"/>
                      <w:szCs w:val="21"/>
                      <w:u w:val="none"/>
                      <w:lang w:val="en-US" w:eastAsia="zh-CN" w:bidi="ar"/>
                    </w:rPr>
                    <w:t>m³</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3E87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861F9">
                  <w:pPr>
                    <w:jc w:val="center"/>
                    <w:rPr>
                      <w:rFonts w:hint="eastAsia"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95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3.14</w:t>
                  </w:r>
                </w:p>
              </w:tc>
            </w:tr>
            <w:tr w14:paraId="1A4D3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5AEFA">
                  <w:pPr>
                    <w:jc w:val="center"/>
                    <w:rPr>
                      <w:rFonts w:hint="default" w:ascii="Times New Roman" w:hAnsi="Times New Roman" w:eastAsia="宋体" w:cs="Times New Roman"/>
                      <w:i w:val="0"/>
                      <w:iCs w:val="0"/>
                      <w:color w:val="000000"/>
                      <w:sz w:val="21"/>
                      <w:szCs w:val="21"/>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E355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钢筋</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E7BCC">
                  <w:pPr>
                    <w:keepNext w:val="0"/>
                    <w:keepLines w:val="0"/>
                    <w:widowControl/>
                    <w:suppressLineNumbers w:val="0"/>
                    <w:ind w:firstLineChars="100"/>
                    <w:jc w:val="center"/>
                    <w:textAlignment w:val="center"/>
                    <w:rPr>
                      <w:rFonts w:ascii="Times New Roman" w:hAnsi="Times New Roman" w:eastAsia="宋体" w:cs="Times New Roman"/>
                      <w:i w:val="0"/>
                      <w:iCs w:val="0"/>
                      <w:color w:val="405050"/>
                      <w:sz w:val="21"/>
                      <w:szCs w:val="21"/>
                      <w:u w:val="none"/>
                    </w:rPr>
                  </w:pPr>
                  <w:r>
                    <w:rPr>
                      <w:rFonts w:ascii="Times New Roman" w:hAnsi="Times New Roman" w:eastAsia="宋体" w:cs="Times New Roman"/>
                      <w:i w:val="0"/>
                      <w:iCs w:val="0"/>
                      <w:color w:val="405050"/>
                      <w:kern w:val="0"/>
                      <w:sz w:val="21"/>
                      <w:szCs w:val="21"/>
                      <w:u w:val="none"/>
                      <w:lang w:val="en-US" w:eastAsia="zh-CN" w:bidi="ar"/>
                    </w:rPr>
                    <w:t>t</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783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26407">
                  <w:pPr>
                    <w:jc w:val="center"/>
                    <w:rPr>
                      <w:rFonts w:hint="eastAsia"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D64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926.9</w:t>
                  </w:r>
                </w:p>
              </w:tc>
            </w:tr>
            <w:tr w14:paraId="574D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703C0554">
                  <w:pPr>
                    <w:jc w:val="left"/>
                    <w:rPr>
                      <w:rFonts w:hint="eastAsia"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C424A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混凝土</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A638">
                  <w:pPr>
                    <w:keepNext w:val="0"/>
                    <w:keepLines w:val="0"/>
                    <w:widowControl/>
                    <w:suppressLineNumbers w:val="0"/>
                    <w:ind w:firstLineChars="10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m³</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8BB5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4FA0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8D40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13816.53 </w:t>
                  </w:r>
                </w:p>
              </w:tc>
            </w:tr>
            <w:tr w14:paraId="23BEC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3B84B7B9">
                  <w:pPr>
                    <w:jc w:val="left"/>
                    <w:rPr>
                      <w:rFonts w:hint="default"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955F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模板</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ABF5">
                  <w:pPr>
                    <w:keepNext w:val="0"/>
                    <w:keepLines w:val="0"/>
                    <w:widowControl/>
                    <w:suppressLineNumbers w:val="0"/>
                    <w:ind w:firstLineChars="10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m²</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B660">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BE02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6D1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7366.16 </w:t>
                  </w:r>
                </w:p>
              </w:tc>
            </w:tr>
            <w:tr w14:paraId="58831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7A29C426">
                  <w:pPr>
                    <w:jc w:val="left"/>
                    <w:rPr>
                      <w:rFonts w:hint="default"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06308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帷幕灌浆</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1A1B">
                  <w:pPr>
                    <w:keepNext w:val="0"/>
                    <w:keepLines w:val="0"/>
                    <w:widowControl/>
                    <w:suppressLineNumbers w:val="0"/>
                    <w:ind w:firstLineChars="100"/>
                    <w:jc w:val="center"/>
                    <w:textAlignment w:val="bottom"/>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m</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979C">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A48F9">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B95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1047.9 </w:t>
                  </w:r>
                </w:p>
              </w:tc>
            </w:tr>
            <w:tr w14:paraId="0EB43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810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2 </w:t>
                  </w: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6F54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主要材料</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top"/>
                </w:tcPr>
                <w:p w14:paraId="265AD280">
                  <w:pPr>
                    <w:jc w:val="left"/>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7E84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660E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top"/>
                </w:tcPr>
                <w:p w14:paraId="01BD3766">
                  <w:pPr>
                    <w:jc w:val="left"/>
                    <w:rPr>
                      <w:rFonts w:hint="default" w:ascii="Times New Roman" w:hAnsi="Times New Roman" w:eastAsia="宋体" w:cs="Times New Roman"/>
                      <w:i w:val="0"/>
                      <w:iCs w:val="0"/>
                      <w:color w:val="000000"/>
                      <w:sz w:val="21"/>
                      <w:szCs w:val="21"/>
                      <w:u w:val="none"/>
                    </w:rPr>
                  </w:pPr>
                </w:p>
              </w:tc>
            </w:tr>
            <w:tr w14:paraId="20C4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42B8EA29">
                  <w:pPr>
                    <w:jc w:val="left"/>
                    <w:rPr>
                      <w:rFonts w:hint="default"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F15A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水泥</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C5E5">
                  <w:pPr>
                    <w:keepNext w:val="0"/>
                    <w:keepLines w:val="0"/>
                    <w:widowControl/>
                    <w:suppressLineNumbers w:val="0"/>
                    <w:ind w:firstLineChars="10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t</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4AD1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78AF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A8F8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79.44 </w:t>
                  </w:r>
                </w:p>
              </w:tc>
            </w:tr>
            <w:tr w14:paraId="1346A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5B426C01">
                  <w:pPr>
                    <w:jc w:val="left"/>
                    <w:rPr>
                      <w:rFonts w:hint="default"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B145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钢筋</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2F4C9">
                  <w:pPr>
                    <w:keepNext w:val="0"/>
                    <w:keepLines w:val="0"/>
                    <w:widowControl/>
                    <w:suppressLineNumbers w:val="0"/>
                    <w:ind w:firstLineChars="10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t</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B89A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7DCB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023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1003.77 </w:t>
                  </w:r>
                </w:p>
              </w:tc>
            </w:tr>
            <w:tr w14:paraId="3B9F1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7A2CEAF6">
                  <w:pPr>
                    <w:jc w:val="left"/>
                    <w:rPr>
                      <w:rFonts w:hint="default"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3D7A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砂子</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A136B">
                  <w:pPr>
                    <w:keepNext w:val="0"/>
                    <w:keepLines w:val="0"/>
                    <w:widowControl/>
                    <w:suppressLineNumbers w:val="0"/>
                    <w:ind w:firstLineChars="10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m³</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2563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98CF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03A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118.5 </w:t>
                  </w:r>
                </w:p>
              </w:tc>
            </w:tr>
            <w:tr w14:paraId="7718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2047D9E4">
                  <w:pPr>
                    <w:jc w:val="left"/>
                    <w:rPr>
                      <w:rFonts w:hint="default"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06116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碎石</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5C52">
                  <w:pPr>
                    <w:keepNext w:val="0"/>
                    <w:keepLines w:val="0"/>
                    <w:widowControl/>
                    <w:suppressLineNumbers w:val="0"/>
                    <w:ind w:firstLineChars="10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m³</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D804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2983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B7E3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328.29 </w:t>
                  </w:r>
                </w:p>
              </w:tc>
            </w:tr>
            <w:tr w14:paraId="6D8E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435DB772">
                  <w:pPr>
                    <w:jc w:val="left"/>
                    <w:rPr>
                      <w:rFonts w:hint="default"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00F6C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块石</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DF59E">
                  <w:pPr>
                    <w:keepNext w:val="0"/>
                    <w:keepLines w:val="0"/>
                    <w:widowControl/>
                    <w:suppressLineNumbers w:val="0"/>
                    <w:ind w:firstLineChars="10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m³</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098C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688C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40B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839.37 </w:t>
                  </w:r>
                </w:p>
              </w:tc>
            </w:tr>
            <w:tr w14:paraId="5AC29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1ACFED1C">
                  <w:pPr>
                    <w:jc w:val="left"/>
                    <w:rPr>
                      <w:rFonts w:hint="default"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CDD7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汽油</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78DDE">
                  <w:pPr>
                    <w:keepNext w:val="0"/>
                    <w:keepLines w:val="0"/>
                    <w:widowControl/>
                    <w:suppressLineNumbers w:val="0"/>
                    <w:ind w:firstLineChars="10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t</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7D0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5C36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0EEC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6.08 </w:t>
                  </w:r>
                </w:p>
              </w:tc>
            </w:tr>
            <w:tr w14:paraId="273E5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6DB61EB5">
                  <w:pPr>
                    <w:jc w:val="left"/>
                    <w:rPr>
                      <w:rFonts w:hint="default"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A62A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柴油</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FFB1A">
                  <w:pPr>
                    <w:keepNext w:val="0"/>
                    <w:keepLines w:val="0"/>
                    <w:widowControl/>
                    <w:suppressLineNumbers w:val="0"/>
                    <w:ind w:firstLineChars="10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t</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E78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3F69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7AD5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103.68 </w:t>
                  </w:r>
                </w:p>
              </w:tc>
            </w:tr>
            <w:tr w14:paraId="1A74D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6A3C0294">
                  <w:pPr>
                    <w:jc w:val="left"/>
                    <w:rPr>
                      <w:rFonts w:hint="default"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799E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商品砼</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5E0F7">
                  <w:pPr>
                    <w:keepNext w:val="0"/>
                    <w:keepLines w:val="0"/>
                    <w:widowControl/>
                    <w:suppressLineNumbers w:val="0"/>
                    <w:ind w:firstLineChars="10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m³</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8B0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7B94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620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15326 </w:t>
                  </w:r>
                </w:p>
              </w:tc>
            </w:tr>
            <w:tr w14:paraId="1024F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521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3 </w:t>
                  </w: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7BD0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所需劳动力</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top"/>
                </w:tcPr>
                <w:p w14:paraId="205F40F4">
                  <w:pPr>
                    <w:jc w:val="left"/>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top"/>
                </w:tcPr>
                <w:p w14:paraId="3A4C3E8C">
                  <w:pPr>
                    <w:jc w:val="left"/>
                    <w:rPr>
                      <w:rFonts w:hint="default" w:ascii="Times New Roman" w:hAnsi="Times New Roman" w:eastAsia="宋体" w:cs="Times New Roman"/>
                      <w:i w:val="0"/>
                      <w:iCs w:val="0"/>
                      <w:color w:val="000000"/>
                      <w:sz w:val="21"/>
                      <w:szCs w:val="21"/>
                      <w:u w:val="none"/>
                    </w:rPr>
                  </w:pP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1DD720">
                  <w:pPr>
                    <w:jc w:val="left"/>
                    <w:rPr>
                      <w:rFonts w:hint="default" w:ascii="Times New Roman" w:hAnsi="Times New Roman" w:eastAsia="宋体" w:cs="Times New Roman"/>
                      <w:i w:val="0"/>
                      <w:iCs w:val="0"/>
                      <w:color w:val="000000"/>
                      <w:sz w:val="21"/>
                      <w:szCs w:val="21"/>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top"/>
                </w:tcPr>
                <w:p w14:paraId="2E0883B1">
                  <w:pPr>
                    <w:jc w:val="left"/>
                    <w:rPr>
                      <w:rFonts w:hint="default" w:ascii="Times New Roman" w:hAnsi="Times New Roman" w:eastAsia="宋体" w:cs="Times New Roman"/>
                      <w:i w:val="0"/>
                      <w:iCs w:val="0"/>
                      <w:color w:val="000000"/>
                      <w:sz w:val="21"/>
                      <w:szCs w:val="21"/>
                      <w:u w:val="none"/>
                    </w:rPr>
                  </w:pPr>
                </w:p>
              </w:tc>
            </w:tr>
            <w:tr w14:paraId="68BD5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5E955BFF">
                  <w:pPr>
                    <w:jc w:val="left"/>
                    <w:rPr>
                      <w:rFonts w:hint="default"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E1A58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总工日</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230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万工日</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292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2F82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D05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25.15 </w:t>
                  </w:r>
                </w:p>
              </w:tc>
            </w:tr>
            <w:tr w14:paraId="745CB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30396717">
                  <w:pPr>
                    <w:jc w:val="left"/>
                    <w:rPr>
                      <w:rFonts w:hint="default"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93CAA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高峰工人数</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top"/>
                </w:tcPr>
                <w:p w14:paraId="0ED079F2">
                  <w:pPr>
                    <w:jc w:val="left"/>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096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00B9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223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55 </w:t>
                  </w:r>
                </w:p>
              </w:tc>
            </w:tr>
            <w:tr w14:paraId="0C7CD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B82F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4 </w:t>
                  </w: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B144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施工导流</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top"/>
                </w:tcPr>
                <w:p w14:paraId="2416B62A">
                  <w:pPr>
                    <w:jc w:val="left"/>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top"/>
                </w:tcPr>
                <w:p w14:paraId="7E5AD769">
                  <w:pPr>
                    <w:jc w:val="left"/>
                    <w:rPr>
                      <w:rFonts w:hint="default" w:ascii="Times New Roman" w:hAnsi="Times New Roman" w:eastAsia="宋体" w:cs="Times New Roman"/>
                      <w:i w:val="0"/>
                      <w:iCs w:val="0"/>
                      <w:color w:val="000000"/>
                      <w:sz w:val="21"/>
                      <w:szCs w:val="21"/>
                      <w:u w:val="none"/>
                    </w:rPr>
                  </w:pP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A83DDD9">
                  <w:pPr>
                    <w:jc w:val="left"/>
                    <w:rPr>
                      <w:rFonts w:hint="default" w:ascii="Times New Roman" w:hAnsi="Times New Roman" w:eastAsia="宋体" w:cs="Times New Roman"/>
                      <w:i w:val="0"/>
                      <w:iCs w:val="0"/>
                      <w:color w:val="000000"/>
                      <w:sz w:val="21"/>
                      <w:szCs w:val="21"/>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top"/>
                </w:tcPr>
                <w:p w14:paraId="251BBC09">
                  <w:pPr>
                    <w:jc w:val="left"/>
                    <w:rPr>
                      <w:rFonts w:hint="default" w:ascii="Times New Roman" w:hAnsi="Times New Roman" w:eastAsia="宋体" w:cs="Times New Roman"/>
                      <w:i w:val="0"/>
                      <w:iCs w:val="0"/>
                      <w:color w:val="000000"/>
                      <w:sz w:val="21"/>
                      <w:szCs w:val="21"/>
                      <w:u w:val="none"/>
                    </w:rPr>
                  </w:pPr>
                </w:p>
              </w:tc>
            </w:tr>
            <w:tr w14:paraId="0650F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493FBB6D">
                  <w:pPr>
                    <w:jc w:val="left"/>
                    <w:rPr>
                      <w:rFonts w:hint="default"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BB2B0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导流方式</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top"/>
                </w:tcPr>
                <w:p w14:paraId="471FECC8">
                  <w:pPr>
                    <w:jc w:val="left"/>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22C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621B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D68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分期围堰</w:t>
                  </w:r>
                </w:p>
              </w:tc>
            </w:tr>
            <w:tr w14:paraId="2CDC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F13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5 </w:t>
                  </w: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26D7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施工工期</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top"/>
                </w:tcPr>
                <w:p w14:paraId="7B436D9E">
                  <w:pPr>
                    <w:jc w:val="left"/>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top"/>
                </w:tcPr>
                <w:p w14:paraId="676B2FE9">
                  <w:pPr>
                    <w:jc w:val="left"/>
                    <w:rPr>
                      <w:rFonts w:hint="default" w:ascii="Times New Roman" w:hAnsi="Times New Roman" w:eastAsia="宋体" w:cs="Times New Roman"/>
                      <w:i w:val="0"/>
                      <w:iCs w:val="0"/>
                      <w:color w:val="000000"/>
                      <w:sz w:val="21"/>
                      <w:szCs w:val="21"/>
                      <w:u w:val="none"/>
                    </w:rPr>
                  </w:pP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81236DF">
                  <w:pPr>
                    <w:jc w:val="left"/>
                    <w:rPr>
                      <w:rFonts w:hint="default" w:ascii="Times New Roman" w:hAnsi="Times New Roman" w:eastAsia="宋体" w:cs="Times New Roman"/>
                      <w:i w:val="0"/>
                      <w:iCs w:val="0"/>
                      <w:color w:val="000000"/>
                      <w:sz w:val="21"/>
                      <w:szCs w:val="21"/>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top"/>
                </w:tcPr>
                <w:p w14:paraId="20157011">
                  <w:pPr>
                    <w:jc w:val="left"/>
                    <w:rPr>
                      <w:rFonts w:hint="default" w:ascii="Times New Roman" w:hAnsi="Times New Roman" w:eastAsia="宋体" w:cs="Times New Roman"/>
                      <w:i w:val="0"/>
                      <w:iCs w:val="0"/>
                      <w:color w:val="000000"/>
                      <w:sz w:val="21"/>
                      <w:szCs w:val="21"/>
                      <w:u w:val="none"/>
                    </w:rPr>
                  </w:pPr>
                </w:p>
              </w:tc>
            </w:tr>
            <w:tr w14:paraId="58F72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7187F968">
                  <w:pPr>
                    <w:jc w:val="left"/>
                    <w:rPr>
                      <w:rFonts w:hint="default"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0638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准备期</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top"/>
                </w:tcPr>
                <w:p w14:paraId="25940301">
                  <w:pPr>
                    <w:jc w:val="left"/>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4014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A181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FB8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1个月</w:t>
                  </w:r>
                </w:p>
              </w:tc>
            </w:tr>
            <w:tr w14:paraId="4E36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34DA8349">
                  <w:pPr>
                    <w:jc w:val="left"/>
                    <w:rPr>
                      <w:rFonts w:hint="default"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7C28D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主体工程施工期</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top"/>
                </w:tcPr>
                <w:p w14:paraId="2178772C">
                  <w:pPr>
                    <w:jc w:val="left"/>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E888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60F8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10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9个月</w:t>
                  </w:r>
                </w:p>
              </w:tc>
            </w:tr>
            <w:tr w14:paraId="7EAB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662D232E">
                  <w:pPr>
                    <w:jc w:val="left"/>
                    <w:rPr>
                      <w:rFonts w:hint="default"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C13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完建期</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top"/>
                </w:tcPr>
                <w:p w14:paraId="6279FE4E">
                  <w:pPr>
                    <w:jc w:val="left"/>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9231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95AE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82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1个月</w:t>
                  </w:r>
                </w:p>
              </w:tc>
            </w:tr>
            <w:tr w14:paraId="0FD29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5A457295">
                  <w:pPr>
                    <w:jc w:val="left"/>
                    <w:rPr>
                      <w:rFonts w:hint="default"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693E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总工期</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top"/>
                </w:tcPr>
                <w:p w14:paraId="372FBF05">
                  <w:pPr>
                    <w:jc w:val="left"/>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1E8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46D3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18C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11个月</w:t>
                  </w:r>
                </w:p>
              </w:tc>
            </w:tr>
            <w:tr w14:paraId="1653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0736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六</w:t>
                  </w: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8D7D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经济指标</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top"/>
                </w:tcPr>
                <w:p w14:paraId="48850902">
                  <w:pPr>
                    <w:jc w:val="left"/>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top"/>
                </w:tcPr>
                <w:p w14:paraId="5CDA7BD1">
                  <w:pPr>
                    <w:jc w:val="left"/>
                    <w:rPr>
                      <w:rFonts w:hint="default" w:ascii="Times New Roman" w:hAnsi="Times New Roman" w:eastAsia="宋体" w:cs="Times New Roman"/>
                      <w:i w:val="0"/>
                      <w:iCs w:val="0"/>
                      <w:color w:val="000000"/>
                      <w:sz w:val="21"/>
                      <w:szCs w:val="21"/>
                      <w:u w:val="none"/>
                    </w:rPr>
                  </w:pP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0914DE">
                  <w:pPr>
                    <w:jc w:val="left"/>
                    <w:rPr>
                      <w:rFonts w:hint="default" w:ascii="Times New Roman" w:hAnsi="Times New Roman" w:eastAsia="宋体" w:cs="Times New Roman"/>
                      <w:i w:val="0"/>
                      <w:iCs w:val="0"/>
                      <w:color w:val="000000"/>
                      <w:sz w:val="21"/>
                      <w:szCs w:val="21"/>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top"/>
                </w:tcPr>
                <w:p w14:paraId="1E9DD8C9">
                  <w:pPr>
                    <w:jc w:val="left"/>
                    <w:rPr>
                      <w:rFonts w:hint="default" w:ascii="Times New Roman" w:hAnsi="Times New Roman" w:eastAsia="宋体" w:cs="Times New Roman"/>
                      <w:i w:val="0"/>
                      <w:iCs w:val="0"/>
                      <w:color w:val="000000"/>
                      <w:sz w:val="21"/>
                      <w:szCs w:val="21"/>
                      <w:u w:val="none"/>
                    </w:rPr>
                  </w:pPr>
                </w:p>
              </w:tc>
            </w:tr>
            <w:tr w14:paraId="43AC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1EEE2">
                  <w:pPr>
                    <w:keepNext w:val="0"/>
                    <w:keepLines w:val="0"/>
                    <w:widowControl/>
                    <w:suppressLineNumbers w:val="0"/>
                    <w:jc w:val="center"/>
                    <w:textAlignment w:val="center"/>
                    <w:rPr>
                      <w:rFonts w:ascii="Times New Roman" w:hAnsi="Times New Roman" w:eastAsia="宋体" w:cs="Times New Roman"/>
                      <w:i w:val="0"/>
                      <w:iCs w:val="0"/>
                      <w:color w:val="605040"/>
                      <w:sz w:val="21"/>
                      <w:szCs w:val="21"/>
                      <w:u w:val="none"/>
                    </w:rPr>
                  </w:pPr>
                  <w:r>
                    <w:rPr>
                      <w:rFonts w:ascii="Times New Roman" w:hAnsi="Times New Roman" w:eastAsia="宋体" w:cs="Times New Roman"/>
                      <w:i w:val="0"/>
                      <w:iCs w:val="0"/>
                      <w:color w:val="605040"/>
                      <w:kern w:val="0"/>
                      <w:sz w:val="21"/>
                      <w:szCs w:val="21"/>
                      <w:u w:val="none"/>
                      <w:lang w:val="en-US" w:eastAsia="zh-CN" w:bidi="ar"/>
                    </w:rPr>
                    <w:t xml:space="preserve">1 </w:t>
                  </w: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5554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工程部分投资</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F51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万元</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DBB9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4873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F46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4073.3 </w:t>
                  </w:r>
                </w:p>
              </w:tc>
            </w:tr>
            <w:tr w14:paraId="7DD1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4E09EC31">
                  <w:pPr>
                    <w:jc w:val="left"/>
                    <w:rPr>
                      <w:rFonts w:hint="eastAsia"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7AC3D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建筑安装工程</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CF6A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万元</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8765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BC1C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F15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2000.53 </w:t>
                  </w:r>
                </w:p>
              </w:tc>
            </w:tr>
            <w:tr w14:paraId="00057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3CEDAE57">
                  <w:pPr>
                    <w:jc w:val="left"/>
                    <w:rPr>
                      <w:rFonts w:hint="default"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3CA4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机电设备及安装工程</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83DE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万元</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82A9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D1A7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AC0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536.75 </w:t>
                  </w:r>
                </w:p>
              </w:tc>
            </w:tr>
            <w:tr w14:paraId="25C1F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42BBE9A7">
                  <w:pPr>
                    <w:jc w:val="left"/>
                    <w:rPr>
                      <w:rFonts w:hint="default"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3327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金属结构设备及安装工程</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BF9A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万元</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20A2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F8A5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F78C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279.65 </w:t>
                  </w:r>
                </w:p>
              </w:tc>
            </w:tr>
            <w:tr w14:paraId="5B92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0E304DC2">
                  <w:pPr>
                    <w:jc w:val="left"/>
                    <w:rPr>
                      <w:rFonts w:hint="default"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0ED6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施工临时工程</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608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万元</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8F22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D45B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D9C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282.46 </w:t>
                  </w:r>
                </w:p>
              </w:tc>
            </w:tr>
            <w:tr w14:paraId="445C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42980EF0">
                  <w:pPr>
                    <w:jc w:val="left"/>
                    <w:rPr>
                      <w:rFonts w:hint="default"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9374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独立费用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AF1E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万元</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33B6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978D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2A5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779.93 </w:t>
                  </w:r>
                </w:p>
              </w:tc>
            </w:tr>
            <w:tr w14:paraId="5C542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07C3C0A2">
                  <w:pPr>
                    <w:jc w:val="left"/>
                    <w:rPr>
                      <w:rFonts w:hint="default"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1CB2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基本预备费</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44D0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万元</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CC56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D0C5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BC2B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193.97 </w:t>
                  </w:r>
                </w:p>
              </w:tc>
            </w:tr>
            <w:tr w14:paraId="340C2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EF8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2 </w:t>
                  </w: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7ACA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建设征地移民补偿投资</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36CE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万元</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8387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2587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523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51.71 </w:t>
                  </w:r>
                </w:p>
              </w:tc>
            </w:tr>
            <w:tr w14:paraId="33D05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DADC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3 </w:t>
                  </w: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1C17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环境保护工程投资</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DC0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万元</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E1FF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8ECA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4BDB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50.35 </w:t>
                  </w:r>
                </w:p>
              </w:tc>
            </w:tr>
            <w:tr w14:paraId="0BF0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785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4 </w:t>
                  </w: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6091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水土保持工程投资</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A3A8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万元</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2B2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5F22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5375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42.43 </w:t>
                  </w:r>
                </w:p>
              </w:tc>
            </w:tr>
            <w:tr w14:paraId="61EA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5F2C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5 </w:t>
                  </w: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DEF6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静态总投资</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8BCB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万元</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4563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8631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1924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4217.79 </w:t>
                  </w:r>
                </w:p>
              </w:tc>
            </w:tr>
            <w:tr w14:paraId="0FD68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F4D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七</w:t>
                  </w: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200D5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经济评价</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top"/>
                </w:tcPr>
                <w:p w14:paraId="3C409DB5">
                  <w:pPr>
                    <w:jc w:val="left"/>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top"/>
                </w:tcPr>
                <w:p w14:paraId="120CAC8D">
                  <w:pPr>
                    <w:jc w:val="left"/>
                    <w:rPr>
                      <w:rFonts w:hint="default" w:ascii="Times New Roman" w:hAnsi="Times New Roman" w:eastAsia="宋体" w:cs="Times New Roman"/>
                      <w:i w:val="0"/>
                      <w:iCs w:val="0"/>
                      <w:color w:val="000000"/>
                      <w:sz w:val="21"/>
                      <w:szCs w:val="21"/>
                      <w:u w:val="none"/>
                    </w:rPr>
                  </w:pP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45BE912">
                  <w:pPr>
                    <w:jc w:val="left"/>
                    <w:rPr>
                      <w:rFonts w:hint="default" w:ascii="Times New Roman" w:hAnsi="Times New Roman" w:eastAsia="宋体" w:cs="Times New Roman"/>
                      <w:i w:val="0"/>
                      <w:iCs w:val="0"/>
                      <w:color w:val="000000"/>
                      <w:sz w:val="21"/>
                      <w:szCs w:val="21"/>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top"/>
                </w:tcPr>
                <w:p w14:paraId="1C5962E6">
                  <w:pPr>
                    <w:jc w:val="left"/>
                    <w:rPr>
                      <w:rFonts w:hint="default" w:ascii="Times New Roman" w:hAnsi="Times New Roman" w:eastAsia="宋体" w:cs="Times New Roman"/>
                      <w:i w:val="0"/>
                      <w:iCs w:val="0"/>
                      <w:color w:val="000000"/>
                      <w:sz w:val="21"/>
                      <w:szCs w:val="21"/>
                      <w:u w:val="none"/>
                    </w:rPr>
                  </w:pPr>
                </w:p>
              </w:tc>
            </w:tr>
            <w:tr w14:paraId="36C2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030E0D5A">
                  <w:pPr>
                    <w:jc w:val="left"/>
                    <w:rPr>
                      <w:rFonts w:hint="default"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5D69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经济净现值</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BFA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万元</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5A6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E091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305B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741.75 </w:t>
                  </w:r>
                </w:p>
              </w:tc>
            </w:tr>
            <w:tr w14:paraId="29FC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74D451A2">
                  <w:pPr>
                    <w:jc w:val="left"/>
                    <w:rPr>
                      <w:rFonts w:hint="default"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A3C0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经济内收益率</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807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5A89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EE4D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8ED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8.83 </w:t>
                  </w:r>
                </w:p>
              </w:tc>
            </w:tr>
            <w:tr w14:paraId="4F44B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top"/>
                </w:tcPr>
                <w:p w14:paraId="17A695B5">
                  <w:pPr>
                    <w:jc w:val="left"/>
                    <w:rPr>
                      <w:rFonts w:hint="default" w:ascii="Times New Roman" w:hAnsi="Times New Roman" w:eastAsia="宋体" w:cs="Times New Roman"/>
                      <w:i w:val="0"/>
                      <w:iCs w:val="0"/>
                      <w:color w:val="000000"/>
                      <w:sz w:val="21"/>
                      <w:szCs w:val="21"/>
                      <w:u w:val="none"/>
                    </w:rPr>
                  </w:pPr>
                </w:p>
              </w:tc>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D82D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经济效益费用比</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top"/>
                </w:tcPr>
                <w:p w14:paraId="676BB46B">
                  <w:pPr>
                    <w:jc w:val="left"/>
                    <w:rPr>
                      <w:rFonts w:hint="default" w:ascii="Times New Roman" w:hAnsi="Times New Roman" w:eastAsia="宋体" w:cs="Times New Roman"/>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827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A157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C3F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1.134 </w:t>
                  </w:r>
                </w:p>
              </w:tc>
            </w:tr>
          </w:tbl>
          <w:p w14:paraId="6512E825">
            <w:pPr>
              <w:pStyle w:val="60"/>
              <w:spacing w:line="360" w:lineRule="auto"/>
              <w:ind w:firstLine="470" w:firstLineChars="195"/>
              <w:rPr>
                <w:rFonts w:hint="eastAsia"/>
                <w:b/>
                <w:bCs/>
                <w:color w:val="auto"/>
                <w:kern w:val="24"/>
                <w:sz w:val="24"/>
                <w:u w:val="none"/>
                <w:lang w:val="en-US" w:eastAsia="zh-CN"/>
              </w:rPr>
            </w:pPr>
            <w:r>
              <w:rPr>
                <w:rFonts w:hint="eastAsia"/>
                <w:b/>
                <w:bCs/>
                <w:color w:val="auto"/>
                <w:kern w:val="24"/>
                <w:sz w:val="24"/>
                <w:u w:val="none"/>
                <w:lang w:val="en-US" w:eastAsia="zh-CN"/>
              </w:rPr>
              <w:t>5、项目设备清单</w:t>
            </w:r>
          </w:p>
          <w:p w14:paraId="62C7EB80">
            <w:pPr>
              <w:spacing w:before="103" w:line="219" w:lineRule="auto"/>
              <w:ind w:left="519"/>
              <w:rPr>
                <w:rFonts w:hint="default" w:ascii="Times New Roman" w:hAnsi="Times New Roman" w:eastAsia="宋体" w:cs="Times New Roman"/>
                <w:b w:val="0"/>
                <w:bCs w:val="0"/>
                <w:color w:val="auto"/>
                <w:spacing w:val="1"/>
                <w:sz w:val="24"/>
                <w:szCs w:val="24"/>
                <w14:textOutline w14:w="4354" w14:cap="flat" w14:cmpd="sng">
                  <w14:solidFill>
                    <w14:srgbClr w14:val="000000"/>
                  </w14:solidFill>
                  <w14:prstDash w14:val="solid"/>
                  <w14:miter w14:val="0"/>
                </w14:textOutline>
              </w:rPr>
            </w:pPr>
            <w:r>
              <w:rPr>
                <w:rFonts w:hint="default" w:ascii="Times New Roman" w:hAnsi="Times New Roman" w:eastAsia="宋体" w:cs="Times New Roman"/>
                <w:b w:val="0"/>
                <w:bCs w:val="0"/>
                <w:color w:val="auto"/>
                <w:spacing w:val="-11"/>
                <w:sz w:val="24"/>
                <w:szCs w:val="24"/>
              </w:rPr>
              <w:t>本</w:t>
            </w:r>
            <w:r>
              <w:rPr>
                <w:rFonts w:hint="default" w:ascii="Times New Roman" w:hAnsi="Times New Roman" w:eastAsia="宋体" w:cs="Times New Roman"/>
                <w:b w:val="0"/>
                <w:bCs w:val="0"/>
                <w:color w:val="auto"/>
                <w:spacing w:val="-6"/>
                <w:sz w:val="24"/>
                <w:szCs w:val="24"/>
              </w:rPr>
              <w:t>工程拟使用的设备见表</w:t>
            </w:r>
            <w:r>
              <w:rPr>
                <w:rFonts w:hint="eastAsia" w:eastAsia="宋体" w:cs="Times New Roman"/>
                <w:b w:val="0"/>
                <w:bCs w:val="0"/>
                <w:color w:val="auto"/>
                <w:spacing w:val="-6"/>
                <w:sz w:val="24"/>
                <w:szCs w:val="24"/>
                <w:lang w:val="en-US" w:eastAsia="zh-CN"/>
              </w:rPr>
              <w:t>2</w:t>
            </w:r>
            <w:r>
              <w:rPr>
                <w:rFonts w:hint="default" w:ascii="Times New Roman" w:hAnsi="Times New Roman" w:eastAsia="Times New Roman" w:cs="Times New Roman"/>
                <w:b w:val="0"/>
                <w:bCs w:val="0"/>
                <w:color w:val="auto"/>
                <w:spacing w:val="-6"/>
                <w:sz w:val="24"/>
                <w:szCs w:val="24"/>
              </w:rPr>
              <w:t>-</w:t>
            </w:r>
            <w:r>
              <w:rPr>
                <w:rFonts w:hint="eastAsia" w:ascii="Times New Roman" w:hAnsi="Times New Roman" w:eastAsia="宋体" w:cs="Times New Roman"/>
                <w:b w:val="0"/>
                <w:bCs w:val="0"/>
                <w:color w:val="auto"/>
                <w:spacing w:val="-6"/>
                <w:sz w:val="24"/>
                <w:szCs w:val="24"/>
                <w:lang w:val="en-US" w:eastAsia="zh-CN"/>
              </w:rPr>
              <w:t>3</w:t>
            </w:r>
            <w:r>
              <w:rPr>
                <w:rFonts w:hint="default" w:ascii="Times New Roman" w:hAnsi="Times New Roman" w:eastAsia="宋体" w:cs="Times New Roman"/>
                <w:b w:val="0"/>
                <w:bCs w:val="0"/>
                <w:color w:val="auto"/>
                <w:spacing w:val="-6"/>
                <w:sz w:val="24"/>
                <w:szCs w:val="24"/>
              </w:rPr>
              <w:t>。</w:t>
            </w:r>
          </w:p>
          <w:p w14:paraId="399D542B">
            <w:pPr>
              <w:spacing w:before="71" w:line="212" w:lineRule="auto"/>
              <w:ind w:left="238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14:textOutline w14:w="4354" w14:cap="flat" w14:cmpd="sng">
                  <w14:solidFill>
                    <w14:srgbClr w14:val="000000"/>
                  </w14:solidFill>
                  <w14:prstDash w14:val="solid"/>
                  <w14:miter w14:val="0"/>
                </w14:textOutline>
              </w:rPr>
              <w:t>表</w:t>
            </w:r>
            <w:r>
              <w:rPr>
                <w:rFonts w:hint="eastAsia" w:cs="Times New Roman"/>
                <w:b w:val="0"/>
                <w:bCs w:val="0"/>
                <w:color w:val="auto"/>
                <w:sz w:val="24"/>
                <w:szCs w:val="24"/>
                <w:lang w:val="en-US" w:eastAsia="zh-CN"/>
                <w14:textOutline w14:w="4354" w14:cap="flat" w14:cmpd="sng">
                  <w14:solidFill>
                    <w14:srgbClr w14:val="000000"/>
                  </w14:solidFill>
                  <w14:prstDash w14:val="solid"/>
                  <w14:miter w14:val="0"/>
                </w14:textOutline>
              </w:rPr>
              <w:t>2</w:t>
            </w:r>
            <w:r>
              <w:rPr>
                <w:rFonts w:hint="default" w:ascii="Times New Roman" w:hAnsi="Times New Roman" w:eastAsia="宋体" w:cs="Times New Roman"/>
                <w:b w:val="0"/>
                <w:bCs w:val="0"/>
                <w:color w:val="auto"/>
                <w:sz w:val="24"/>
                <w:szCs w:val="24"/>
                <w14:textOutline w14:w="4354" w14:cap="flat" w14:cmpd="sng">
                  <w14:solidFill>
                    <w14:srgbClr w14:val="000000"/>
                  </w14:solidFill>
                  <w14:prstDash w14:val="solid"/>
                  <w14:miter w14:val="0"/>
                </w14:textOutline>
              </w:rPr>
              <w:t>-</w:t>
            </w:r>
            <w:r>
              <w:rPr>
                <w:rFonts w:hint="eastAsia" w:ascii="Times New Roman" w:hAnsi="Times New Roman" w:eastAsia="宋体" w:cs="Times New Roman"/>
                <w:b w:val="0"/>
                <w:bCs w:val="0"/>
                <w:color w:val="auto"/>
                <w:sz w:val="24"/>
                <w:szCs w:val="24"/>
                <w:lang w:val="en-US" w:eastAsia="zh-CN"/>
                <w14:textOutline w14:w="4354" w14:cap="flat" w14:cmpd="sng">
                  <w14:solidFill>
                    <w14:srgbClr w14:val="000000"/>
                  </w14:solidFill>
                  <w14:prstDash w14:val="solid"/>
                  <w14:miter w14:val="0"/>
                </w14:textOutline>
              </w:rPr>
              <w:t xml:space="preserve">3  </w:t>
            </w:r>
            <w:r>
              <w:rPr>
                <w:rFonts w:hint="default" w:ascii="Times New Roman" w:hAnsi="Times New Roman" w:eastAsia="宋体" w:cs="Times New Roman"/>
                <w:b w:val="0"/>
                <w:bCs w:val="0"/>
                <w:color w:val="auto"/>
                <w:sz w:val="24"/>
                <w:szCs w:val="24"/>
                <w14:textOutline w14:w="4354" w14:cap="flat" w14:cmpd="sng">
                  <w14:solidFill>
                    <w14:srgbClr w14:val="000000"/>
                  </w14:solidFill>
                  <w14:prstDash w14:val="solid"/>
                  <w14:miter w14:val="0"/>
                </w14:textOutline>
              </w:rPr>
              <w:t>工程设备一览表</w:t>
            </w:r>
          </w:p>
          <w:tbl>
            <w:tblPr>
              <w:tblStyle w:val="4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3"/>
              <w:gridCol w:w="1860"/>
              <w:gridCol w:w="1914"/>
              <w:gridCol w:w="873"/>
              <w:gridCol w:w="764"/>
              <w:gridCol w:w="2343"/>
            </w:tblGrid>
            <w:tr w14:paraId="6579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11D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序号</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EE16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设备名称</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3A8A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型号规格</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7C3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单位</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45B7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数量</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5BB2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备注</w:t>
                  </w:r>
                </w:p>
              </w:tc>
            </w:tr>
            <w:tr w14:paraId="1A7B8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803B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606060"/>
                      <w:sz w:val="21"/>
                      <w:szCs w:val="21"/>
                      <w:u w:val="none"/>
                    </w:rPr>
                  </w:pPr>
                  <w:r>
                    <w:rPr>
                      <w:rFonts w:ascii="Times New Roman" w:hAnsi="Times New Roman" w:eastAsia="宋体" w:cs="Times New Roman"/>
                      <w:i w:val="0"/>
                      <w:iCs w:val="0"/>
                      <w:color w:val="606060"/>
                      <w:kern w:val="0"/>
                      <w:sz w:val="21"/>
                      <w:szCs w:val="21"/>
                      <w:u w:val="none"/>
                      <w:lang w:val="en-US" w:eastAsia="zh-CN" w:bidi="ar"/>
                    </w:rPr>
                    <w:t>l</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0D3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反铲挖掘机</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FF4A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1m³</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E70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B1D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E0DB3">
                  <w:pPr>
                    <w:keepNext w:val="0"/>
                    <w:keepLines w:val="0"/>
                    <w:pageBreakBefore w:val="0"/>
                    <w:widowControl/>
                    <w:kinsoku/>
                    <w:wordWrap/>
                    <w:overflowPunct/>
                    <w:topLinePunct w:val="0"/>
                    <w:autoSpaceDE/>
                    <w:autoSpaceDN/>
                    <w:bidi w:val="0"/>
                    <w:adjustRightInd/>
                    <w:snapToGrid/>
                    <w:ind w:firstLineChars="0"/>
                    <w:jc w:val="center"/>
                    <w:rPr>
                      <w:rFonts w:hint="eastAsia" w:ascii="Times New Roman" w:hAnsi="Times New Roman" w:eastAsia="宋体" w:cs="Times New Roman"/>
                      <w:i w:val="0"/>
                      <w:iCs w:val="0"/>
                      <w:color w:val="000000"/>
                      <w:sz w:val="21"/>
                      <w:szCs w:val="21"/>
                      <w:u w:val="none"/>
                    </w:rPr>
                  </w:pPr>
                </w:p>
              </w:tc>
            </w:tr>
            <w:tr w14:paraId="6019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127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099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装载机</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EECF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1m³</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E2AA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B8D6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606060"/>
                      <w:sz w:val="21"/>
                      <w:szCs w:val="21"/>
                      <w:u w:val="none"/>
                    </w:rPr>
                  </w:pPr>
                  <w:r>
                    <w:rPr>
                      <w:rFonts w:ascii="Times New Roman" w:hAnsi="Times New Roman" w:eastAsia="宋体" w:cs="Times New Roman"/>
                      <w:i w:val="0"/>
                      <w:iCs w:val="0"/>
                      <w:color w:val="606060"/>
                      <w:kern w:val="0"/>
                      <w:sz w:val="21"/>
                      <w:szCs w:val="21"/>
                      <w:u w:val="none"/>
                      <w:lang w:val="en-US" w:eastAsia="zh-CN" w:bidi="ar"/>
                    </w:rPr>
                    <w:t>l</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FE61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装渣用</w:t>
                  </w:r>
                </w:p>
              </w:tc>
            </w:tr>
            <w:tr w14:paraId="6CD6F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385F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403030"/>
                      <w:sz w:val="21"/>
                      <w:szCs w:val="21"/>
                      <w:u w:val="none"/>
                    </w:rPr>
                  </w:pPr>
                  <w:r>
                    <w:rPr>
                      <w:rFonts w:ascii="Times New Roman" w:hAnsi="Times New Roman" w:eastAsia="宋体" w:cs="Times New Roman"/>
                      <w:i w:val="0"/>
                      <w:iCs w:val="0"/>
                      <w:color w:val="403030"/>
                      <w:kern w:val="0"/>
                      <w:sz w:val="21"/>
                      <w:szCs w:val="21"/>
                      <w:u w:val="none"/>
                      <w:lang w:val="en-US" w:eastAsia="zh-CN" w:bidi="ar"/>
                    </w:rPr>
                    <w:t>3</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127C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自卸汽车</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BAC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8t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16DB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A997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8ED5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运输用</w:t>
                  </w:r>
                </w:p>
              </w:tc>
            </w:tr>
            <w:tr w14:paraId="534B0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41E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98A5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载重汽车</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ECA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8t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7560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0C94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01B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对外运输用</w:t>
                  </w:r>
                </w:p>
              </w:tc>
            </w:tr>
            <w:tr w14:paraId="70B83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FC5E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5</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78C6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双胶轮车</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71A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0.2m³</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CB0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CA46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606060"/>
                      <w:sz w:val="21"/>
                      <w:szCs w:val="21"/>
                      <w:u w:val="none"/>
                    </w:rPr>
                  </w:pPr>
                  <w:r>
                    <w:rPr>
                      <w:rFonts w:ascii="Times New Roman" w:hAnsi="Times New Roman" w:eastAsia="宋体" w:cs="Times New Roman"/>
                      <w:i w:val="0"/>
                      <w:iCs w:val="0"/>
                      <w:color w:val="606060"/>
                      <w:kern w:val="0"/>
                      <w:sz w:val="21"/>
                      <w:szCs w:val="21"/>
                      <w:u w:val="none"/>
                      <w:lang w:val="en-US" w:eastAsia="zh-CN" w:bidi="ar"/>
                    </w:rPr>
                    <w:t>1</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DCCC">
                  <w:pPr>
                    <w:keepNext w:val="0"/>
                    <w:keepLines w:val="0"/>
                    <w:pageBreakBefore w:val="0"/>
                    <w:widowControl/>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u w:val="none"/>
                    </w:rPr>
                  </w:pPr>
                </w:p>
              </w:tc>
            </w:tr>
            <w:tr w14:paraId="0E0E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C5A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6</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D322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汽车起重机</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022A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25t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A6A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439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12882">
                  <w:pPr>
                    <w:keepNext w:val="0"/>
                    <w:keepLines w:val="0"/>
                    <w:pageBreakBefore w:val="0"/>
                    <w:widowControl/>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u w:val="none"/>
                    </w:rPr>
                  </w:pPr>
                </w:p>
              </w:tc>
            </w:tr>
            <w:tr w14:paraId="429B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79C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7</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960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卧罐</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5CC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1m³</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86CA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69FC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606060"/>
                      <w:sz w:val="21"/>
                      <w:szCs w:val="21"/>
                      <w:u w:val="none"/>
                    </w:rPr>
                  </w:pPr>
                  <w:r>
                    <w:rPr>
                      <w:rFonts w:ascii="Times New Roman" w:hAnsi="Times New Roman" w:eastAsia="宋体" w:cs="Times New Roman"/>
                      <w:i w:val="0"/>
                      <w:iCs w:val="0"/>
                      <w:color w:val="606060"/>
                      <w:kern w:val="0"/>
                      <w:sz w:val="21"/>
                      <w:szCs w:val="21"/>
                      <w:u w:val="none"/>
                      <w:lang w:val="en-US" w:eastAsia="zh-CN" w:bidi="ar"/>
                    </w:rPr>
                    <w:t>l</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1947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混凝土施工用</w:t>
                  </w:r>
                </w:p>
              </w:tc>
            </w:tr>
            <w:tr w14:paraId="0C886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5F1D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8</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8DE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推土机</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0EF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59-74w</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E4F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12AE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05B8">
                  <w:pPr>
                    <w:keepNext w:val="0"/>
                    <w:keepLines w:val="0"/>
                    <w:pageBreakBefore w:val="0"/>
                    <w:widowControl/>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u w:val="none"/>
                    </w:rPr>
                  </w:pPr>
                </w:p>
              </w:tc>
            </w:tr>
            <w:tr w14:paraId="489E7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434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9</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8FC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砂浆拌合机</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C12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0.2m³</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085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595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91CB9">
                  <w:pPr>
                    <w:keepNext w:val="0"/>
                    <w:keepLines w:val="0"/>
                    <w:pageBreakBefore w:val="0"/>
                    <w:widowControl/>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u w:val="none"/>
                      <w:lang w:val="en-US" w:eastAsia="zh-CN"/>
                    </w:rPr>
                  </w:pPr>
                </w:p>
              </w:tc>
            </w:tr>
            <w:tr w14:paraId="5CE01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FFC8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BAF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卷扬机</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223D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2-5t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3B71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200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45AB4">
                  <w:pPr>
                    <w:keepNext w:val="0"/>
                    <w:keepLines w:val="0"/>
                    <w:pageBreakBefore w:val="0"/>
                    <w:widowControl/>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u w:val="none"/>
                    </w:rPr>
                  </w:pPr>
                </w:p>
              </w:tc>
            </w:tr>
            <w:tr w14:paraId="2733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1D40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404040"/>
                      <w:sz w:val="21"/>
                      <w:szCs w:val="21"/>
                      <w:u w:val="none"/>
                    </w:rPr>
                  </w:pPr>
                  <w:r>
                    <w:rPr>
                      <w:rFonts w:ascii="Times New Roman" w:hAnsi="Times New Roman" w:eastAsia="宋体" w:cs="Times New Roman"/>
                      <w:i w:val="0"/>
                      <w:iCs w:val="0"/>
                      <w:color w:val="404040"/>
                      <w:kern w:val="0"/>
                      <w:sz w:val="21"/>
                      <w:szCs w:val="21"/>
                      <w:u w:val="none"/>
                      <w:lang w:val="en-US" w:eastAsia="zh-CN" w:bidi="ar"/>
                    </w:rPr>
                    <w:t>11</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B97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手风钻</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84FB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01-30型</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113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A785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6</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08B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石方开挖用</w:t>
                  </w:r>
                </w:p>
              </w:tc>
            </w:tr>
            <w:tr w14:paraId="39FD2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172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12</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984F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混凝土振捣器</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9AC5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2.2kW</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7B11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5E8E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8</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6E6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插入式/平板式</w:t>
                  </w:r>
                </w:p>
              </w:tc>
            </w:tr>
            <w:tr w14:paraId="7B31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30FB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405040"/>
                      <w:sz w:val="21"/>
                      <w:szCs w:val="21"/>
                      <w:u w:val="none"/>
                    </w:rPr>
                  </w:pPr>
                  <w:r>
                    <w:rPr>
                      <w:rFonts w:ascii="Times New Roman" w:hAnsi="Times New Roman" w:eastAsia="宋体" w:cs="Times New Roman"/>
                      <w:i w:val="0"/>
                      <w:iCs w:val="0"/>
                      <w:color w:val="405040"/>
                      <w:kern w:val="0"/>
                      <w:sz w:val="21"/>
                      <w:szCs w:val="21"/>
                      <w:u w:val="none"/>
                      <w:lang w:val="en-US" w:eastAsia="zh-CN" w:bidi="ar"/>
                    </w:rPr>
                    <w:t>13</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C21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钢筋加工设备</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201C">
                  <w:pPr>
                    <w:keepNext w:val="0"/>
                    <w:keepLines w:val="0"/>
                    <w:pageBreakBefore w:val="0"/>
                    <w:widowControl/>
                    <w:kinsoku/>
                    <w:wordWrap/>
                    <w:overflowPunct/>
                    <w:topLinePunct w:val="0"/>
                    <w:autoSpaceDE/>
                    <w:autoSpaceDN/>
                    <w:bidi w:val="0"/>
                    <w:adjustRightInd/>
                    <w:snapToGrid/>
                    <w:ind w:firstLineChars="0"/>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572F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套</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FA49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75870">
                  <w:pPr>
                    <w:keepNext w:val="0"/>
                    <w:keepLines w:val="0"/>
                    <w:pageBreakBefore w:val="0"/>
                    <w:widowControl/>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u w:val="none"/>
                    </w:rPr>
                  </w:pPr>
                </w:p>
              </w:tc>
            </w:tr>
            <w:tr w14:paraId="6708C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85B6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14</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3AF6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木工加工设备</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9855">
                  <w:pPr>
                    <w:keepNext w:val="0"/>
                    <w:keepLines w:val="0"/>
                    <w:pageBreakBefore w:val="0"/>
                    <w:widowControl/>
                    <w:kinsoku/>
                    <w:wordWrap/>
                    <w:overflowPunct/>
                    <w:topLinePunct w:val="0"/>
                    <w:autoSpaceDE/>
                    <w:autoSpaceDN/>
                    <w:bidi w:val="0"/>
                    <w:adjustRightInd/>
                    <w:snapToGrid/>
                    <w:ind w:firstLineChars="0"/>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8F0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套</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1594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C6DFC">
                  <w:pPr>
                    <w:keepNext w:val="0"/>
                    <w:keepLines w:val="0"/>
                    <w:pageBreakBefore w:val="0"/>
                    <w:widowControl/>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u w:val="none"/>
                    </w:rPr>
                  </w:pPr>
                </w:p>
              </w:tc>
            </w:tr>
            <w:tr w14:paraId="40006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13E4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15</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2CC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水泵</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43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IS80-65-125</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781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34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2</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BE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单机流量30m³/h,扬</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程18.5m,功率3kw</w:t>
                  </w:r>
                </w:p>
              </w:tc>
            </w:tr>
            <w:tr w14:paraId="073D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0D8A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16</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C4A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水泵</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70F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QDN25-6-0.75KW</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8B2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E5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2</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BC0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电机功率0.75KW</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扬程6m</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流量25m³/h</w:t>
                  </w:r>
                </w:p>
              </w:tc>
            </w:tr>
            <w:tr w14:paraId="1AA0F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855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17</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91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柴油发电机</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84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80kw</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4F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96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92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应急发电</w:t>
                  </w:r>
                </w:p>
              </w:tc>
            </w:tr>
          </w:tbl>
          <w:p w14:paraId="20187F00">
            <w:pPr>
              <w:pStyle w:val="60"/>
              <w:spacing w:line="360" w:lineRule="auto"/>
              <w:ind w:firstLine="470" w:firstLineChars="195"/>
              <w:rPr>
                <w:rFonts w:hint="eastAsia"/>
                <w:b/>
                <w:bCs/>
                <w:color w:val="auto"/>
                <w:kern w:val="24"/>
                <w:sz w:val="24"/>
                <w:u w:val="none"/>
                <w:lang w:val="en-US" w:eastAsia="zh-CN"/>
              </w:rPr>
            </w:pPr>
          </w:p>
          <w:p w14:paraId="52FD909C">
            <w:pPr>
              <w:spacing w:before="1" w:line="361" w:lineRule="auto"/>
              <w:rPr>
                <w:rFonts w:hint="eastAsia" w:ascii="Times New Roman" w:hAnsi="Times New Roman" w:eastAsia="宋体" w:cs="Times New Roman"/>
                <w:b w:val="0"/>
                <w:bCs w:val="0"/>
                <w:color w:val="auto"/>
                <w:spacing w:val="0"/>
                <w:sz w:val="24"/>
                <w:szCs w:val="24"/>
                <w:u w:val="none"/>
                <w:lang w:val="en-US" w:eastAsia="zh-CN"/>
                <w14:textOutline w14:w="4354" w14:cap="flat" w14:cmpd="sng">
                  <w14:solidFill>
                    <w14:srgbClr w14:val="000000"/>
                  </w14:solidFill>
                  <w14:prstDash w14:val="solid"/>
                  <w14:miter w14:val="0"/>
                </w14:textOutline>
              </w:rPr>
            </w:pPr>
            <w:r>
              <w:rPr>
                <w:rFonts w:hint="eastAsia"/>
                <w:b/>
                <w:bCs/>
                <w:color w:val="auto"/>
                <w:kern w:val="24"/>
                <w:sz w:val="24"/>
                <w:u w:val="none"/>
                <w:lang w:val="en-US" w:eastAsia="zh-CN"/>
              </w:rPr>
              <w:t>6、</w:t>
            </w:r>
            <w:r>
              <w:rPr>
                <w:rFonts w:hint="eastAsia" w:ascii="Times New Roman" w:hAnsi="Times New Roman" w:eastAsia="宋体" w:cs="Times New Roman"/>
                <w:b w:val="0"/>
                <w:bCs w:val="0"/>
                <w:color w:val="auto"/>
                <w:spacing w:val="0"/>
                <w:sz w:val="24"/>
                <w:szCs w:val="24"/>
                <w:u w:val="none"/>
                <w:lang w:val="en-US" w:eastAsia="zh-CN"/>
                <w14:textOutline w14:w="4354" w14:cap="flat" w14:cmpd="sng">
                  <w14:solidFill>
                    <w14:srgbClr w14:val="000000"/>
                  </w14:solidFill>
                  <w14:prstDash w14:val="solid"/>
                  <w14:miter w14:val="0"/>
                </w14:textOutline>
              </w:rPr>
              <w:t>项目主要原材料</w:t>
            </w:r>
          </w:p>
          <w:p w14:paraId="62F31232">
            <w:pPr>
              <w:spacing w:before="103" w:line="219" w:lineRule="auto"/>
              <w:ind w:left="519"/>
              <w:rPr>
                <w:rFonts w:hint="default" w:ascii="Times New Roman" w:hAnsi="Times New Roman" w:eastAsia="宋体" w:cs="Times New Roman"/>
                <w:b w:val="0"/>
                <w:bCs w:val="0"/>
                <w:color w:val="auto"/>
                <w:spacing w:val="0"/>
                <w:sz w:val="24"/>
                <w:szCs w:val="24"/>
                <w:u w:val="none"/>
                <w14:textOutline w14:w="4354" w14:cap="flat" w14:cmpd="sng">
                  <w14:solidFill>
                    <w14:srgbClr w14:val="000000"/>
                  </w14:solidFill>
                  <w14:prstDash w14:val="solid"/>
                  <w14:miter w14:val="0"/>
                </w14:textOutline>
              </w:rPr>
            </w:pPr>
            <w:r>
              <w:rPr>
                <w:rFonts w:hint="default" w:ascii="Times New Roman" w:hAnsi="Times New Roman" w:eastAsia="宋体" w:cs="Times New Roman"/>
                <w:b w:val="0"/>
                <w:bCs w:val="0"/>
                <w:color w:val="auto"/>
                <w:spacing w:val="0"/>
                <w:sz w:val="24"/>
                <w:szCs w:val="24"/>
                <w:u w:val="none"/>
              </w:rPr>
              <w:t>本工程拟使用的</w:t>
            </w:r>
            <w:r>
              <w:rPr>
                <w:rFonts w:hint="eastAsia" w:ascii="Times New Roman" w:hAnsi="Times New Roman" w:eastAsia="宋体" w:cs="Times New Roman"/>
                <w:b w:val="0"/>
                <w:bCs w:val="0"/>
                <w:color w:val="auto"/>
                <w:spacing w:val="0"/>
                <w:sz w:val="24"/>
                <w:szCs w:val="24"/>
                <w:u w:val="none"/>
                <w:lang w:val="en-US" w:eastAsia="zh-CN"/>
              </w:rPr>
              <w:t>原辅材料量</w:t>
            </w:r>
            <w:r>
              <w:rPr>
                <w:rFonts w:hint="default" w:ascii="Times New Roman" w:hAnsi="Times New Roman" w:eastAsia="宋体" w:cs="Times New Roman"/>
                <w:b w:val="0"/>
                <w:bCs w:val="0"/>
                <w:color w:val="auto"/>
                <w:spacing w:val="0"/>
                <w:sz w:val="24"/>
                <w:szCs w:val="24"/>
                <w:u w:val="none"/>
              </w:rPr>
              <w:t>见表</w:t>
            </w:r>
            <w:r>
              <w:rPr>
                <w:rFonts w:hint="eastAsia" w:eastAsia="宋体" w:cs="Times New Roman"/>
                <w:b w:val="0"/>
                <w:bCs w:val="0"/>
                <w:color w:val="auto"/>
                <w:spacing w:val="0"/>
                <w:sz w:val="24"/>
                <w:szCs w:val="24"/>
                <w:u w:val="none"/>
                <w:lang w:val="en-US" w:eastAsia="zh-CN"/>
              </w:rPr>
              <w:t>2</w:t>
            </w:r>
            <w:r>
              <w:rPr>
                <w:rFonts w:hint="default" w:ascii="Times New Roman" w:hAnsi="Times New Roman" w:eastAsia="Times New Roman" w:cs="Times New Roman"/>
                <w:b w:val="0"/>
                <w:bCs w:val="0"/>
                <w:color w:val="auto"/>
                <w:spacing w:val="0"/>
                <w:sz w:val="24"/>
                <w:szCs w:val="24"/>
                <w:u w:val="none"/>
              </w:rPr>
              <w:t>-</w:t>
            </w:r>
            <w:r>
              <w:rPr>
                <w:rFonts w:hint="eastAsia" w:ascii="Times New Roman" w:hAnsi="Times New Roman" w:eastAsia="宋体" w:cs="Times New Roman"/>
                <w:b w:val="0"/>
                <w:bCs w:val="0"/>
                <w:color w:val="auto"/>
                <w:spacing w:val="0"/>
                <w:sz w:val="24"/>
                <w:szCs w:val="24"/>
                <w:u w:val="none"/>
                <w:lang w:val="en-US" w:eastAsia="zh-CN"/>
              </w:rPr>
              <w:t>4</w:t>
            </w:r>
            <w:r>
              <w:rPr>
                <w:rFonts w:hint="default" w:ascii="Times New Roman" w:hAnsi="Times New Roman" w:eastAsia="宋体" w:cs="Times New Roman"/>
                <w:b w:val="0"/>
                <w:bCs w:val="0"/>
                <w:color w:val="auto"/>
                <w:spacing w:val="0"/>
                <w:sz w:val="24"/>
                <w:szCs w:val="24"/>
                <w:u w:val="none"/>
              </w:rPr>
              <w:t>。</w:t>
            </w:r>
          </w:p>
          <w:p w14:paraId="30BAB226">
            <w:pPr>
              <w:keepNext w:val="0"/>
              <w:keepLines w:val="0"/>
              <w:widowControl/>
              <w:suppressLineNumbers w:val="0"/>
              <w:jc w:val="center"/>
              <w:rPr>
                <w:spacing w:val="0"/>
                <w:u w:val="none"/>
              </w:rPr>
            </w:pPr>
            <w:r>
              <w:rPr>
                <w:rFonts w:hint="eastAsia" w:ascii="宋体" w:hAnsi="宋体" w:eastAsia="宋体" w:cs="宋体"/>
                <w:b/>
                <w:bCs/>
                <w:color w:val="000000"/>
                <w:spacing w:val="0"/>
                <w:kern w:val="0"/>
                <w:sz w:val="24"/>
                <w:szCs w:val="24"/>
                <w:u w:val="none"/>
                <w:lang w:val="en-US" w:eastAsia="zh-CN" w:bidi="ar"/>
              </w:rPr>
              <w:t>表</w:t>
            </w:r>
            <w:r>
              <w:rPr>
                <w:rFonts w:hint="eastAsia" w:cs="Times New Roman"/>
                <w:b/>
                <w:bCs/>
                <w:color w:val="000000"/>
                <w:spacing w:val="0"/>
                <w:kern w:val="0"/>
                <w:sz w:val="24"/>
                <w:szCs w:val="24"/>
                <w:u w:val="none"/>
                <w:lang w:val="en-US" w:eastAsia="zh-CN" w:bidi="ar"/>
              </w:rPr>
              <w:t>2</w:t>
            </w:r>
            <w:r>
              <w:rPr>
                <w:rFonts w:hint="eastAsia" w:ascii="Times New Roman" w:hAnsi="Times New Roman" w:eastAsia="宋体" w:cs="Times New Roman"/>
                <w:b/>
                <w:bCs/>
                <w:color w:val="000000"/>
                <w:spacing w:val="0"/>
                <w:kern w:val="0"/>
                <w:sz w:val="24"/>
                <w:szCs w:val="24"/>
                <w:u w:val="none"/>
                <w:lang w:val="en-US" w:eastAsia="zh-CN" w:bidi="ar"/>
              </w:rPr>
              <w:t>-4</w:t>
            </w:r>
            <w:r>
              <w:rPr>
                <w:rFonts w:hint="default" w:ascii="Times New Roman" w:hAnsi="Times New Roman" w:eastAsia="宋体" w:cs="Times New Roman"/>
                <w:b/>
                <w:bCs/>
                <w:color w:val="000000"/>
                <w:spacing w:val="0"/>
                <w:kern w:val="0"/>
                <w:sz w:val="24"/>
                <w:szCs w:val="24"/>
                <w:u w:val="none"/>
                <w:lang w:val="en-US" w:eastAsia="zh-CN" w:bidi="ar"/>
              </w:rPr>
              <w:t xml:space="preserve"> </w:t>
            </w:r>
            <w:r>
              <w:rPr>
                <w:rFonts w:hint="eastAsia" w:ascii="宋体" w:hAnsi="宋体" w:eastAsia="宋体" w:cs="宋体"/>
                <w:b/>
                <w:bCs/>
                <w:color w:val="000000"/>
                <w:spacing w:val="0"/>
                <w:kern w:val="0"/>
                <w:sz w:val="24"/>
                <w:szCs w:val="24"/>
                <w:u w:val="none"/>
                <w:lang w:val="en-US" w:eastAsia="zh-CN" w:bidi="ar"/>
              </w:rPr>
              <w:t>主要材料量汇总表</w:t>
            </w:r>
          </w:p>
          <w:tbl>
            <w:tblPr>
              <w:tblStyle w:val="4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2"/>
              <w:gridCol w:w="1237"/>
              <w:gridCol w:w="2022"/>
              <w:gridCol w:w="2022"/>
              <w:gridCol w:w="2024"/>
            </w:tblGrid>
            <w:tr w14:paraId="4E3F5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980CE">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项目名称</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90D9">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单位</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7522E">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数量</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215A4">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备注</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F0A35">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储存位置</w:t>
                  </w:r>
                </w:p>
              </w:tc>
            </w:tr>
            <w:tr w14:paraId="7030C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56CED">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水泥</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AAC8">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t</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8BE1">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sz w:val="21"/>
                      <w:szCs w:val="21"/>
                      <w:u w:val="none"/>
                      <w:lang w:val="en-US"/>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79.44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B9A3">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外购</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AF27">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临建工程区</w:t>
                  </w:r>
                </w:p>
              </w:tc>
            </w:tr>
            <w:tr w14:paraId="4C36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33778">
                  <w:pPr>
                    <w:keepNext w:val="0"/>
                    <w:keepLines w:val="0"/>
                    <w:widowControl/>
                    <w:suppressLineNumbers w:val="0"/>
                    <w:jc w:val="center"/>
                    <w:textAlignment w:val="center"/>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钢筋</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7CC12">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t</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93F1">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sz w:val="21"/>
                      <w:szCs w:val="21"/>
                      <w:u w:val="none"/>
                      <w:lang w:val="en-US"/>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1003.77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4D2BE">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外购</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69C0">
                  <w:pPr>
                    <w:keepNext w:val="0"/>
                    <w:keepLines w:val="0"/>
                    <w:widowControl/>
                    <w:suppressLineNumbers w:val="0"/>
                    <w:jc w:val="center"/>
                    <w:textAlignment w:val="bottom"/>
                    <w:rPr>
                      <w:rFonts w:hint="eastAsia"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临建工程区</w:t>
                  </w:r>
                </w:p>
              </w:tc>
            </w:tr>
            <w:tr w14:paraId="35B4E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C5FA2">
                  <w:pPr>
                    <w:keepNext w:val="0"/>
                    <w:keepLines w:val="0"/>
                    <w:widowControl/>
                    <w:suppressLineNumbers w:val="0"/>
                    <w:jc w:val="center"/>
                    <w:textAlignment w:val="center"/>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汽油</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4F972">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t</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68C3A">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sz w:val="21"/>
                      <w:szCs w:val="21"/>
                      <w:u w:val="none"/>
                      <w:lang w:val="en-US"/>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6.08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2A77F">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外购</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B8C2C">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不设置储油罐</w:t>
                  </w:r>
                </w:p>
              </w:tc>
            </w:tr>
            <w:tr w14:paraId="5B08F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5A0C">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柴油</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4966">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t</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8C8F4">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sz w:val="21"/>
                      <w:szCs w:val="21"/>
                      <w:u w:val="none"/>
                      <w:lang w:val="en-US"/>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103.68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3B8AF">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外购</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B950E">
                  <w:pPr>
                    <w:keepNext w:val="0"/>
                    <w:keepLines w:val="0"/>
                    <w:widowControl/>
                    <w:suppressLineNumbers w:val="0"/>
                    <w:jc w:val="center"/>
                    <w:textAlignment w:val="bottom"/>
                    <w:rPr>
                      <w:rFonts w:hint="eastAsia"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不设置储油罐</w:t>
                  </w:r>
                </w:p>
              </w:tc>
            </w:tr>
            <w:tr w14:paraId="3D4F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3A2D6">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砂子</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E9A11">
                  <w:pPr>
                    <w:keepNext w:val="0"/>
                    <w:keepLines w:val="0"/>
                    <w:widowControl/>
                    <w:suppressLineNumbers w:val="0"/>
                    <w:jc w:val="center"/>
                    <w:textAlignment w:val="top"/>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m³</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090C">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sz w:val="21"/>
                      <w:szCs w:val="21"/>
                      <w:u w:val="none"/>
                      <w:lang w:val="en-US"/>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118.5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3B9EE">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外购</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5BE6">
                  <w:pPr>
                    <w:keepNext w:val="0"/>
                    <w:keepLines w:val="0"/>
                    <w:widowControl/>
                    <w:suppressLineNumbers w:val="0"/>
                    <w:jc w:val="center"/>
                    <w:textAlignment w:val="bottom"/>
                    <w:rPr>
                      <w:rFonts w:hint="eastAsia"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临建工程区</w:t>
                  </w:r>
                </w:p>
              </w:tc>
            </w:tr>
            <w:tr w14:paraId="2EE30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6BDCB">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碎石</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8277">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m³</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B6F4">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sz w:val="21"/>
                      <w:szCs w:val="21"/>
                      <w:u w:val="none"/>
                      <w:lang w:val="en-US"/>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328.29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57BB5">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外购</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F8CB">
                  <w:pPr>
                    <w:keepNext w:val="0"/>
                    <w:keepLines w:val="0"/>
                    <w:widowControl/>
                    <w:suppressLineNumbers w:val="0"/>
                    <w:jc w:val="center"/>
                    <w:textAlignment w:val="bottom"/>
                    <w:rPr>
                      <w:rFonts w:hint="eastAsia"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临建工程区</w:t>
                  </w:r>
                </w:p>
              </w:tc>
            </w:tr>
            <w:tr w14:paraId="0810D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A4A5A">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块石</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D9FA7">
                  <w:pPr>
                    <w:keepNext w:val="0"/>
                    <w:keepLines w:val="0"/>
                    <w:widowControl/>
                    <w:suppressLineNumbers w:val="0"/>
                    <w:jc w:val="center"/>
                    <w:textAlignment w:val="top"/>
                    <w:rPr>
                      <w:rFonts w:ascii="Times New Roman" w:hAnsi="Times New Roman" w:eastAsia="宋体" w:cs="Times New Roman"/>
                      <w:b w:val="0"/>
                      <w:bCs w:val="0"/>
                      <w:i w:val="0"/>
                      <w:iCs w:val="0"/>
                      <w:color w:val="000000"/>
                      <w:spacing w:val="0"/>
                      <w:sz w:val="21"/>
                      <w:szCs w:val="21"/>
                      <w:u w:val="none"/>
                    </w:rPr>
                  </w:pPr>
                  <w:r>
                    <w:rPr>
                      <w:rFonts w:ascii="Times New Roman" w:hAnsi="Times New Roman" w:eastAsia="宋体" w:cs="Times New Roman"/>
                      <w:b w:val="0"/>
                      <w:bCs w:val="0"/>
                      <w:i w:val="0"/>
                      <w:iCs w:val="0"/>
                      <w:color w:val="000000"/>
                      <w:spacing w:val="0"/>
                      <w:kern w:val="0"/>
                      <w:sz w:val="21"/>
                      <w:szCs w:val="21"/>
                      <w:u w:val="none"/>
                      <w:lang w:val="en-US" w:eastAsia="zh-CN" w:bidi="ar"/>
                    </w:rPr>
                    <w:t>m³</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2D6A7">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sz w:val="21"/>
                      <w:szCs w:val="21"/>
                      <w:u w:val="none"/>
                      <w:lang w:val="en-US"/>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839.37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A1A20">
                  <w:pPr>
                    <w:keepNext w:val="0"/>
                    <w:keepLines w:val="0"/>
                    <w:widowControl/>
                    <w:suppressLineNumbers w:val="0"/>
                    <w:jc w:val="center"/>
                    <w:textAlignment w:val="bottom"/>
                    <w:rPr>
                      <w:rFonts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外购</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8BC4">
                  <w:pPr>
                    <w:keepNext w:val="0"/>
                    <w:keepLines w:val="0"/>
                    <w:widowControl/>
                    <w:suppressLineNumbers w:val="0"/>
                    <w:jc w:val="center"/>
                    <w:textAlignment w:val="bottom"/>
                    <w:rPr>
                      <w:rFonts w:hint="eastAsia"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临建工程区</w:t>
                  </w:r>
                </w:p>
              </w:tc>
            </w:tr>
            <w:tr w14:paraId="1CDD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7A6FF">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商品混凝土</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B959">
                  <w:pPr>
                    <w:keepNext w:val="0"/>
                    <w:keepLines w:val="0"/>
                    <w:widowControl/>
                    <w:suppressLineNumbers w:val="0"/>
                    <w:jc w:val="center"/>
                    <w:textAlignment w:val="top"/>
                    <w:rPr>
                      <w:rFonts w:ascii="Times New Roman" w:hAnsi="Times New Roman" w:eastAsia="宋体" w:cs="Times New Roman"/>
                      <w:b w:val="0"/>
                      <w:bCs w:val="0"/>
                      <w:i w:val="0"/>
                      <w:iCs w:val="0"/>
                      <w:color w:val="000000"/>
                      <w:spacing w:val="0"/>
                      <w:kern w:val="2"/>
                      <w:sz w:val="21"/>
                      <w:szCs w:val="21"/>
                      <w:u w:val="none"/>
                      <w:lang w:val="en-US" w:eastAsia="zh-CN" w:bidi="ar-SA"/>
                    </w:rPr>
                  </w:pPr>
                  <w:r>
                    <w:rPr>
                      <w:rFonts w:ascii="Times New Roman" w:hAnsi="Times New Roman" w:eastAsia="宋体" w:cs="Times New Roman"/>
                      <w:b w:val="0"/>
                      <w:bCs w:val="0"/>
                      <w:i w:val="0"/>
                      <w:iCs w:val="0"/>
                      <w:color w:val="000000"/>
                      <w:spacing w:val="0"/>
                      <w:kern w:val="0"/>
                      <w:sz w:val="21"/>
                      <w:szCs w:val="21"/>
                      <w:u w:val="none"/>
                      <w:lang w:val="en-US" w:eastAsia="zh-CN" w:bidi="ar"/>
                    </w:rPr>
                    <w:t>m³</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24F1">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kern w:val="2"/>
                      <w:sz w:val="21"/>
                      <w:szCs w:val="21"/>
                      <w:u w:val="none"/>
                      <w:lang w:val="en-US" w:eastAsia="zh-CN" w:bidi="ar-SA"/>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15326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5FED1">
                  <w:pPr>
                    <w:keepNext w:val="0"/>
                    <w:keepLines w:val="0"/>
                    <w:widowControl/>
                    <w:suppressLineNumbers w:val="0"/>
                    <w:jc w:val="center"/>
                    <w:textAlignment w:val="bottom"/>
                    <w:rPr>
                      <w:rFonts w:hint="eastAsia"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外购</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560F">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eastAsia="宋体" w:cs="Times New Roman"/>
                      <w:b w:val="0"/>
                      <w:bCs w:val="0"/>
                      <w:i w:val="0"/>
                      <w:iCs w:val="0"/>
                      <w:color w:val="000000"/>
                      <w:spacing w:val="0"/>
                      <w:kern w:val="0"/>
                      <w:sz w:val="21"/>
                      <w:szCs w:val="21"/>
                      <w:u w:val="none"/>
                      <w:lang w:val="en-US" w:eastAsia="zh-CN" w:bidi="ar"/>
                    </w:rPr>
                    <w:t>/</w:t>
                  </w:r>
                </w:p>
              </w:tc>
            </w:tr>
          </w:tbl>
          <w:p w14:paraId="525DC0F3">
            <w:pPr>
              <w:pStyle w:val="60"/>
              <w:spacing w:line="360" w:lineRule="auto"/>
              <w:ind w:firstLine="470" w:firstLineChars="195"/>
              <w:rPr>
                <w:rFonts w:hint="eastAsia"/>
                <w:b/>
                <w:bCs/>
                <w:color w:val="auto"/>
                <w:kern w:val="24"/>
                <w:sz w:val="24"/>
                <w:u w:val="none"/>
                <w:lang w:val="en-US" w:eastAsia="zh-CN"/>
              </w:rPr>
            </w:pPr>
            <w:r>
              <w:rPr>
                <w:rFonts w:hint="eastAsia"/>
                <w:b/>
                <w:bCs/>
                <w:color w:val="auto"/>
                <w:kern w:val="24"/>
                <w:sz w:val="24"/>
                <w:u w:val="none"/>
                <w:lang w:val="en-US" w:eastAsia="zh-CN"/>
              </w:rPr>
              <w:t>7、建设征地和移民安置</w:t>
            </w:r>
          </w:p>
          <w:p w14:paraId="333D69DC">
            <w:pPr>
              <w:pStyle w:val="60"/>
              <w:spacing w:line="360" w:lineRule="auto"/>
              <w:ind w:firstLine="468" w:firstLineChars="195"/>
              <w:rPr>
                <w:rFonts w:hint="default"/>
                <w:lang w:val="en-US" w:eastAsia="zh-CN"/>
              </w:rPr>
            </w:pPr>
            <w:r>
              <w:rPr>
                <w:rFonts w:hint="eastAsia"/>
                <w:color w:val="000000"/>
                <w:kern w:val="24"/>
                <w:sz w:val="24"/>
                <w:u w:val="none"/>
                <w:lang w:val="en-US" w:eastAsia="zh-CN"/>
              </w:rPr>
              <w:t>本工程不涉及征地移民安置。</w:t>
            </w:r>
          </w:p>
        </w:tc>
      </w:tr>
      <w:tr w14:paraId="497F6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56" w:type="dxa"/>
            <w:vAlign w:val="center"/>
          </w:tcPr>
          <w:p w14:paraId="44041CC3">
            <w:pPr>
              <w:jc w:val="center"/>
              <w:rPr>
                <w:color w:val="000000"/>
                <w:sz w:val="24"/>
              </w:rPr>
            </w:pPr>
            <w:r>
              <w:rPr>
                <w:rFonts w:hint="eastAsia"/>
                <w:color w:val="000000"/>
                <w:sz w:val="24"/>
              </w:rPr>
              <w:t>总平面及现场布置</w:t>
            </w:r>
          </w:p>
        </w:tc>
        <w:tc>
          <w:tcPr>
            <w:tcW w:w="8417" w:type="dxa"/>
            <w:vAlign w:val="center"/>
          </w:tcPr>
          <w:p w14:paraId="4785024F">
            <w:pPr>
              <w:keepNext w:val="0"/>
              <w:keepLines w:val="0"/>
              <w:widowControl/>
              <w:suppressLineNumbers w:val="0"/>
              <w:ind w:firstLine="562" w:firstLineChars="200"/>
              <w:jc w:val="left"/>
            </w:pPr>
            <w:r>
              <w:rPr>
                <w:rFonts w:hint="default" w:ascii="Times New Roman" w:hAnsi="Times New Roman" w:eastAsia="宋体" w:cs="Times New Roman"/>
                <w:b/>
                <w:bCs/>
                <w:color w:val="000000"/>
                <w:kern w:val="0"/>
                <w:sz w:val="28"/>
                <w:szCs w:val="28"/>
                <w:lang w:val="en-US" w:eastAsia="zh-CN" w:bidi="ar"/>
              </w:rPr>
              <w:t>1</w:t>
            </w:r>
            <w:r>
              <w:rPr>
                <w:rFonts w:hint="eastAsia" w:ascii="宋体" w:hAnsi="宋体" w:eastAsia="宋体" w:cs="宋体"/>
                <w:b/>
                <w:bCs/>
                <w:color w:val="000000"/>
                <w:kern w:val="0"/>
                <w:sz w:val="28"/>
                <w:szCs w:val="28"/>
                <w:lang w:val="en-US" w:eastAsia="zh-CN" w:bidi="ar"/>
              </w:rPr>
              <w:t>、施工总布置</w:t>
            </w:r>
          </w:p>
          <w:p w14:paraId="421FDFD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auto"/>
                <w:spacing w:val="0"/>
                <w:sz w:val="24"/>
                <w:szCs w:val="24"/>
                <w:u w:val="none"/>
                <w:lang w:val="en-US"/>
              </w:rPr>
            </w:pP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Times New Roman" w:cs="Times New Roman"/>
                <w:b w:val="0"/>
                <w:bCs w:val="0"/>
                <w:color w:val="auto"/>
                <w:spacing w:val="0"/>
                <w:sz w:val="24"/>
                <w:szCs w:val="24"/>
                <w:u w:val="none"/>
              </w:rPr>
              <w:t>1</w:t>
            </w:r>
            <w:r>
              <w:rPr>
                <w:rFonts w:hint="eastAsia" w:ascii="Times New Roman" w:hAnsi="Times New Roman" w:eastAsia="宋体" w:cs="Times New Roman"/>
                <w:b w:val="0"/>
                <w:bCs w:val="0"/>
                <w:color w:val="auto"/>
                <w:spacing w:val="0"/>
                <w:sz w:val="24"/>
                <w:szCs w:val="24"/>
                <w:u w:val="none"/>
                <w:lang w:eastAsia="zh-CN"/>
              </w:rPr>
              <w:t>）</w:t>
            </w:r>
            <w:r>
              <w:rPr>
                <w:rFonts w:hint="eastAsia" w:ascii="Times New Roman" w:hAnsi="Times New Roman" w:eastAsia="宋体" w:cs="Times New Roman"/>
                <w:b w:val="0"/>
                <w:bCs w:val="0"/>
                <w:color w:val="auto"/>
                <w:spacing w:val="0"/>
                <w:sz w:val="24"/>
                <w:szCs w:val="24"/>
                <w:u w:val="none"/>
                <w:lang w:val="en-US" w:eastAsia="zh-CN"/>
              </w:rPr>
              <w:t>施工临建区</w:t>
            </w:r>
          </w:p>
          <w:p w14:paraId="7FB45E8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本工程施工</w:t>
            </w:r>
            <w:r>
              <w:rPr>
                <w:rFonts w:hint="eastAsia" w:ascii="Times New Roman" w:hAnsi="Times New Roman" w:eastAsia="宋体" w:cs="Times New Roman"/>
                <w:b w:val="0"/>
                <w:bCs w:val="0"/>
                <w:color w:val="auto"/>
                <w:spacing w:val="0"/>
                <w:sz w:val="24"/>
                <w:szCs w:val="24"/>
                <w:u w:val="none"/>
                <w:lang w:val="en-US" w:eastAsia="zh-CN"/>
              </w:rPr>
              <w:t>期</w:t>
            </w:r>
            <w:r>
              <w:rPr>
                <w:rFonts w:hint="default" w:ascii="Times New Roman" w:hAnsi="Times New Roman" w:eastAsia="宋体" w:cs="Times New Roman"/>
                <w:b w:val="0"/>
                <w:bCs w:val="0"/>
                <w:color w:val="auto"/>
                <w:spacing w:val="0"/>
                <w:sz w:val="24"/>
                <w:szCs w:val="24"/>
                <w:u w:val="none"/>
              </w:rPr>
              <w:t>生产设施主要有钢筋及木材加工厂、材料仓库、办公</w:t>
            </w:r>
            <w:r>
              <w:rPr>
                <w:rFonts w:hint="eastAsia" w:ascii="Times New Roman" w:hAnsi="Times New Roman" w:eastAsia="宋体" w:cs="Times New Roman"/>
                <w:b w:val="0"/>
                <w:bCs w:val="0"/>
                <w:color w:val="auto"/>
                <w:spacing w:val="0"/>
                <w:sz w:val="24"/>
                <w:szCs w:val="24"/>
                <w:u w:val="none"/>
                <w:lang w:val="en-US" w:eastAsia="zh-CN"/>
              </w:rPr>
              <w:t>区</w:t>
            </w:r>
            <w:r>
              <w:rPr>
                <w:rFonts w:hint="default" w:ascii="Times New Roman" w:hAnsi="Times New Roman" w:eastAsia="宋体" w:cs="Times New Roman"/>
                <w:b w:val="0"/>
                <w:bCs w:val="0"/>
                <w:color w:val="auto"/>
                <w:spacing w:val="0"/>
                <w:sz w:val="24"/>
                <w:szCs w:val="24"/>
                <w:u w:val="none"/>
              </w:rPr>
              <w:t>等。考虑本工程施工项目相对比较集中，本着有利于生产、生活的原则，同时根据现场地形情况，将钢筋加工厂、木工厂设在右岸堰塘上游平地处，材料仓库设在电站下游平地处</w:t>
            </w:r>
            <w:r>
              <w:rPr>
                <w:rFonts w:hint="eastAsia" w:ascii="Times New Roman" w:hAnsi="Times New Roman" w:eastAsia="宋体" w:cs="Times New Roman"/>
                <w:b w:val="0"/>
                <w:bCs w:val="0"/>
                <w:color w:val="auto"/>
                <w:spacing w:val="0"/>
                <w:sz w:val="24"/>
                <w:szCs w:val="24"/>
                <w:u w:val="none"/>
                <w:lang w:eastAsia="zh-CN"/>
              </w:rPr>
              <w:t>，</w:t>
            </w:r>
            <w:r>
              <w:rPr>
                <w:rFonts w:hint="eastAsia" w:ascii="Times New Roman" w:hAnsi="Times New Roman" w:eastAsia="宋体" w:cs="Times New Roman"/>
                <w:b w:val="0"/>
                <w:bCs w:val="0"/>
                <w:color w:val="auto"/>
                <w:spacing w:val="0"/>
                <w:sz w:val="24"/>
                <w:szCs w:val="24"/>
                <w:u w:val="none"/>
                <w:lang w:val="en-US" w:eastAsia="zh-CN"/>
              </w:rPr>
              <w:t>总占地1600m</w:t>
            </w:r>
            <w:r>
              <w:rPr>
                <w:rFonts w:hint="eastAsia" w:ascii="Times New Roman" w:hAnsi="Times New Roman" w:eastAsia="宋体" w:cs="Times New Roman"/>
                <w:b w:val="0"/>
                <w:bCs w:val="0"/>
                <w:color w:val="auto"/>
                <w:spacing w:val="0"/>
                <w:sz w:val="24"/>
                <w:szCs w:val="24"/>
                <w:u w:val="none"/>
                <w:vertAlign w:val="superscript"/>
                <w:lang w:val="en-US" w:eastAsia="zh-CN"/>
              </w:rPr>
              <w:t>2</w:t>
            </w:r>
            <w:r>
              <w:rPr>
                <w:rFonts w:hint="default" w:ascii="Times New Roman" w:hAnsi="Times New Roman" w:eastAsia="宋体" w:cs="Times New Roman"/>
                <w:b w:val="0"/>
                <w:bCs w:val="0"/>
                <w:color w:val="auto"/>
                <w:spacing w:val="0"/>
                <w:sz w:val="24"/>
                <w:szCs w:val="24"/>
                <w:u w:val="none"/>
              </w:rPr>
              <w:t>。</w:t>
            </w:r>
          </w:p>
          <w:p w14:paraId="442B7A3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auto"/>
                <w:spacing w:val="0"/>
                <w:sz w:val="24"/>
                <w:szCs w:val="24"/>
                <w:u w:val="none"/>
              </w:rPr>
            </w:pP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2</w:t>
            </w: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施工道路</w:t>
            </w:r>
          </w:p>
          <w:p w14:paraId="4320EA8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项目区各乡镇、村均有通村道路，县乡道路，对外交通十分便利。场内</w:t>
            </w:r>
            <w:r>
              <w:rPr>
                <w:rFonts w:hint="eastAsia" w:ascii="Times New Roman" w:hAnsi="Times New Roman" w:eastAsia="宋体" w:cs="Times New Roman"/>
                <w:b w:val="0"/>
                <w:bCs w:val="0"/>
                <w:color w:val="auto"/>
                <w:spacing w:val="0"/>
                <w:sz w:val="24"/>
                <w:szCs w:val="24"/>
                <w:u w:val="none"/>
                <w:lang w:val="en-US" w:eastAsia="zh-CN"/>
              </w:rPr>
              <w:t>新建</w:t>
            </w:r>
            <w:r>
              <w:rPr>
                <w:rFonts w:hint="default" w:ascii="Times New Roman" w:hAnsi="Times New Roman" w:eastAsia="宋体" w:cs="Times New Roman"/>
                <w:b w:val="0"/>
                <w:bCs w:val="0"/>
                <w:color w:val="auto"/>
                <w:spacing w:val="0"/>
                <w:sz w:val="24"/>
                <w:szCs w:val="24"/>
                <w:u w:val="none"/>
              </w:rPr>
              <w:t>临时施工道路，路面宽4m，总长0.24km，采用泥结碎石路面，路面坡度为4%～6%，临时施工道路为场内三级道路。场内施工道路与场外道路相通连。</w:t>
            </w:r>
          </w:p>
          <w:p w14:paraId="5B531C7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auto"/>
                <w:spacing w:val="0"/>
                <w:sz w:val="24"/>
                <w:szCs w:val="24"/>
                <w:u w:val="none"/>
              </w:rPr>
            </w:pP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Times New Roman" w:cs="Times New Roman"/>
                <w:b w:val="0"/>
                <w:bCs w:val="0"/>
                <w:color w:val="auto"/>
                <w:spacing w:val="0"/>
                <w:sz w:val="24"/>
                <w:szCs w:val="24"/>
                <w:u w:val="none"/>
              </w:rPr>
              <w:t>3</w:t>
            </w: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施工营地</w:t>
            </w:r>
          </w:p>
          <w:p w14:paraId="33B3D0E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auto"/>
                <w:spacing w:val="0"/>
                <w:sz w:val="24"/>
                <w:szCs w:val="24"/>
                <w:u w:val="none"/>
              </w:rPr>
            </w:pPr>
            <w:r>
              <w:rPr>
                <w:rFonts w:hint="eastAsia" w:ascii="Times New Roman" w:hAnsi="Times New Roman" w:eastAsia="宋体" w:cs="Times New Roman"/>
                <w:b w:val="0"/>
                <w:bCs w:val="0"/>
                <w:color w:val="auto"/>
                <w:spacing w:val="0"/>
                <w:sz w:val="24"/>
                <w:szCs w:val="24"/>
                <w:u w:val="none"/>
                <w:lang w:eastAsia="zh-CN"/>
              </w:rPr>
              <w:t>本项目</w:t>
            </w:r>
            <w:r>
              <w:rPr>
                <w:rFonts w:hint="default" w:ascii="Times New Roman" w:hAnsi="Times New Roman" w:eastAsia="宋体" w:cs="Times New Roman"/>
                <w:b w:val="0"/>
                <w:bCs w:val="0"/>
                <w:color w:val="auto"/>
                <w:spacing w:val="0"/>
                <w:sz w:val="24"/>
                <w:szCs w:val="24"/>
                <w:u w:val="none"/>
              </w:rPr>
              <w:t>施工人员</w:t>
            </w:r>
            <w:r>
              <w:rPr>
                <w:rFonts w:hint="eastAsia" w:ascii="Times New Roman" w:hAnsi="Times New Roman" w:eastAsia="宋体" w:cs="Times New Roman"/>
                <w:b w:val="0"/>
                <w:bCs w:val="0"/>
                <w:color w:val="auto"/>
                <w:spacing w:val="0"/>
                <w:sz w:val="24"/>
                <w:szCs w:val="24"/>
                <w:u w:val="none"/>
                <w:lang w:val="en-US" w:eastAsia="zh-CN"/>
              </w:rPr>
              <w:t>办公生活区租赁附近居民房屋</w:t>
            </w:r>
            <w:r>
              <w:rPr>
                <w:rFonts w:hint="default" w:ascii="Times New Roman" w:hAnsi="Times New Roman" w:eastAsia="宋体" w:cs="Times New Roman"/>
                <w:b w:val="0"/>
                <w:bCs w:val="0"/>
                <w:color w:val="auto"/>
                <w:spacing w:val="0"/>
                <w:sz w:val="24"/>
                <w:szCs w:val="24"/>
                <w:u w:val="none"/>
              </w:rPr>
              <w:t>，不另外搭建临时办公及生活用房。</w:t>
            </w:r>
          </w:p>
          <w:p w14:paraId="3BD6155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b w:val="0"/>
                <w:bCs w:val="0"/>
                <w:color w:val="auto"/>
                <w:spacing w:val="0"/>
                <w:sz w:val="24"/>
                <w:szCs w:val="24"/>
                <w:u w:val="none"/>
                <w:lang w:val="en-US" w:eastAsia="zh-CN"/>
              </w:rPr>
            </w:pPr>
            <w:r>
              <w:rPr>
                <w:rFonts w:hint="eastAsia" w:ascii="Times New Roman" w:hAnsi="Times New Roman" w:eastAsia="宋体" w:cs="Times New Roman"/>
                <w:b w:val="0"/>
                <w:bCs w:val="0"/>
                <w:color w:val="auto"/>
                <w:spacing w:val="0"/>
                <w:sz w:val="24"/>
                <w:szCs w:val="24"/>
                <w:u w:val="none"/>
                <w:lang w:val="en-US" w:eastAsia="zh-CN"/>
              </w:rPr>
              <w:t>（4）弃土场</w:t>
            </w:r>
          </w:p>
          <w:p w14:paraId="633BDAC1">
            <w:pPr>
              <w:spacing w:line="480" w:lineRule="exact"/>
              <w:ind w:firstLine="470" w:firstLineChars="196"/>
              <w:rPr>
                <w:rFonts w:hint="eastAsia"/>
                <w:sz w:val="24"/>
              </w:rPr>
            </w:pPr>
            <w:r>
              <w:rPr>
                <w:rFonts w:hint="eastAsia" w:ascii="Times New Roman" w:hAnsi="Times New Roman" w:eastAsia="宋体" w:cs="Times New Roman"/>
                <w:b w:val="0"/>
                <w:bCs w:val="0"/>
                <w:color w:val="auto"/>
                <w:spacing w:val="0"/>
                <w:sz w:val="24"/>
                <w:szCs w:val="24"/>
                <w:u w:val="none"/>
                <w:lang w:val="en-US" w:eastAsia="zh-CN"/>
              </w:rPr>
              <w:t>设计1座弃土场，位于黎家坪镇马斯坪村，距离本项目5km，可满足容纳本项目弃土方量，占地5.7亩，可满足容纳本项目弃土方量。为新增临时占地，占地类型是荒地，不占用公益林、天然林、湿地、生态保护红线、永久基本农田及其他生态敏感区。弃土完成后，采取撒播草籽方式复绿、表土回填、土地整治、挡渣墙、截、排水沟等措施</w:t>
            </w:r>
            <w:r>
              <w:rPr>
                <w:rFonts w:hint="eastAsia"/>
                <w:sz w:val="24"/>
              </w:rPr>
              <w:t>。</w:t>
            </w:r>
          </w:p>
        </w:tc>
      </w:tr>
      <w:tr w14:paraId="626D14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56" w:type="dxa"/>
            <w:vAlign w:val="center"/>
          </w:tcPr>
          <w:p w14:paraId="2FDC2DFC">
            <w:pPr>
              <w:jc w:val="center"/>
              <w:rPr>
                <w:color w:val="000000"/>
                <w:sz w:val="24"/>
              </w:rPr>
            </w:pPr>
            <w:r>
              <w:rPr>
                <w:rFonts w:hint="eastAsia"/>
                <w:color w:val="000000"/>
                <w:sz w:val="24"/>
              </w:rPr>
              <w:t>施工方案</w:t>
            </w:r>
          </w:p>
        </w:tc>
        <w:tc>
          <w:tcPr>
            <w:tcW w:w="8417" w:type="dxa"/>
            <w:vAlign w:val="center"/>
          </w:tcPr>
          <w:p w14:paraId="3BFDA856">
            <w:pPr>
              <w:spacing w:line="360" w:lineRule="auto"/>
              <w:ind w:firstLine="480" w:firstLineChars="200"/>
              <w:rPr>
                <w:rFonts w:hint="eastAsia" w:ascii="Times New Roman" w:hAnsi="Times New Roman" w:eastAsia="宋体" w:cs="Times New Roman"/>
                <w:bCs/>
                <w:color w:val="000000"/>
                <w:sz w:val="24"/>
                <w:u w:val="none"/>
              </w:rPr>
            </w:pPr>
            <w:r>
              <w:rPr>
                <w:rFonts w:hint="eastAsia" w:ascii="Times New Roman" w:hAnsi="Times New Roman" w:eastAsia="宋体" w:cs="Times New Roman"/>
                <w:bCs/>
                <w:color w:val="000000"/>
                <w:sz w:val="24"/>
                <w:u w:val="none"/>
                <w:lang w:val="en-US" w:eastAsia="zh-CN"/>
              </w:rPr>
              <w:t>根据《</w:t>
            </w:r>
            <w:r>
              <w:rPr>
                <w:rFonts w:hint="eastAsia" w:cs="Times New Roman"/>
                <w:bCs/>
                <w:color w:val="000000"/>
                <w:sz w:val="24"/>
                <w:u w:val="none"/>
                <w:lang w:val="en-US" w:eastAsia="zh-CN"/>
              </w:rPr>
              <w:t>祁阳市冷江河坝水闸除险加固工程</w:t>
            </w:r>
            <w:r>
              <w:rPr>
                <w:rFonts w:hint="eastAsia" w:ascii="Times New Roman" w:hAnsi="Times New Roman" w:eastAsia="宋体" w:cs="Times New Roman"/>
                <w:bCs/>
                <w:color w:val="000000"/>
                <w:sz w:val="24"/>
                <w:u w:val="none"/>
                <w:lang w:val="en-US" w:eastAsia="zh-CN"/>
              </w:rPr>
              <w:t>可行性研究报告》和《</w:t>
            </w:r>
            <w:r>
              <w:rPr>
                <w:rFonts w:hint="eastAsia" w:cs="Times New Roman"/>
                <w:bCs/>
                <w:color w:val="000000"/>
                <w:sz w:val="24"/>
                <w:u w:val="none"/>
                <w:lang w:val="en-US" w:eastAsia="zh-CN"/>
              </w:rPr>
              <w:t>祁阳市冷江河坝水闸除险加固工程初步</w:t>
            </w:r>
            <w:r>
              <w:rPr>
                <w:rFonts w:hint="eastAsia" w:ascii="Times New Roman" w:hAnsi="Times New Roman" w:eastAsia="宋体" w:cs="Times New Roman"/>
                <w:bCs/>
                <w:color w:val="000000"/>
                <w:sz w:val="24"/>
                <w:u w:val="none"/>
                <w:lang w:val="en-US" w:eastAsia="zh-CN"/>
              </w:rPr>
              <w:t>设计》，</w:t>
            </w:r>
            <w:r>
              <w:rPr>
                <w:rFonts w:hint="eastAsia" w:cs="Times New Roman"/>
                <w:bCs/>
                <w:color w:val="000000"/>
                <w:sz w:val="24"/>
                <w:u w:val="none"/>
                <w:lang w:val="en-US" w:eastAsia="zh-CN"/>
              </w:rPr>
              <w:t>本</w:t>
            </w:r>
            <w:r>
              <w:rPr>
                <w:rFonts w:hint="eastAsia" w:ascii="Times New Roman" w:hAnsi="Times New Roman" w:eastAsia="宋体" w:cs="Times New Roman"/>
                <w:bCs/>
                <w:color w:val="000000"/>
                <w:sz w:val="24"/>
                <w:u w:val="none"/>
                <w:lang w:val="en-US" w:eastAsia="zh-CN"/>
              </w:rPr>
              <w:t>项目工艺流程及产污情况如下。</w:t>
            </w:r>
          </w:p>
          <w:p w14:paraId="6BAB8D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ascii="Times New Roman" w:hAnsi="Times New Roman" w:eastAsia="宋体" w:cs="Times New Roman"/>
                <w:b w:val="0"/>
                <w:bCs w:val="0"/>
                <w:color w:val="auto"/>
                <w:spacing w:val="0"/>
                <w:sz w:val="24"/>
                <w:szCs w:val="24"/>
              </w:rPr>
            </w:pPr>
            <w:r>
              <w:rPr>
                <w:rFonts w:hint="eastAsia" w:cs="Times New Roman"/>
                <w:b/>
                <w:bCs w:val="0"/>
                <w:color w:val="000000"/>
                <w:sz w:val="24"/>
                <w:u w:val="none"/>
                <w:lang w:val="en-US" w:eastAsia="zh-CN"/>
              </w:rPr>
              <w:t>1</w:t>
            </w:r>
            <w:r>
              <w:rPr>
                <w:rFonts w:hint="eastAsia" w:ascii="Times New Roman" w:hAnsi="Times New Roman" w:eastAsia="宋体" w:cs="Times New Roman"/>
                <w:b/>
                <w:bCs w:val="0"/>
                <w:color w:val="000000"/>
                <w:sz w:val="24"/>
                <w:u w:val="none"/>
              </w:rPr>
              <w:t>、</w:t>
            </w:r>
            <w:r>
              <w:rPr>
                <w:rFonts w:hint="default" w:ascii="Times New Roman" w:hAnsi="Times New Roman" w:eastAsia="宋体" w:cs="Times New Roman"/>
                <w:b w:val="0"/>
                <w:bCs w:val="0"/>
                <w:color w:val="auto"/>
                <w:spacing w:val="0"/>
                <w:sz w:val="24"/>
                <w:szCs w:val="24"/>
                <w14:textOutline w14:w="4354" w14:cap="flat" w14:cmpd="sng">
                  <w14:solidFill>
                    <w14:srgbClr w14:val="000000"/>
                  </w14:solidFill>
                  <w14:prstDash w14:val="solid"/>
                  <w14:miter w14:val="0"/>
                </w14:textOutline>
              </w:rPr>
              <w:t>土方</w:t>
            </w:r>
            <w:r>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开挖</w:t>
            </w:r>
            <w:r>
              <w:rPr>
                <w:rFonts w:hint="default" w:ascii="Times New Roman" w:hAnsi="Times New Roman" w:eastAsia="宋体" w:cs="Times New Roman"/>
                <w:b w:val="0"/>
                <w:bCs w:val="0"/>
                <w:color w:val="auto"/>
                <w:spacing w:val="0"/>
                <w:sz w:val="24"/>
                <w:szCs w:val="24"/>
                <w14:textOutline w14:w="4354" w14:cap="flat" w14:cmpd="sng">
                  <w14:solidFill>
                    <w14:srgbClr w14:val="000000"/>
                  </w14:solidFill>
                  <w14:prstDash w14:val="solid"/>
                  <w14:miter w14:val="0"/>
                </w14:textOutline>
              </w:rPr>
              <w:t>施工</w:t>
            </w:r>
          </w:p>
          <w:p w14:paraId="020188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本工程土石方开挖主要为原坝体段土石方开挖、新设计的护坦及海漫段土石方开挖、原水轮泵房拆除重建、围堰及临时施工道路拆除施工等。</w:t>
            </w:r>
          </w:p>
          <w:p w14:paraId="13CF62A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土石方开挖按以下方法施工外，还应符合 SL260-2014《堤防工程施工规范》、SL27-2014《水闸施工规范》中有关规定。</w:t>
            </w:r>
          </w:p>
          <w:p w14:paraId="35F2221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土方开挖采用人工和机械相结合的施工方法，以机械开挖为主，开挖采用1.0m³反铲开挖，8t自卸汽车弃渣，利用料运至临时堆渣场堆放，平均运距1.0km，剩余料运至弃渣场弃渣，平均运距 5.0km。针对机械设备无法到达的位置的土方开挖，采用人工用铲开挖的方式进行开挖，开挖料人工转运至开阔地，再利用机械装车弃至弃渣场或临时堆渣场。</w:t>
            </w:r>
          </w:p>
          <w:p w14:paraId="13FAA58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石方开挖采用液压破碎锤进行拆除，机械无法到达部位采用人工手持电镐进行开挖，凿毛采用人工钢钎锤击凿毛施工。用 1.0m³反铲挖掘机挖装，8t 自卸汽车运至弃渣场弃渣，平均运距 5.0km。</w:t>
            </w:r>
            <w:bookmarkStart w:id="4" w:name="_Toc31128"/>
          </w:p>
          <w:bookmarkEnd w:id="4"/>
          <w:p w14:paraId="0AD98F37">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2"/>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pPr>
            <w:r>
              <w:rPr>
                <w:rFonts w:hint="eastAsia"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 xml:space="preserve">    2、</w:t>
            </w:r>
            <w:r>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 xml:space="preserve">土石方填筑 </w:t>
            </w:r>
          </w:p>
          <w:p w14:paraId="5117D5B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临时道路和围堰的填筑主要利用合格的开挖料作为填筑料，开挖料堆放于临时堆渣场，采用1m³反铲挖装，8t 自卸汽车运至填筑面卸料，平均运距1.0km，人工配合1.0m³反铲挖掘机平料，铺土层厚度25～30cm，采用人工夯实或蛙式打夯机逐层夯实，对于边角或结合部位要加密夯实，确保结合部位的施工质量。</w:t>
            </w:r>
          </w:p>
          <w:p w14:paraId="66E3AA0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粘性土围堰填筑按上游向下游方向进行施工，一期围堰自取土场取料进行填筑，采用1m³反铲挖掘机挖装，8t 自卸汽车运输至围堰填筑处，平均运距5.0km，74Kw 推土机推平，小型震动碾压实。一期围堰拆除采用1m³反铲挖掘机开挖，合格的开挖料由自卸汽车运输至临时堆渣场，平均运距1.0km，剩余部分运至弃渣场外弃，平均运距5.0km。</w:t>
            </w:r>
          </w:p>
          <w:p w14:paraId="4782D1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二期围堰采用一期围堰开挖料（按围堰拆除总量的50%计）进行填筑，其余不足部分从附近土料场取料，采用1m³反铲挖掘机挖装，8t 自卸汽车运输至二期围堰填筑处，临时堆渣场平均运距200m（装载机运输），取土场平均运距 5.0km，74Kw 推土机推平，小型震动碾压实。</w:t>
            </w:r>
          </w:p>
          <w:p w14:paraId="2F0BC3D8">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2"/>
              <w:rPr>
                <w:rFonts w:hint="default"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pPr>
            <w:r>
              <w:rPr>
                <w:rFonts w:hint="eastAsia"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 xml:space="preserve">    3、</w:t>
            </w:r>
            <w:r>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混凝土工程</w:t>
            </w:r>
          </w:p>
          <w:p w14:paraId="148802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（1）</w:t>
            </w:r>
            <w:r>
              <w:rPr>
                <w:rFonts w:hint="eastAsia" w:ascii="Times New Roman" w:hAnsi="Times New Roman" w:eastAsia="宋体" w:cs="Times New Roman"/>
                <w:b w:val="0"/>
                <w:bCs w:val="0"/>
                <w:color w:val="auto"/>
                <w:spacing w:val="0"/>
                <w:sz w:val="24"/>
                <w:lang w:val="en-US" w:eastAsia="zh-CN"/>
              </w:rPr>
              <w:t>混凝土拆除</w:t>
            </w:r>
          </w:p>
          <w:p w14:paraId="0704DE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混凝土拆除工程主要为原坝体拆除、岸墙拆除重建、工作桥拆除重建等。主要采用液压岩石破碎机拆除，机械无法到达部位的小体积混凝土拆除采用电锤，人工凿除混凝土。弃渣采用 1m³反铲挖掘机装碴，8t自卸汽车运输至附近弃碴场弃渣，平均运距5.0km</w:t>
            </w:r>
            <w:r>
              <w:rPr>
                <w:rFonts w:hint="eastAsia" w:cs="Times New Roman"/>
                <w:b w:val="0"/>
                <w:bCs w:val="0"/>
                <w:color w:val="auto"/>
                <w:spacing w:val="0"/>
                <w:sz w:val="24"/>
                <w:lang w:val="en-US" w:eastAsia="zh-CN"/>
              </w:rPr>
              <w:t>。</w:t>
            </w:r>
          </w:p>
          <w:p w14:paraId="00B189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（2）</w:t>
            </w:r>
            <w:r>
              <w:rPr>
                <w:rFonts w:hint="eastAsia" w:ascii="Times New Roman" w:hAnsi="Times New Roman" w:eastAsia="宋体" w:cs="Times New Roman"/>
                <w:b w:val="0"/>
                <w:bCs w:val="0"/>
                <w:color w:val="auto"/>
                <w:spacing w:val="0"/>
                <w:sz w:val="24"/>
                <w:lang w:val="en-US" w:eastAsia="zh-CN"/>
              </w:rPr>
              <w:t>混凝土浇筑</w:t>
            </w:r>
          </w:p>
          <w:p w14:paraId="55AA59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混凝土由混凝土商砼站集中供应，经12m</w:t>
            </w:r>
            <w:r>
              <w:rPr>
                <w:rFonts w:hint="default" w:ascii="Times New Roman" w:hAnsi="Times New Roman" w:eastAsia="宋体" w:cs="Times New Roman"/>
                <w:b w:val="0"/>
                <w:bCs w:val="0"/>
                <w:color w:val="auto"/>
                <w:spacing w:val="0"/>
                <w:sz w:val="24"/>
                <w:lang w:val="en-US" w:eastAsia="zh-CN"/>
              </w:rPr>
              <w:t>³</w:t>
            </w:r>
            <w:r>
              <w:rPr>
                <w:rFonts w:hint="eastAsia" w:ascii="Times New Roman" w:hAnsi="Times New Roman" w:eastAsia="宋体" w:cs="Times New Roman"/>
                <w:b w:val="0"/>
                <w:bCs w:val="0"/>
                <w:color w:val="auto"/>
                <w:spacing w:val="0"/>
                <w:sz w:val="24"/>
                <w:lang w:val="en-US" w:eastAsia="zh-CN"/>
              </w:rPr>
              <w:t>混凝土罐车运输至施工现场，平均运距10.0km，采用人工绑扎钢筋、制安模板、搭建施工脚手架，施工材料由8t自卸汽车进行水平运输。混凝土主要采用输送泵入仓，插入式振捣器振捣致密实，人工洒水养护，局部小体积混凝土采用自拌混凝土，人工入仓。</w:t>
            </w:r>
          </w:p>
          <w:p w14:paraId="392038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混凝土施工按以下方法外，还应符合SL677-2014《水工混凝土施工规范》和SL27-2014《水闸施工规范》有关规定。</w:t>
            </w:r>
          </w:p>
          <w:p w14:paraId="440899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主要施工方法如下：</w:t>
            </w:r>
          </w:p>
          <w:p w14:paraId="661E40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A</w:t>
            </w:r>
            <w:r>
              <w:rPr>
                <w:rFonts w:hint="eastAsia" w:ascii="Times New Roman" w:hAnsi="Times New Roman" w:eastAsia="宋体" w:cs="Times New Roman"/>
                <w:b w:val="0"/>
                <w:bCs w:val="0"/>
                <w:color w:val="auto"/>
                <w:spacing w:val="0"/>
                <w:sz w:val="24"/>
                <w:lang w:val="en-US" w:eastAsia="zh-CN"/>
              </w:rPr>
              <w:t>、测量放样</w:t>
            </w:r>
          </w:p>
          <w:p w14:paraId="2C5447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混凝土浇筑前，应放样立标，拉线立模。放样点的允许误差按以下规定：轴线的允许误差，±17mm；平面轮廓的允许误差，±20mm；高程的允许误差，±20mm；细部放样允许误差，±10mm。</w:t>
            </w:r>
          </w:p>
          <w:p w14:paraId="0CE1B9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B</w:t>
            </w:r>
            <w:r>
              <w:rPr>
                <w:rFonts w:hint="eastAsia" w:ascii="Times New Roman" w:hAnsi="Times New Roman" w:eastAsia="宋体" w:cs="Times New Roman"/>
                <w:b w:val="0"/>
                <w:bCs w:val="0"/>
                <w:color w:val="auto"/>
                <w:spacing w:val="0"/>
                <w:sz w:val="24"/>
                <w:lang w:val="en-US" w:eastAsia="zh-CN"/>
              </w:rPr>
              <w:t>、钢筋制作安装</w:t>
            </w:r>
          </w:p>
          <w:p w14:paraId="3D8FE4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①钢筋制作。根据设计图纸和混凝土浇筑分层进行钢筋配料，在钢筋加工厂制作成形。成形钢筋应按规格分别堆放并挂牌标识。</w:t>
            </w:r>
          </w:p>
          <w:p w14:paraId="6E7009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②钢筋安装。钢筋按设计图纸的要求采用搭接焊，绑条焊或绑扎连接，具体要求按设计文件的有关规定执行。焊接工艺、焊接质量在正式施工前作好试验，报监理工程师送审后实施。</w:t>
            </w:r>
          </w:p>
          <w:p w14:paraId="76E3F7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③钢筋安装时要严格控制保护层厚度，钢筋下面要设置强度高于构件设计强度、质量合格的混凝土或砂浆垫块。侧面使用的垫块要埋设铁丝，并与钢筋扎紧，所有垫块相互错开，分散布置。在双层和多层钢筋之间，用短钢筋支撑，以保护钢筋位置的准确。</w:t>
            </w:r>
          </w:p>
          <w:p w14:paraId="7439A8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④预埋件安装。预埋件及紫铜止水片按设计图纸要求进行施工。紫铜止水片在安装过程中应采取保护措施，防止其变形或撕裂。金属止水片应平整、干净，无砂眼和钉孔，对安装好的止水片应加以固定和保护，并防止浇筑过程中倾斜和移位。</w:t>
            </w:r>
          </w:p>
          <w:p w14:paraId="47F41A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C.</w:t>
            </w:r>
            <w:r>
              <w:rPr>
                <w:rFonts w:hint="eastAsia" w:ascii="Times New Roman" w:hAnsi="Times New Roman" w:eastAsia="宋体" w:cs="Times New Roman"/>
                <w:b w:val="0"/>
                <w:bCs w:val="0"/>
                <w:color w:val="auto"/>
                <w:spacing w:val="0"/>
                <w:sz w:val="24"/>
                <w:lang w:val="en-US" w:eastAsia="zh-CN"/>
              </w:rPr>
              <w:t>模板安装固定</w:t>
            </w:r>
          </w:p>
          <w:p w14:paraId="2E88AF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本工程模板以钢模为主，局部异形结构采用木模板。</w:t>
            </w:r>
          </w:p>
          <w:p w14:paraId="7BDC24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①模板的贮运、保养、加工、组合、支立等严格把关，按规范施工；模板需有足够的强度、钢度和稳定性，拼装后表面平整，接缝紧密，保证混凝土的浇筑质量。</w:t>
            </w:r>
          </w:p>
          <w:p w14:paraId="34BF90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②为了避免模板与混凝土粘结，模板表面要除涂刷脱模剂，脱模剂采用石腊、柴油、滑石粉配制。模板工程在混凝土浇筑时派专人值班守模，以防浇筑过程中的胀模、漏模，以保证混凝土的外观质量。</w:t>
            </w:r>
          </w:p>
          <w:p w14:paraId="492493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175"/>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③模板安装固定后应进行校验，检查安装偏差是否符合要求；接缝是否严密；支撑是否牢固等。</w:t>
            </w:r>
          </w:p>
          <w:p w14:paraId="2F2D5B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right="0" w:rightChars="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D.</w:t>
            </w:r>
            <w:r>
              <w:rPr>
                <w:rFonts w:hint="eastAsia" w:ascii="Times New Roman" w:hAnsi="Times New Roman" w:eastAsia="宋体" w:cs="Times New Roman"/>
                <w:b w:val="0"/>
                <w:bCs w:val="0"/>
                <w:color w:val="auto"/>
                <w:spacing w:val="0"/>
                <w:sz w:val="24"/>
                <w:lang w:val="en-US" w:eastAsia="zh-CN"/>
              </w:rPr>
              <w:t>混凝土采购及运输</w:t>
            </w:r>
          </w:p>
          <w:p w14:paraId="57B3AE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工程所需混凝土通过外购商品混凝土解决，经调查，距离项目区综合运距10.0km的商品混凝土生产厂家，其产品质量和日产量均能满足工程要求，经12m³混凝土罐车运输至施工现场。利用输送泵入仓，部分狭窄部位转人工挑运入仓，人工平仓。</w:t>
            </w:r>
          </w:p>
          <w:p w14:paraId="16D3D8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混凝土按每50—100m³取混凝土试件一组(3个试件取自同一盘混凝土中)，</w:t>
            </w:r>
          </w:p>
          <w:p w14:paraId="766616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每一个工作班到少取试件一组。</w:t>
            </w:r>
          </w:p>
          <w:p w14:paraId="32E40F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E</w:t>
            </w:r>
            <w:r>
              <w:rPr>
                <w:rFonts w:hint="eastAsia" w:ascii="Times New Roman" w:hAnsi="Times New Roman" w:eastAsia="宋体" w:cs="Times New Roman"/>
                <w:b w:val="0"/>
                <w:bCs w:val="0"/>
                <w:color w:val="auto"/>
                <w:spacing w:val="0"/>
                <w:sz w:val="24"/>
                <w:lang w:val="en-US" w:eastAsia="zh-CN"/>
              </w:rPr>
              <w:t>、混凝土浇筑</w:t>
            </w:r>
          </w:p>
          <w:p w14:paraId="720CC4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工艺流程：清仓→入仓铺料→平仓振捣。</w:t>
            </w:r>
          </w:p>
          <w:p w14:paraId="659917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①仓面准备工作：包括基础面处理、施工缝处理、仓面清理等。以上工作完成后，经监理工程师验收合格后，方能开仓进行混凝土浇筑。</w:t>
            </w:r>
          </w:p>
          <w:p w14:paraId="09E351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②铺料：按一定的厚度(150~250cm)、顺序和方向，采用分层铺筑，浇筑面大致水平，每层间隔时间不超过2小时。基岩面的浇筑仓和老混凝土上迎水面浇筑仓，在浇筑第一层混凝土前，铺一层2</w:t>
            </w:r>
            <w:r>
              <w:rPr>
                <w:rFonts w:hint="eastAsia" w:cs="Times New Roman"/>
                <w:b w:val="0"/>
                <w:bCs w:val="0"/>
                <w:color w:val="auto"/>
                <w:spacing w:val="0"/>
                <w:sz w:val="24"/>
                <w:lang w:val="en-US" w:eastAsia="zh-CN"/>
              </w:rPr>
              <w:t>~</w:t>
            </w:r>
            <w:r>
              <w:rPr>
                <w:rFonts w:hint="eastAsia" w:ascii="Times New Roman" w:hAnsi="Times New Roman" w:eastAsia="宋体" w:cs="Times New Roman"/>
                <w:b w:val="0"/>
                <w:bCs w:val="0"/>
                <w:color w:val="auto"/>
                <w:spacing w:val="0"/>
                <w:sz w:val="24"/>
                <w:lang w:val="en-US" w:eastAsia="zh-CN"/>
              </w:rPr>
              <w:t>3cm 的水泥砂浆。</w:t>
            </w:r>
          </w:p>
          <w:p w14:paraId="3FD174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③平仓振捣：平仓采用人工平仓，混凝土振捣采用高频振捣器，振捣按序进行，快插慢拔，不漏振或过振，振捣器头宜垂直插入并深入下层混凝土中 5cm左右，以混凝土表面不显著下沉，不出现气泡，并开始泛浆不产生离析为结束标准。</w:t>
            </w:r>
          </w:p>
          <w:p w14:paraId="32B6A6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F</w:t>
            </w:r>
            <w:r>
              <w:rPr>
                <w:rFonts w:hint="eastAsia" w:ascii="Times New Roman" w:hAnsi="Times New Roman" w:eastAsia="宋体" w:cs="Times New Roman"/>
                <w:b w:val="0"/>
                <w:bCs w:val="0"/>
                <w:color w:val="auto"/>
                <w:spacing w:val="0"/>
                <w:sz w:val="24"/>
                <w:lang w:val="en-US" w:eastAsia="zh-CN"/>
              </w:rPr>
              <w:t>、拆模</w:t>
            </w:r>
          </w:p>
          <w:p w14:paraId="6D94CA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①不承重的侧面模板，应在混凝土强度达到2.5MPa，表面及棱角不因拆除而损伤时，才能拆除。</w:t>
            </w:r>
          </w:p>
          <w:p w14:paraId="3D5DA1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②承重的模板及支撑，应在混凝土强度达到下列强度后才能拆除：悬臂梁、板，跨度≤2m时，强度达到 70%；跨度＞2m时，强度达到100%；其他梁、板、拱：跨度≤2m时，强度达到50%，跨度＞2m，等于8m或小于8m时强度达到70%，跨度＞8m时，强度达到100%；桥梁、胸墙等重要部位的承重支架，除混凝土强度达到以上规定外，龄期不得小于7天。</w:t>
            </w:r>
          </w:p>
          <w:p w14:paraId="2FE60F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G</w:t>
            </w:r>
            <w:r>
              <w:rPr>
                <w:rFonts w:hint="eastAsia" w:ascii="Times New Roman" w:hAnsi="Times New Roman" w:eastAsia="宋体" w:cs="Times New Roman"/>
                <w:b w:val="0"/>
                <w:bCs w:val="0"/>
                <w:color w:val="auto"/>
                <w:spacing w:val="0"/>
                <w:sz w:val="24"/>
                <w:lang w:val="en-US" w:eastAsia="zh-CN"/>
              </w:rPr>
              <w:t>、混凝土养护</w:t>
            </w:r>
          </w:p>
          <w:p w14:paraId="1157A9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混凝土浇筑完毕12~18h 即开始人工洒水养护，经常保证混凝土面湿润。在炎热或干燥气候情况下，应提前养护。早期混凝土表面应采用水饱和的覆盖物进行遮盖，以免太阳光直接曝晒，混凝土养护时间不得小于14天，重要部位和利用后期强度的混凝土，以及炎热干燥气候条件下，应延长养护时间，一般不得少于 28 天，养护工作配专人负责，并做好养护记录</w:t>
            </w:r>
          </w:p>
          <w:p w14:paraId="6CB13B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H</w:t>
            </w:r>
            <w:r>
              <w:rPr>
                <w:rFonts w:hint="eastAsia" w:ascii="Times New Roman" w:hAnsi="Times New Roman" w:eastAsia="宋体" w:cs="Times New Roman"/>
                <w:b w:val="0"/>
                <w:bCs w:val="0"/>
                <w:color w:val="auto"/>
                <w:spacing w:val="0"/>
                <w:sz w:val="24"/>
                <w:lang w:val="en-US" w:eastAsia="zh-CN"/>
              </w:rPr>
              <w:t>、混凝土构件的预制</w:t>
            </w:r>
          </w:p>
          <w:p w14:paraId="674FC3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①浇筑前检查预埋件的数量和位置。</w:t>
            </w:r>
          </w:p>
          <w:p w14:paraId="457E47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②每个构件一次浇筑完成，不得间断，应采用机械振捣。</w:t>
            </w:r>
          </w:p>
          <w:p w14:paraId="6A5DA0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③构件的外露面应平整、光滑，无蜂窝麻面。</w:t>
            </w:r>
          </w:p>
          <w:p w14:paraId="18C6DD95">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2"/>
              <w:rPr>
                <w:rFonts w:hint="default"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 xml:space="preserve">    4、</w:t>
            </w:r>
            <w:r>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防渗工程施工</w:t>
            </w:r>
          </w:p>
          <w:p w14:paraId="28FC0C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闸坝基础帷幕灌浆沿原坝轴线方向进行，并向两岸山坡延长一定距离，共布孔60个，灌浆孔平行闸门布置在上游齿墙处。</w:t>
            </w:r>
          </w:p>
          <w:p w14:paraId="3445CC8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灌浆孔为单排，孔距2.0m，本次帷幕灌浆向上伸入闸基0.5m，向下伸入相对不透水层线以下3.0m来控制。所有钻孔均为垂直孔，在基岩段钻进时，要注意对基础与防渗墙连接段的保护。帷幕灌浆按分序加密原则进行，分两序孔施灌，同序孔孔距4.0m，一序孔每隔12m设先导孔确定灌浆深度，再进行灌浆。灌浆平台布置于水闸左岸，平台高程100.50m，高于施工期最高地下水位2.0m以上。灌浆平台采用固结灌浆平台。</w:t>
            </w:r>
          </w:p>
          <w:p w14:paraId="2E31BAB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灌浆施工程序为:</w:t>
            </w:r>
          </w:p>
          <w:p w14:paraId="19096760">
            <w:pPr>
              <w:numPr>
                <w:ilvl w:val="0"/>
                <w:numId w:val="0"/>
              </w:numPr>
              <w:adjustRightInd w:val="0"/>
              <w:snapToGrid w:val="0"/>
              <w:spacing w:line="360" w:lineRule="auto"/>
              <w:ind w:firstLine="420" w:firstLineChars="200"/>
              <w:rPr>
                <w:rFonts w:hint="default"/>
                <w:b w:val="0"/>
                <w:bCs/>
                <w:kern w:val="0"/>
                <w:sz w:val="24"/>
                <w:u w:val="single"/>
                <w:lang w:val="en-US" w:eastAsia="zh-CN"/>
              </w:rPr>
            </w:pPr>
            <w:r>
              <w:drawing>
                <wp:inline distT="0" distB="0" distL="114300" distR="114300">
                  <wp:extent cx="5257165" cy="1358900"/>
                  <wp:effectExtent l="0" t="0" r="635" b="1270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7"/>
                          <a:stretch>
                            <a:fillRect/>
                          </a:stretch>
                        </pic:blipFill>
                        <pic:spPr>
                          <a:xfrm>
                            <a:off x="0" y="0"/>
                            <a:ext cx="5257165" cy="1358900"/>
                          </a:xfrm>
                          <a:prstGeom prst="rect">
                            <a:avLst/>
                          </a:prstGeom>
                          <a:noFill/>
                          <a:ln>
                            <a:noFill/>
                          </a:ln>
                        </pic:spPr>
                      </pic:pic>
                    </a:graphicData>
                  </a:graphic>
                </wp:inline>
              </w:drawing>
            </w:r>
          </w:p>
          <w:p w14:paraId="73984E80">
            <w:pPr>
              <w:numPr>
                <w:ilvl w:val="0"/>
                <w:numId w:val="0"/>
              </w:numPr>
              <w:adjustRightInd w:val="0"/>
              <w:snapToGrid w:val="0"/>
              <w:spacing w:line="360" w:lineRule="auto"/>
              <w:ind w:firstLine="480" w:firstLineChars="200"/>
              <w:rPr>
                <w:rFonts w:hint="default"/>
                <w:b w:val="0"/>
                <w:bCs/>
                <w:kern w:val="0"/>
                <w:sz w:val="24"/>
                <w:u w:val="single"/>
                <w:lang w:val="en-US" w:eastAsia="zh-CN"/>
              </w:rPr>
            </w:pPr>
          </w:p>
          <w:p w14:paraId="2A08632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帷幕灌浆材料为42.5普通硅酸盐水泥，最小压力取水头1.5~2 倍，表层段取0.5Mpa，底孔段0.7Mpa，灌浆浆液由稀到浓逐级变换，水灰比采用5：1、3：1、2：1、1：1、0.8：1、0.6（0.5）：1 六个比级，采用自上而下分段灌浆法施工，灌浆段在最大设计压力下，注入率不大于1L/min，继续灌注60min，课结束灌浆，并采用分段灌浆封孔法封孔。帷幕施工完成14d后，即可进行压水试验，测定灌浆质量，检验量为施工总孔数的10%。</w:t>
            </w:r>
          </w:p>
          <w:p w14:paraId="6DCDC481">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2"/>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pPr>
            <w:r>
              <w:rPr>
                <w:rFonts w:hint="eastAsia"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 xml:space="preserve">    5、</w:t>
            </w:r>
            <w:r>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交通桥施工</w:t>
            </w:r>
          </w:p>
          <w:p w14:paraId="120B13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冷水江水闸交通桥拟拆除重建，重建后工作桥为简支预制空钢筋混凝土心板式结构，工作桥总长99.4m，采用简支空心板，桥面宽4.0m，桥板厚800mm；桥面铺装采用8~9cm 厚C40防水混凝土。工作桥混凝土标号为C40，桥板钢筋保护层厚度25mm，桥墩钢筋保护层厚度40mm，桥面两侧设1.2m 高栏杆。</w:t>
            </w:r>
          </w:p>
          <w:p w14:paraId="51FA02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交通桥空心板预制施工流程如下：</w:t>
            </w:r>
          </w:p>
          <w:p w14:paraId="2085EF79">
            <w:pPr>
              <w:numPr>
                <w:ilvl w:val="0"/>
                <w:numId w:val="0"/>
              </w:numPr>
              <w:adjustRightInd w:val="0"/>
              <w:snapToGrid w:val="0"/>
              <w:spacing w:line="360" w:lineRule="auto"/>
              <w:ind w:firstLine="420" w:firstLineChars="200"/>
            </w:pPr>
            <w:r>
              <w:drawing>
                <wp:inline distT="0" distB="0" distL="114300" distR="114300">
                  <wp:extent cx="4505325" cy="5238750"/>
                  <wp:effectExtent l="0" t="0" r="9525"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8"/>
                          <a:stretch>
                            <a:fillRect/>
                          </a:stretch>
                        </pic:blipFill>
                        <pic:spPr>
                          <a:xfrm>
                            <a:off x="0" y="0"/>
                            <a:ext cx="4505325" cy="5238750"/>
                          </a:xfrm>
                          <a:prstGeom prst="rect">
                            <a:avLst/>
                          </a:prstGeom>
                          <a:noFill/>
                          <a:ln>
                            <a:noFill/>
                          </a:ln>
                        </pic:spPr>
                      </pic:pic>
                    </a:graphicData>
                  </a:graphic>
                </wp:inline>
              </w:drawing>
            </w:r>
          </w:p>
          <w:p w14:paraId="7FEC6E4C">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交通桥吊装施工工艺流程如下：</w:t>
            </w:r>
          </w:p>
          <w:p w14:paraId="1779112E">
            <w:pPr>
              <w:numPr>
                <w:ilvl w:val="0"/>
                <w:numId w:val="0"/>
              </w:numPr>
              <w:adjustRightInd w:val="0"/>
              <w:snapToGrid w:val="0"/>
              <w:spacing w:line="360" w:lineRule="auto"/>
              <w:ind w:firstLine="420" w:firstLineChars="200"/>
            </w:pPr>
            <w:r>
              <w:drawing>
                <wp:inline distT="0" distB="0" distL="114300" distR="114300">
                  <wp:extent cx="4686300" cy="3247390"/>
                  <wp:effectExtent l="0" t="0" r="0" b="1016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9"/>
                          <a:stretch>
                            <a:fillRect/>
                          </a:stretch>
                        </pic:blipFill>
                        <pic:spPr>
                          <a:xfrm>
                            <a:off x="0" y="0"/>
                            <a:ext cx="4686300" cy="3247390"/>
                          </a:xfrm>
                          <a:prstGeom prst="rect">
                            <a:avLst/>
                          </a:prstGeom>
                          <a:noFill/>
                          <a:ln>
                            <a:noFill/>
                          </a:ln>
                        </pic:spPr>
                      </pic:pic>
                    </a:graphicData>
                  </a:graphic>
                </wp:inline>
              </w:drawing>
            </w:r>
          </w:p>
          <w:p w14:paraId="169F172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2"/>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pPr>
            <w:r>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6</w:t>
            </w:r>
            <w:r>
              <w:rPr>
                <w:rFonts w:hint="eastAsia"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w:t>
            </w:r>
            <w:r>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分缝及止水工程</w:t>
            </w:r>
          </w:p>
          <w:p w14:paraId="716C13C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水闸伸缩缝、沉降缝内采用聚氯乙稀泡沫板隔缝，缝内设紫铜止水，缝表面20mm 深用沥青浇缝；紫铜止水片采购定型产品，委托厂家按设计图纸大样加工，紫铜止水片厚度为1.2mm，抗拉强度≥2.0N/mm</w:t>
            </w:r>
            <w:r>
              <w:rPr>
                <w:rFonts w:hint="eastAsia" w:ascii="Times New Roman" w:hAnsi="Times New Roman" w:eastAsia="宋体" w:cs="Times New Roman"/>
                <w:b w:val="0"/>
                <w:bCs w:val="0"/>
                <w:color w:val="auto"/>
                <w:spacing w:val="0"/>
                <w:sz w:val="24"/>
                <w:vertAlign w:val="superscript"/>
                <w:lang w:val="en-US" w:eastAsia="zh-CN"/>
              </w:rPr>
              <w:t>2</w:t>
            </w:r>
            <w:r>
              <w:rPr>
                <w:rFonts w:hint="eastAsia" w:ascii="Times New Roman" w:hAnsi="Times New Roman" w:eastAsia="宋体" w:cs="Times New Roman"/>
                <w:b w:val="0"/>
                <w:bCs w:val="0"/>
                <w:color w:val="auto"/>
                <w:spacing w:val="0"/>
                <w:sz w:val="24"/>
                <w:lang w:val="en-US" w:eastAsia="zh-CN"/>
              </w:rPr>
              <w:t>，延伸率≥30%，现场根据结构工程施工进度分段安装，铜止水连接采用双面搭接焊，搭接长度采用 3cm，采用黄铜焊条气焊焊接；聚氯乙稀泡沫板应当可靠，耐久，安装简便，能与混凝土良好地结合，应通过国家计量认证的检验部门检验合格。</w:t>
            </w:r>
          </w:p>
          <w:p w14:paraId="7970A94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止水安装偏差必须符合施工规范及设计要求，加固牢靠并妥善保护。止水片按设计位置跨缝对中，并用托架、卡具定位，确保在混凝土浇筑过程中不产生移位和变形。拉筋、钢筋或其它钢结构与止水不相互碰接。铜止水片采用搭接双面焊，混凝土浇筑前对焊接处进行清洗和烘烤，用煤油作渗透检查，确保无砂眼、无小孔，否则进行补焊。紫铜止水片安装工艺流程如下：</w:t>
            </w:r>
          </w:p>
          <w:p w14:paraId="4F22AF67">
            <w:pPr>
              <w:numPr>
                <w:ilvl w:val="0"/>
                <w:numId w:val="0"/>
              </w:numPr>
              <w:adjustRightInd w:val="0"/>
              <w:snapToGrid w:val="0"/>
              <w:spacing w:line="360" w:lineRule="auto"/>
            </w:pPr>
            <w:r>
              <w:drawing>
                <wp:inline distT="0" distB="0" distL="114300" distR="114300">
                  <wp:extent cx="5264785" cy="490220"/>
                  <wp:effectExtent l="0" t="0" r="12065" b="508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10"/>
                          <a:stretch>
                            <a:fillRect/>
                          </a:stretch>
                        </pic:blipFill>
                        <pic:spPr>
                          <a:xfrm>
                            <a:off x="0" y="0"/>
                            <a:ext cx="5264785" cy="490220"/>
                          </a:xfrm>
                          <a:prstGeom prst="rect">
                            <a:avLst/>
                          </a:prstGeom>
                          <a:noFill/>
                          <a:ln>
                            <a:noFill/>
                          </a:ln>
                        </pic:spPr>
                      </pic:pic>
                    </a:graphicData>
                  </a:graphic>
                </wp:inline>
              </w:drawing>
            </w:r>
          </w:p>
          <w:p w14:paraId="59751A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1)、止水材料的品种、规格质量应符合设计要求。</w:t>
            </w:r>
          </w:p>
          <w:p w14:paraId="264D59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2)、止水片安装位置正确、接口焊牢，安装嵌填牢固，浇混凝土前止水带表面污物清理干净。</w:t>
            </w:r>
          </w:p>
          <w:p w14:paraId="6B497E3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3)、伸缩缝垂直贯通，缝宽达到设计要求。</w:t>
            </w:r>
          </w:p>
          <w:p w14:paraId="49EC01A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4)、止水与钢筋相交的处理方式按设计图纸进行。</w:t>
            </w:r>
          </w:p>
          <w:p w14:paraId="6DD14B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5)、伸缩缝、止水构造的形式、位置、尺寸、止水材料、缝内填料物理性能及配合比应符合设计要求。</w:t>
            </w:r>
          </w:p>
          <w:p w14:paraId="7749422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6)、止水体应表面平整，无沙眼孔及杂物，嵌入混凝土内部分应与混凝土紧密结合，不得漏水。</w:t>
            </w:r>
          </w:p>
          <w:p w14:paraId="302B7B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7)、伸缩缝填料，应符合设计及规范要求，使整个缝隙粘填饱满，不漏水。</w:t>
            </w:r>
          </w:p>
          <w:p w14:paraId="53D4DA8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pPr>
            <w:r>
              <w:rPr>
                <w:rFonts w:hint="eastAsia" w:ascii="Times New Roman" w:hAnsi="Times New Roman" w:eastAsia="宋体" w:cs="Times New Roman"/>
                <w:b w:val="0"/>
                <w:bCs w:val="0"/>
                <w:color w:val="auto"/>
                <w:spacing w:val="0"/>
                <w:sz w:val="24"/>
                <w:lang w:val="en-US" w:eastAsia="zh-CN"/>
              </w:rPr>
              <w:t>8)、伸缩缝必须垂直，上下贯通，宽度误差不得超过 2mm。</w:t>
            </w:r>
          </w:p>
          <w:p w14:paraId="3A09FB8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2"/>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pPr>
            <w:r>
              <w:rPr>
                <w:rFonts w:hint="eastAsia"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7、</w:t>
            </w:r>
            <w:r>
              <w:rPr>
                <w:rFonts w:hint="eastAsia" w:ascii="Times New Roman" w:hAnsi="Times New Roman" w:eastAsia="宋体" w:cs="Times New Roman"/>
                <w:b w:val="0"/>
                <w:bCs w:val="0"/>
                <w:color w:val="auto"/>
                <w:spacing w:val="0"/>
                <w:sz w:val="24"/>
                <w:szCs w:val="24"/>
                <w:lang w:val="en-US" w:eastAsia="zh-CN"/>
                <w14:textOutline w14:w="4354" w14:cap="flat" w14:cmpd="sng">
                  <w14:solidFill>
                    <w14:srgbClr w14:val="000000"/>
                  </w14:solidFill>
                  <w14:prstDash w14:val="solid"/>
                  <w14:miter w14:val="0"/>
                </w14:textOutline>
              </w:rPr>
              <w:t>金属结构和机电设备施工</w:t>
            </w:r>
          </w:p>
          <w:p w14:paraId="0A0BEC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（1）</w:t>
            </w:r>
            <w:r>
              <w:rPr>
                <w:rFonts w:hint="eastAsia" w:ascii="Times New Roman" w:hAnsi="Times New Roman" w:eastAsia="宋体" w:cs="Times New Roman"/>
                <w:b w:val="0"/>
                <w:bCs w:val="0"/>
                <w:color w:val="auto"/>
                <w:spacing w:val="0"/>
                <w:sz w:val="24"/>
                <w:lang w:val="en-US" w:eastAsia="zh-CN"/>
              </w:rPr>
              <w:t>闸门与埋件预组装</w:t>
            </w:r>
          </w:p>
          <w:p w14:paraId="1ABE52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闸门与埋件应摆放平稳、整齐，且支承牢固，不宜叠层堆放，并有人员和起吊设备的通道。预组装前，应编制组装技术方案，包括组装程序、吊装方案(确定吊装设备、主要器具、地锚的设置和缆风绳的受力计算)以及临时加固支撑方案等，并制定详细的安全技术措施，报主管部门批准后方可实施。各拼装平台基础应牢固，支承结构应稳定可靠。闸门预组装时，各部连接螺栓至少应装配1/2以上，并紧固。闸门预组后的拆除作业宜按组装顺序倒序作业，并应充分考虑拆卸过程中竖立部分的自身稳定性，对于稳定性存在问题的，增加临时缆风绳，以增强稳定。</w:t>
            </w:r>
          </w:p>
          <w:p w14:paraId="39B54C3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（2）</w:t>
            </w:r>
            <w:r>
              <w:rPr>
                <w:rFonts w:hint="eastAsia" w:ascii="Times New Roman" w:hAnsi="Times New Roman" w:eastAsia="宋体" w:cs="Times New Roman"/>
                <w:b w:val="0"/>
                <w:bCs w:val="0"/>
                <w:color w:val="auto"/>
                <w:spacing w:val="0"/>
                <w:sz w:val="24"/>
                <w:lang w:val="en-US" w:eastAsia="zh-CN"/>
              </w:rPr>
              <w:t>闸门埋件安装</w:t>
            </w:r>
          </w:p>
          <w:p w14:paraId="22327B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闸门埋件安装前，应编制施工技术方案和安全技术措施，明确安装施工与土建各专业之间的相互关系，做好相应的应急预案，对作业人员进行详细的安全技术交底，在施工过程中加强控制。埋件安装前，应对门槽内模板以及脚手架跳板上钢筋头、凿毛的水泥块等杂物进行彻底清理。下层埋件没加固好之前，不应将上层埋件摞放在其上。</w:t>
            </w:r>
          </w:p>
          <w:p w14:paraId="6AD2CC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（3）</w:t>
            </w:r>
            <w:r>
              <w:rPr>
                <w:rFonts w:hint="eastAsia" w:ascii="Times New Roman" w:hAnsi="Times New Roman" w:eastAsia="宋体" w:cs="Times New Roman"/>
                <w:b w:val="0"/>
                <w:bCs w:val="0"/>
                <w:color w:val="auto"/>
                <w:spacing w:val="0"/>
                <w:sz w:val="24"/>
                <w:lang w:val="en-US" w:eastAsia="zh-CN"/>
              </w:rPr>
              <w:t>闸门运输</w:t>
            </w:r>
          </w:p>
          <w:p w14:paraId="73C4370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ascii="Times New Roman" w:hAnsi="Times New Roman" w:eastAsia="宋体" w:cs="Times New Roman"/>
                <w:b w:val="0"/>
                <w:bCs w:val="0"/>
                <w:color w:val="auto"/>
                <w:spacing w:val="0"/>
                <w:sz w:val="24"/>
                <w:lang w:val="en-US" w:eastAsia="zh-CN"/>
              </w:rPr>
              <w:t>闸门运输和吊装时须做好保护措施，避免闸门受到碰撞，防止闸门变形。</w:t>
            </w:r>
          </w:p>
          <w:p w14:paraId="48714B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pacing w:val="0"/>
                <w:sz w:val="24"/>
                <w:lang w:val="en-US" w:eastAsia="zh-CN"/>
              </w:rPr>
            </w:pPr>
            <w:r>
              <w:rPr>
                <w:rFonts w:hint="eastAsia" w:cs="Times New Roman"/>
                <w:b w:val="0"/>
                <w:bCs w:val="0"/>
                <w:color w:val="auto"/>
                <w:spacing w:val="0"/>
                <w:sz w:val="24"/>
                <w:lang w:val="en-US" w:eastAsia="zh-CN"/>
              </w:rPr>
              <w:t>（4）</w:t>
            </w:r>
            <w:r>
              <w:rPr>
                <w:rFonts w:hint="eastAsia" w:ascii="Times New Roman" w:hAnsi="Times New Roman" w:eastAsia="宋体" w:cs="Times New Roman"/>
                <w:b w:val="0"/>
                <w:bCs w:val="0"/>
                <w:color w:val="auto"/>
                <w:spacing w:val="0"/>
                <w:sz w:val="24"/>
                <w:lang w:val="en-US" w:eastAsia="zh-CN"/>
              </w:rPr>
              <w:t>闸门安装</w:t>
            </w:r>
          </w:p>
          <w:p w14:paraId="505A89EC">
            <w:pPr>
              <w:numPr>
                <w:ilvl w:val="0"/>
                <w:numId w:val="0"/>
              </w:numPr>
              <w:adjustRightInd w:val="0"/>
              <w:snapToGrid w:val="0"/>
              <w:spacing w:line="360" w:lineRule="auto"/>
              <w:ind w:firstLine="480" w:firstLineChars="200"/>
              <w:rPr>
                <w:rFonts w:hint="default"/>
                <w:b w:val="0"/>
                <w:bCs/>
                <w:kern w:val="0"/>
                <w:sz w:val="24"/>
                <w:u w:val="single"/>
                <w:lang w:val="en-US" w:eastAsia="zh-CN"/>
              </w:rPr>
            </w:pPr>
            <w:r>
              <w:rPr>
                <w:rFonts w:hint="eastAsia" w:ascii="Times New Roman" w:hAnsi="Times New Roman" w:eastAsia="宋体" w:cs="Times New Roman"/>
                <w:b w:val="0"/>
                <w:bCs w:val="0"/>
                <w:color w:val="auto"/>
                <w:spacing w:val="0"/>
                <w:sz w:val="24"/>
                <w:lang w:val="en-US" w:eastAsia="zh-CN"/>
              </w:rPr>
              <w:t>闸门安装前，应对门槽埋件进行复测，并应对可能影响闸门启闭的障碍物进行全面清除。闸门起吊前，应在确认起重机吊钩与闸门可靠连接并初步受力后，方可拆除临时支撑和缆绳。使用启闭机起吊闸门入槽时，吊钩或抓梁轴销应穿到位。水封现场粘接作业应按照说明书和作业指导书进行施工，使用模具对接头处固定和加热时，应采取防止烫伤和灼伤的保护措施。水封接头清洗或粘接用的化学易燃物品，应注意妥善保存，严禁随地泼洒，作业时应远离火源。水封螺栓孔加工，作业时应将水封可靠固定，并在下部垫上木板加以保护，严禁用手脚对钻孔部位进行定位固定</w:t>
            </w:r>
            <w:r>
              <w:rPr>
                <w:rFonts w:hint="default"/>
                <w:b w:val="0"/>
                <w:bCs/>
                <w:kern w:val="0"/>
                <w:sz w:val="24"/>
                <w:u w:val="none"/>
                <w:lang w:val="en-US" w:eastAsia="zh-CN"/>
              </w:rPr>
              <w:t>。</w:t>
            </w:r>
          </w:p>
          <w:p w14:paraId="37BB1129">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outlineLvl w:val="9"/>
              <w:rPr>
                <w:rFonts w:hint="default" w:ascii="Times New Roman" w:hAnsi="Times New Roman" w:eastAsia="宋体" w:cs="Times New Roman"/>
                <w:b w:val="0"/>
                <w:bCs w:val="0"/>
                <w:color w:val="auto"/>
                <w:sz w:val="24"/>
                <w:szCs w:val="24"/>
              </w:rPr>
            </w:pPr>
            <w:r>
              <w:rPr>
                <w:rFonts w:hint="eastAsia"/>
                <w:b/>
                <w:bCs w:val="0"/>
                <w:kern w:val="0"/>
                <w:sz w:val="24"/>
                <w:lang w:val="en-US" w:eastAsia="zh-CN"/>
              </w:rPr>
              <w:t>8、</w:t>
            </w:r>
            <w:r>
              <w:rPr>
                <w:rFonts w:hint="default" w:ascii="Times New Roman" w:hAnsi="Times New Roman" w:eastAsia="宋体" w:cs="Times New Roman"/>
                <w:b w:val="0"/>
                <w:bCs w:val="0"/>
                <w:color w:val="auto"/>
                <w:spacing w:val="-3"/>
                <w:sz w:val="24"/>
                <w:szCs w:val="24"/>
                <w14:textOutline w14:w="4354" w14:cap="flat" w14:cmpd="sng">
                  <w14:solidFill>
                    <w14:srgbClr w14:val="000000"/>
                  </w14:solidFill>
                  <w14:prstDash w14:val="solid"/>
                  <w14:miter w14:val="0"/>
                </w14:textOutline>
              </w:rPr>
              <w:t>主要产污环节汇总</w:t>
            </w:r>
          </w:p>
          <w:p w14:paraId="67CFA2AB">
            <w:pPr>
              <w:spacing w:before="104" w:line="219" w:lineRule="auto"/>
              <w:ind w:left="521"/>
              <w:rPr>
                <w:rFonts w:hint="default" w:ascii="Times New Roman" w:hAnsi="Times New Roman" w:eastAsia="宋体" w:cs="Times New Roman"/>
                <w:b w:val="0"/>
                <w:bCs w:val="0"/>
                <w:color w:val="auto"/>
                <w:spacing w:val="1"/>
                <w:sz w:val="24"/>
                <w:szCs w:val="24"/>
                <w14:textOutline w14:w="4354" w14:cap="flat" w14:cmpd="sng">
                  <w14:solidFill>
                    <w14:srgbClr w14:val="000000"/>
                  </w14:solidFill>
                  <w14:prstDash w14:val="solid"/>
                  <w14:miter w14:val="0"/>
                </w14:textOutline>
              </w:rPr>
            </w:pPr>
            <w:r>
              <w:rPr>
                <w:rFonts w:hint="default" w:ascii="Times New Roman" w:hAnsi="Times New Roman" w:eastAsia="宋体" w:cs="Times New Roman"/>
                <w:b w:val="0"/>
                <w:bCs w:val="0"/>
                <w:color w:val="auto"/>
                <w:spacing w:val="-4"/>
                <w:sz w:val="24"/>
                <w:szCs w:val="24"/>
              </w:rPr>
              <w:t>项目施工期主要污染</w:t>
            </w:r>
            <w:r>
              <w:rPr>
                <w:rFonts w:hint="default" w:ascii="Times New Roman" w:hAnsi="Times New Roman" w:eastAsia="宋体" w:cs="Times New Roman"/>
                <w:b w:val="0"/>
                <w:bCs w:val="0"/>
                <w:color w:val="auto"/>
                <w:spacing w:val="-3"/>
                <w:sz w:val="24"/>
                <w:szCs w:val="24"/>
              </w:rPr>
              <w:t>物</w:t>
            </w:r>
            <w:r>
              <w:rPr>
                <w:rFonts w:hint="default" w:ascii="Times New Roman" w:hAnsi="Times New Roman" w:eastAsia="宋体" w:cs="Times New Roman"/>
                <w:b w:val="0"/>
                <w:bCs w:val="0"/>
                <w:color w:val="auto"/>
                <w:spacing w:val="-2"/>
                <w:sz w:val="24"/>
                <w:szCs w:val="24"/>
              </w:rPr>
              <w:t>来源及排放方式见表</w:t>
            </w:r>
            <w:r>
              <w:rPr>
                <w:rFonts w:hint="eastAsia" w:eastAsia="宋体" w:cs="Times New Roman"/>
                <w:b w:val="0"/>
                <w:bCs w:val="0"/>
                <w:color w:val="auto"/>
                <w:spacing w:val="-2"/>
                <w:sz w:val="24"/>
                <w:szCs w:val="24"/>
                <w:lang w:val="en-US" w:eastAsia="zh-CN"/>
              </w:rPr>
              <w:t>2-5</w:t>
            </w:r>
            <w:r>
              <w:rPr>
                <w:rFonts w:hint="default" w:ascii="Times New Roman" w:hAnsi="Times New Roman" w:eastAsia="宋体" w:cs="Times New Roman"/>
                <w:b w:val="0"/>
                <w:bCs w:val="0"/>
                <w:color w:val="auto"/>
                <w:spacing w:val="-2"/>
                <w:sz w:val="24"/>
                <w:szCs w:val="24"/>
              </w:rPr>
              <w:t>。</w:t>
            </w:r>
          </w:p>
          <w:p w14:paraId="68006820">
            <w:pPr>
              <w:spacing w:before="184" w:line="212" w:lineRule="auto"/>
              <w:ind w:left="2084"/>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pacing w:val="1"/>
                <w:sz w:val="24"/>
                <w:szCs w:val="24"/>
                <w14:textOutline w14:w="4354" w14:cap="flat" w14:cmpd="sng">
                  <w14:solidFill>
                    <w14:srgbClr w14:val="000000"/>
                  </w14:solidFill>
                  <w14:prstDash w14:val="solid"/>
                  <w14:miter w14:val="0"/>
                </w14:textOutline>
              </w:rPr>
              <w:t>表</w:t>
            </w:r>
            <w:r>
              <w:rPr>
                <w:rFonts w:hint="eastAsia" w:eastAsia="宋体" w:cs="Times New Roman"/>
                <w:b/>
                <w:bCs/>
                <w:color w:val="auto"/>
                <w:spacing w:val="1"/>
                <w:sz w:val="24"/>
                <w:szCs w:val="24"/>
                <w:lang w:val="en-US" w:eastAsia="zh-CN"/>
              </w:rPr>
              <w:t>2-5</w:t>
            </w:r>
            <w:r>
              <w:rPr>
                <w:rFonts w:hint="eastAsia" w:ascii="Times New Roman" w:hAnsi="Times New Roman" w:eastAsia="宋体" w:cs="Times New Roman"/>
                <w:b/>
                <w:bCs/>
                <w:color w:val="auto"/>
                <w:spacing w:val="1"/>
                <w:sz w:val="24"/>
                <w:szCs w:val="24"/>
                <w:lang w:val="en-US" w:eastAsia="zh-CN"/>
              </w:rPr>
              <w:t xml:space="preserve">  </w:t>
            </w:r>
            <w:r>
              <w:rPr>
                <w:rFonts w:hint="default" w:ascii="Times New Roman" w:hAnsi="Times New Roman" w:eastAsia="宋体" w:cs="Times New Roman"/>
                <w:b w:val="0"/>
                <w:bCs w:val="0"/>
                <w:color w:val="auto"/>
                <w:spacing w:val="1"/>
                <w:sz w:val="24"/>
                <w:szCs w:val="24"/>
                <w14:textOutline w14:w="4354" w14:cap="flat" w14:cmpd="sng">
                  <w14:solidFill>
                    <w14:srgbClr w14:val="000000"/>
                  </w14:solidFill>
                  <w14:prstDash w14:val="solid"/>
                  <w14:miter w14:val="0"/>
                </w14:textOutline>
              </w:rPr>
              <w:t>主要污</w:t>
            </w:r>
            <w:r>
              <w:rPr>
                <w:rFonts w:hint="default" w:ascii="Times New Roman" w:hAnsi="Times New Roman" w:eastAsia="宋体" w:cs="Times New Roman"/>
                <w:b w:val="0"/>
                <w:bCs w:val="0"/>
                <w:color w:val="auto"/>
                <w:sz w:val="24"/>
                <w:szCs w:val="24"/>
                <w14:textOutline w14:w="4354" w14:cap="flat" w14:cmpd="sng">
                  <w14:solidFill>
                    <w14:srgbClr w14:val="000000"/>
                  </w14:solidFill>
                  <w14:prstDash w14:val="solid"/>
                  <w14:miter w14:val="0"/>
                </w14:textOutline>
              </w:rPr>
              <w:t>染物来源、排放方式等一览表</w:t>
            </w:r>
          </w:p>
          <w:tbl>
            <w:tblPr>
              <w:tblStyle w:val="236"/>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2"/>
              <w:gridCol w:w="748"/>
              <w:gridCol w:w="3534"/>
              <w:gridCol w:w="2325"/>
              <w:gridCol w:w="1133"/>
            </w:tblGrid>
            <w:tr w14:paraId="00CE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20" w:type="dxa"/>
                  <w:gridSpan w:val="2"/>
                  <w:vAlign w:val="center"/>
                </w:tcPr>
                <w:p w14:paraId="1EAF1C7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主要污染因子</w:t>
                  </w:r>
                </w:p>
              </w:tc>
              <w:tc>
                <w:tcPr>
                  <w:tcW w:w="3534" w:type="dxa"/>
                  <w:vAlign w:val="center"/>
                </w:tcPr>
                <w:p w14:paraId="1F435C1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来源</w:t>
                  </w:r>
                </w:p>
              </w:tc>
              <w:tc>
                <w:tcPr>
                  <w:tcW w:w="2325" w:type="dxa"/>
                  <w:vAlign w:val="center"/>
                </w:tcPr>
                <w:p w14:paraId="01FA246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主要污染物</w:t>
                  </w:r>
                </w:p>
              </w:tc>
              <w:tc>
                <w:tcPr>
                  <w:tcW w:w="1133" w:type="dxa"/>
                  <w:vAlign w:val="center"/>
                </w:tcPr>
                <w:p w14:paraId="55D7AAB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排放方式</w:t>
                  </w:r>
                </w:p>
              </w:tc>
            </w:tr>
            <w:tr w14:paraId="3160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2" w:type="dxa"/>
                  <w:vMerge w:val="restart"/>
                  <w:vAlign w:val="center"/>
                </w:tcPr>
                <w:p w14:paraId="4DD2CD96">
                  <w:pPr>
                    <w:jc w:val="center"/>
                    <w:rPr>
                      <w:rFonts w:hint="default"/>
                      <w:color w:val="auto"/>
                      <w:lang w:eastAsia="zh-CN"/>
                    </w:rPr>
                  </w:pPr>
                  <w:r>
                    <w:rPr>
                      <w:rFonts w:hint="eastAsia"/>
                      <w:color w:val="auto"/>
                      <w:lang w:eastAsia="zh-CN"/>
                    </w:rPr>
                    <w:t>施工期</w:t>
                  </w:r>
                </w:p>
              </w:tc>
              <w:tc>
                <w:tcPr>
                  <w:tcW w:w="748" w:type="dxa"/>
                  <w:vMerge w:val="restart"/>
                  <w:vAlign w:val="center"/>
                </w:tcPr>
                <w:p w14:paraId="3AC8E8C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w:t>
                  </w:r>
                </w:p>
              </w:tc>
              <w:tc>
                <w:tcPr>
                  <w:tcW w:w="3534" w:type="dxa"/>
                  <w:vAlign w:val="center"/>
                </w:tcPr>
                <w:p w14:paraId="3FC8CA5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车辆运输、施工过程</w:t>
                  </w:r>
                </w:p>
              </w:tc>
              <w:tc>
                <w:tcPr>
                  <w:tcW w:w="2325" w:type="dxa"/>
                  <w:vAlign w:val="center"/>
                </w:tcPr>
                <w:p w14:paraId="4381699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扬尘</w:t>
                  </w:r>
                </w:p>
              </w:tc>
              <w:tc>
                <w:tcPr>
                  <w:tcW w:w="1133" w:type="dxa"/>
                  <w:vAlign w:val="center"/>
                </w:tcPr>
                <w:p w14:paraId="2F9656F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无组织</w:t>
                  </w:r>
                </w:p>
              </w:tc>
            </w:tr>
            <w:tr w14:paraId="183B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2" w:type="dxa"/>
                  <w:vMerge w:val="continue"/>
                  <w:textDirection w:val="tbRlV"/>
                  <w:vAlign w:val="center"/>
                </w:tcPr>
                <w:p w14:paraId="77E4254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748" w:type="dxa"/>
                  <w:vMerge w:val="continue"/>
                  <w:vAlign w:val="center"/>
                </w:tcPr>
                <w:p w14:paraId="66859E5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3534" w:type="dxa"/>
                  <w:vAlign w:val="center"/>
                </w:tcPr>
                <w:p w14:paraId="0398B25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车辆运输、施工设备</w:t>
                  </w:r>
                </w:p>
              </w:tc>
              <w:tc>
                <w:tcPr>
                  <w:tcW w:w="2325" w:type="dxa"/>
                  <w:vAlign w:val="center"/>
                </w:tcPr>
                <w:p w14:paraId="75193B1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CO、NOx、SO</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等</w:t>
                  </w:r>
                </w:p>
              </w:tc>
              <w:tc>
                <w:tcPr>
                  <w:tcW w:w="1133" w:type="dxa"/>
                  <w:vAlign w:val="center"/>
                </w:tcPr>
                <w:p w14:paraId="3CFADDA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无组织</w:t>
                  </w:r>
                </w:p>
              </w:tc>
            </w:tr>
            <w:tr w14:paraId="1B15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2" w:type="dxa"/>
                  <w:vMerge w:val="continue"/>
                  <w:vAlign w:val="center"/>
                </w:tcPr>
                <w:p w14:paraId="0DC7752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748" w:type="dxa"/>
                  <w:vMerge w:val="restart"/>
                  <w:vAlign w:val="center"/>
                </w:tcPr>
                <w:p w14:paraId="38DCC11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3534" w:type="dxa"/>
                  <w:vAlign w:val="center"/>
                </w:tcPr>
                <w:p w14:paraId="5E18B6B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施工机械冲洗废水、</w:t>
                  </w:r>
                  <w:r>
                    <w:rPr>
                      <w:rFonts w:hint="eastAsia" w:ascii="Times New Roman" w:hAnsi="Times New Roman" w:cs="Times New Roman"/>
                      <w:color w:val="auto"/>
                      <w:sz w:val="21"/>
                      <w:szCs w:val="21"/>
                      <w:lang w:eastAsia="zh-CN"/>
                    </w:rPr>
                    <w:t>临时堆放场</w:t>
                  </w:r>
                  <w:r>
                    <w:rPr>
                      <w:rFonts w:hint="default" w:ascii="Times New Roman" w:hAnsi="Times New Roman" w:cs="Times New Roman"/>
                      <w:color w:val="auto"/>
                      <w:sz w:val="21"/>
                      <w:szCs w:val="21"/>
                    </w:rPr>
                    <w:t>淋沥水</w:t>
                  </w:r>
                </w:p>
              </w:tc>
              <w:tc>
                <w:tcPr>
                  <w:tcW w:w="2325" w:type="dxa"/>
                  <w:vAlign w:val="center"/>
                </w:tcPr>
                <w:p w14:paraId="46FA711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SS、石油类等</w:t>
                  </w:r>
                </w:p>
              </w:tc>
              <w:tc>
                <w:tcPr>
                  <w:tcW w:w="1133" w:type="dxa"/>
                  <w:vAlign w:val="center"/>
                </w:tcPr>
                <w:p w14:paraId="4D39F52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不排放</w:t>
                  </w:r>
                </w:p>
              </w:tc>
            </w:tr>
            <w:tr w14:paraId="51D0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2" w:type="dxa"/>
                  <w:vMerge w:val="continue"/>
                  <w:vAlign w:val="center"/>
                </w:tcPr>
                <w:p w14:paraId="020A03B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748" w:type="dxa"/>
                  <w:vMerge w:val="continue"/>
                  <w:vAlign w:val="center"/>
                </w:tcPr>
                <w:p w14:paraId="745E619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3534" w:type="dxa"/>
                  <w:vAlign w:val="center"/>
                </w:tcPr>
                <w:p w14:paraId="1E31FF4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color w:val="auto"/>
                      <w:sz w:val="21"/>
                      <w:szCs w:val="21"/>
                      <w:lang w:val="en-US" w:eastAsia="zh-CN"/>
                    </w:rPr>
                    <w:t>基坑排水、</w:t>
                  </w:r>
                  <w:r>
                    <w:rPr>
                      <w:rFonts w:hint="default" w:ascii="Times New Roman" w:hAnsi="Times New Roman" w:cs="Times New Roman"/>
                      <w:color w:val="auto"/>
                      <w:sz w:val="21"/>
                      <w:szCs w:val="21"/>
                    </w:rPr>
                    <w:t>施工</w:t>
                  </w:r>
                  <w:r>
                    <w:rPr>
                      <w:rFonts w:hint="eastAsia" w:ascii="Times New Roman" w:hAnsi="Times New Roman" w:cs="Times New Roman"/>
                      <w:color w:val="auto"/>
                      <w:sz w:val="21"/>
                      <w:szCs w:val="21"/>
                      <w:lang w:val="en-US" w:eastAsia="zh-CN"/>
                    </w:rPr>
                    <w:t>养护</w:t>
                  </w:r>
                  <w:r>
                    <w:rPr>
                      <w:rFonts w:hint="default" w:ascii="Times New Roman" w:hAnsi="Times New Roman" w:cs="Times New Roman"/>
                      <w:color w:val="auto"/>
                      <w:sz w:val="21"/>
                      <w:szCs w:val="21"/>
                    </w:rPr>
                    <w:t>废水</w:t>
                  </w:r>
                </w:p>
              </w:tc>
              <w:tc>
                <w:tcPr>
                  <w:tcW w:w="2325" w:type="dxa"/>
                  <w:vAlign w:val="center"/>
                </w:tcPr>
                <w:p w14:paraId="3D38389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rPr>
                    <w:t>SS、</w:t>
                  </w:r>
                  <w:r>
                    <w:rPr>
                      <w:rFonts w:hint="eastAsia" w:ascii="Times New Roman" w:hAnsi="Times New Roman" w:cs="Times New Roman"/>
                      <w:color w:val="auto"/>
                      <w:sz w:val="21"/>
                      <w:szCs w:val="21"/>
                      <w:lang w:val="en-US" w:eastAsia="zh-CN"/>
                    </w:rPr>
                    <w:t>pH值</w:t>
                  </w:r>
                </w:p>
              </w:tc>
              <w:tc>
                <w:tcPr>
                  <w:tcW w:w="1133" w:type="dxa"/>
                  <w:vAlign w:val="center"/>
                </w:tcPr>
                <w:p w14:paraId="7313002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不排放</w:t>
                  </w:r>
                </w:p>
              </w:tc>
            </w:tr>
            <w:tr w14:paraId="715C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2" w:type="dxa"/>
                  <w:vMerge w:val="continue"/>
                  <w:vAlign w:val="center"/>
                </w:tcPr>
                <w:p w14:paraId="5BFED6D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748" w:type="dxa"/>
                  <w:vMerge w:val="continue"/>
                  <w:vAlign w:val="center"/>
                </w:tcPr>
                <w:p w14:paraId="350942A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3534" w:type="dxa"/>
                  <w:vAlign w:val="center"/>
                </w:tcPr>
                <w:p w14:paraId="7914564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生活污水</w:t>
                  </w:r>
                </w:p>
              </w:tc>
              <w:tc>
                <w:tcPr>
                  <w:tcW w:w="2325" w:type="dxa"/>
                  <w:vAlign w:val="center"/>
                </w:tcPr>
                <w:p w14:paraId="0A1E197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COD、BOD</w:t>
                  </w:r>
                  <w:r>
                    <w:rPr>
                      <w:rFonts w:hint="default" w:ascii="Times New Roman" w:hAnsi="Times New Roman" w:cs="Times New Roman"/>
                      <w:color w:val="auto"/>
                      <w:sz w:val="21"/>
                      <w:szCs w:val="21"/>
                      <w:vertAlign w:val="subscript"/>
                    </w:rPr>
                    <w:t>5</w:t>
                  </w:r>
                  <w:r>
                    <w:rPr>
                      <w:rFonts w:hint="default" w:ascii="Times New Roman" w:hAnsi="Times New Roman" w:cs="Times New Roman"/>
                      <w:color w:val="auto"/>
                      <w:sz w:val="21"/>
                      <w:szCs w:val="21"/>
                    </w:rPr>
                    <w:t>、SS、NH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1133" w:type="dxa"/>
                  <w:vAlign w:val="center"/>
                </w:tcPr>
                <w:p w14:paraId="572398F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不排放</w:t>
                  </w:r>
                </w:p>
              </w:tc>
            </w:tr>
            <w:tr w14:paraId="2F48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2" w:type="dxa"/>
                  <w:vMerge w:val="continue"/>
                  <w:vAlign w:val="center"/>
                </w:tcPr>
                <w:p w14:paraId="4B42F3D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748" w:type="dxa"/>
                  <w:vAlign w:val="center"/>
                </w:tcPr>
                <w:p w14:paraId="24CA034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3534" w:type="dxa"/>
                  <w:vAlign w:val="center"/>
                </w:tcPr>
                <w:p w14:paraId="4B35CD9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施工设备噪声、施工作业噪声，运输车辆噪声</w:t>
                  </w:r>
                </w:p>
              </w:tc>
              <w:tc>
                <w:tcPr>
                  <w:tcW w:w="2325" w:type="dxa"/>
                  <w:vAlign w:val="center"/>
                </w:tcPr>
                <w:p w14:paraId="18477CC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机械噪声</w:t>
                  </w:r>
                </w:p>
              </w:tc>
              <w:tc>
                <w:tcPr>
                  <w:tcW w:w="1133" w:type="dxa"/>
                  <w:vAlign w:val="center"/>
                </w:tcPr>
                <w:p w14:paraId="453D543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间断</w:t>
                  </w:r>
                </w:p>
              </w:tc>
            </w:tr>
            <w:tr w14:paraId="1A37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2" w:type="dxa"/>
                  <w:vMerge w:val="continue"/>
                  <w:vAlign w:val="center"/>
                </w:tcPr>
                <w:p w14:paraId="19925F0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748" w:type="dxa"/>
                  <w:vMerge w:val="restart"/>
                  <w:vAlign w:val="center"/>
                </w:tcPr>
                <w:p w14:paraId="18702C8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p w14:paraId="6CBD8FC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固体</w:t>
                  </w:r>
                </w:p>
                <w:p w14:paraId="0E72825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废物</w:t>
                  </w:r>
                </w:p>
              </w:tc>
              <w:tc>
                <w:tcPr>
                  <w:tcW w:w="3534" w:type="dxa"/>
                  <w:vAlign w:val="center"/>
                </w:tcPr>
                <w:p w14:paraId="3DAAF61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施工人员生活</w:t>
                  </w:r>
                </w:p>
              </w:tc>
              <w:tc>
                <w:tcPr>
                  <w:tcW w:w="2325" w:type="dxa"/>
                  <w:vAlign w:val="center"/>
                </w:tcPr>
                <w:p w14:paraId="0412312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生活垃圾</w:t>
                  </w:r>
                </w:p>
              </w:tc>
              <w:tc>
                <w:tcPr>
                  <w:tcW w:w="1133" w:type="dxa"/>
                  <w:vAlign w:val="center"/>
                </w:tcPr>
                <w:p w14:paraId="65A1AFB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间断</w:t>
                  </w:r>
                </w:p>
              </w:tc>
            </w:tr>
            <w:tr w14:paraId="1281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2" w:type="dxa"/>
                  <w:vMerge w:val="continue"/>
                  <w:vAlign w:val="center"/>
                </w:tcPr>
                <w:p w14:paraId="1F35DAA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748" w:type="dxa"/>
                  <w:vMerge w:val="continue"/>
                  <w:vAlign w:val="center"/>
                </w:tcPr>
                <w:p w14:paraId="12822D3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3534" w:type="dxa"/>
                  <w:vAlign w:val="center"/>
                </w:tcPr>
                <w:p w14:paraId="14199DB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场地清理、施工过程</w:t>
                  </w:r>
                </w:p>
              </w:tc>
              <w:tc>
                <w:tcPr>
                  <w:tcW w:w="2325" w:type="dxa"/>
                  <w:vAlign w:val="center"/>
                </w:tcPr>
                <w:p w14:paraId="0572E41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杂草、石块、土渣等建筑垃圾</w:t>
                  </w:r>
                </w:p>
              </w:tc>
              <w:tc>
                <w:tcPr>
                  <w:tcW w:w="1133" w:type="dxa"/>
                  <w:vAlign w:val="center"/>
                </w:tcPr>
                <w:p w14:paraId="7417814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间断</w:t>
                  </w:r>
                </w:p>
              </w:tc>
            </w:tr>
            <w:tr w14:paraId="04C6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2" w:type="dxa"/>
                  <w:vMerge w:val="continue"/>
                  <w:vAlign w:val="center"/>
                </w:tcPr>
                <w:p w14:paraId="757F486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748" w:type="dxa"/>
                  <w:vMerge w:val="continue"/>
                  <w:vAlign w:val="center"/>
                </w:tcPr>
                <w:p w14:paraId="708CC12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3534" w:type="dxa"/>
                  <w:vAlign w:val="center"/>
                </w:tcPr>
                <w:p w14:paraId="5A023FC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color w:val="auto"/>
                      <w:sz w:val="21"/>
                      <w:szCs w:val="21"/>
                      <w:lang w:eastAsia="zh-CN"/>
                    </w:rPr>
                    <w:t>拦河闸除险加固</w:t>
                  </w:r>
                </w:p>
              </w:tc>
              <w:tc>
                <w:tcPr>
                  <w:tcW w:w="2325" w:type="dxa"/>
                  <w:vAlign w:val="center"/>
                </w:tcPr>
                <w:p w14:paraId="3639E78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泥</w:t>
                  </w:r>
                  <w:r>
                    <w:rPr>
                      <w:rFonts w:hint="eastAsia" w:ascii="Times New Roman" w:hAnsi="Times New Roman" w:cs="Times New Roman"/>
                      <w:color w:val="auto"/>
                      <w:sz w:val="21"/>
                      <w:szCs w:val="21"/>
                      <w:lang w:val="en-US" w:eastAsia="zh-CN"/>
                    </w:rPr>
                    <w:t>土</w:t>
                  </w:r>
                  <w:r>
                    <w:rPr>
                      <w:rFonts w:hint="default" w:ascii="Times New Roman" w:hAnsi="Times New Roman" w:cs="Times New Roman"/>
                      <w:color w:val="auto"/>
                      <w:sz w:val="21"/>
                      <w:szCs w:val="21"/>
                    </w:rPr>
                    <w:t>、砂石</w:t>
                  </w:r>
                </w:p>
              </w:tc>
              <w:tc>
                <w:tcPr>
                  <w:tcW w:w="1133" w:type="dxa"/>
                  <w:vAlign w:val="center"/>
                </w:tcPr>
                <w:p w14:paraId="3FCE1B9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间断</w:t>
                  </w:r>
                </w:p>
              </w:tc>
            </w:tr>
          </w:tbl>
          <w:p w14:paraId="64C84B0C">
            <w:pPr>
              <w:adjustRightInd w:val="0"/>
              <w:snapToGrid w:val="0"/>
              <w:spacing w:line="360" w:lineRule="auto"/>
              <w:ind w:firstLine="482" w:firstLineChars="200"/>
              <w:rPr>
                <w:rFonts w:hint="eastAsia"/>
                <w:b/>
                <w:bCs w:val="0"/>
                <w:kern w:val="0"/>
                <w:sz w:val="24"/>
              </w:rPr>
            </w:pPr>
            <w:r>
              <w:rPr>
                <w:rFonts w:hint="eastAsia"/>
                <w:b/>
                <w:bCs w:val="0"/>
                <w:kern w:val="0"/>
                <w:sz w:val="24"/>
                <w:lang w:val="en-US" w:eastAsia="zh-CN"/>
              </w:rPr>
              <w:t>9、</w:t>
            </w:r>
            <w:r>
              <w:rPr>
                <w:b/>
                <w:bCs w:val="0"/>
                <w:kern w:val="0"/>
                <w:sz w:val="24"/>
              </w:rPr>
              <w:t>建设周期</w:t>
            </w:r>
          </w:p>
          <w:p w14:paraId="15DB06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pacing w:val="0"/>
                <w:sz w:val="24"/>
                <w:szCs w:val="24"/>
                <w:u w:val="none"/>
              </w:rPr>
            </w:pPr>
            <w:r>
              <w:rPr>
                <w:rFonts w:hint="default" w:ascii="Times New Roman" w:hAnsi="Times New Roman" w:eastAsia="宋体" w:cs="Times New Roman"/>
                <w:color w:val="auto"/>
                <w:spacing w:val="0"/>
                <w:sz w:val="24"/>
                <w:szCs w:val="24"/>
                <w:u w:val="none"/>
              </w:rPr>
              <w:t>本工程具备在一个枯水期同时施工的条件，经初步安排，本工程总施工期为11 个月。</w:t>
            </w:r>
          </w:p>
          <w:p w14:paraId="3DB6CB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pacing w:val="0"/>
                <w:sz w:val="24"/>
                <w:szCs w:val="24"/>
                <w:u w:val="none"/>
              </w:rPr>
            </w:pPr>
            <w:r>
              <w:rPr>
                <w:rFonts w:hint="default" w:ascii="Times New Roman" w:hAnsi="Times New Roman" w:eastAsia="宋体" w:cs="Times New Roman"/>
                <w:color w:val="auto"/>
                <w:spacing w:val="0"/>
                <w:sz w:val="24"/>
                <w:szCs w:val="24"/>
                <w:u w:val="none"/>
              </w:rPr>
              <w:t>施工准备工期为 1 个月（第一年 9 月），主体工程施工工期为 9 个月（第一年 10 月～第二年 6 月）；竣工收尾期 1 个月（第二年 7 月）</w:t>
            </w:r>
            <w:r>
              <w:rPr>
                <w:rFonts w:hint="eastAsia" w:ascii="Times New Roman" w:hAnsi="Times New Roman" w:eastAsia="宋体" w:cs="Times New Roman"/>
                <w:color w:val="auto"/>
                <w:spacing w:val="0"/>
                <w:sz w:val="24"/>
                <w:szCs w:val="24"/>
                <w:u w:val="none"/>
              </w:rPr>
              <w:t>。</w:t>
            </w:r>
          </w:p>
          <w:p w14:paraId="087A300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spacing w:val="0"/>
                <w:sz w:val="24"/>
                <w:szCs w:val="24"/>
                <w:u w:val="none"/>
              </w:rPr>
            </w:pPr>
            <w:r>
              <w:rPr>
                <w:rFonts w:hint="eastAsia" w:ascii="Times New Roman" w:hAnsi="Times New Roman" w:eastAsia="宋体" w:cs="Times New Roman"/>
                <w:b/>
                <w:bCs/>
                <w:color w:val="auto"/>
                <w:spacing w:val="0"/>
                <w:sz w:val="24"/>
                <w:szCs w:val="24"/>
                <w:u w:val="none"/>
                <w:lang w:val="en-US" w:eastAsia="zh-CN"/>
              </w:rPr>
              <w:t>10、</w:t>
            </w:r>
            <w:r>
              <w:rPr>
                <w:rFonts w:hint="default" w:ascii="Times New Roman" w:hAnsi="Times New Roman" w:eastAsia="宋体" w:cs="Times New Roman"/>
                <w:b/>
                <w:bCs/>
                <w:color w:val="auto"/>
                <w:spacing w:val="0"/>
                <w:sz w:val="24"/>
                <w:szCs w:val="24"/>
                <w:u w:val="none"/>
              </w:rPr>
              <w:t>劳动定员及工作制度</w:t>
            </w:r>
          </w:p>
          <w:p w14:paraId="0F449C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lang w:val="en-US" w:eastAsia="zh-CN"/>
              </w:rPr>
            </w:pPr>
            <w:r>
              <w:rPr>
                <w:rFonts w:hint="default" w:ascii="Times New Roman" w:hAnsi="Times New Roman" w:eastAsia="宋体" w:cs="Times New Roman"/>
                <w:color w:val="auto"/>
                <w:spacing w:val="0"/>
                <w:sz w:val="24"/>
                <w:szCs w:val="24"/>
                <w:u w:val="none"/>
              </w:rPr>
              <w:t>项目施工高峰期所需施工人员</w:t>
            </w:r>
            <w:r>
              <w:rPr>
                <w:rFonts w:hint="eastAsia" w:ascii="Times New Roman" w:hAnsi="Times New Roman" w:eastAsia="宋体" w:cs="Times New Roman"/>
                <w:color w:val="auto"/>
                <w:spacing w:val="0"/>
                <w:sz w:val="24"/>
                <w:szCs w:val="24"/>
                <w:u w:val="none"/>
                <w:lang w:val="en-US" w:eastAsia="zh-CN"/>
              </w:rPr>
              <w:t>55</w:t>
            </w:r>
            <w:r>
              <w:rPr>
                <w:rFonts w:hint="default" w:ascii="Times New Roman" w:hAnsi="Times New Roman" w:eastAsia="宋体" w:cs="Times New Roman"/>
                <w:color w:val="auto"/>
                <w:spacing w:val="0"/>
                <w:sz w:val="24"/>
                <w:szCs w:val="24"/>
                <w:u w:val="none"/>
              </w:rPr>
              <w:t>人，施工</w:t>
            </w:r>
            <w:r>
              <w:rPr>
                <w:rFonts w:hint="eastAsia" w:ascii="Times New Roman" w:hAnsi="Times New Roman" w:eastAsia="宋体" w:cs="Times New Roman"/>
                <w:color w:val="auto"/>
                <w:spacing w:val="0"/>
                <w:sz w:val="24"/>
                <w:szCs w:val="24"/>
                <w:u w:val="none"/>
                <w:lang w:eastAsia="zh-CN"/>
              </w:rPr>
              <w:t>总</w:t>
            </w:r>
            <w:r>
              <w:rPr>
                <w:rFonts w:hint="default" w:ascii="Times New Roman" w:hAnsi="Times New Roman" w:eastAsia="宋体" w:cs="Times New Roman"/>
                <w:color w:val="auto"/>
                <w:spacing w:val="0"/>
                <w:sz w:val="24"/>
                <w:szCs w:val="24"/>
                <w:u w:val="none"/>
              </w:rPr>
              <w:t>工期</w:t>
            </w:r>
            <w:r>
              <w:rPr>
                <w:rFonts w:hint="eastAsia" w:ascii="Times New Roman" w:hAnsi="Times New Roman" w:eastAsia="宋体" w:cs="Times New Roman"/>
                <w:color w:val="auto"/>
                <w:spacing w:val="0"/>
                <w:sz w:val="24"/>
                <w:szCs w:val="24"/>
                <w:u w:val="none"/>
                <w:lang w:val="en-US" w:eastAsia="zh-CN"/>
              </w:rPr>
              <w:t>11个月</w:t>
            </w:r>
            <w:r>
              <w:rPr>
                <w:rFonts w:hint="default" w:ascii="Times New Roman" w:hAnsi="Times New Roman" w:eastAsia="宋体" w:cs="Times New Roman"/>
                <w:color w:val="auto"/>
                <w:spacing w:val="0"/>
                <w:sz w:val="24"/>
                <w:szCs w:val="24"/>
                <w:u w:val="none"/>
              </w:rPr>
              <w:t>。本项目不设置施工营地</w:t>
            </w:r>
            <w:r>
              <w:rPr>
                <w:rFonts w:hint="eastAsia" w:ascii="Times New Roman" w:hAnsi="Times New Roman" w:eastAsia="宋体" w:cs="Times New Roman"/>
                <w:color w:val="auto"/>
                <w:spacing w:val="0"/>
                <w:sz w:val="24"/>
                <w:szCs w:val="24"/>
                <w:u w:val="none"/>
                <w:lang w:eastAsia="zh-CN"/>
              </w:rPr>
              <w:t>，</w:t>
            </w:r>
            <w:r>
              <w:rPr>
                <w:rFonts w:hint="eastAsia" w:ascii="Times New Roman" w:hAnsi="Times New Roman" w:eastAsia="宋体" w:cs="Times New Roman"/>
                <w:color w:val="auto"/>
                <w:spacing w:val="0"/>
                <w:sz w:val="24"/>
                <w:szCs w:val="24"/>
                <w:u w:val="none"/>
                <w:lang w:val="en-US" w:eastAsia="zh-CN"/>
              </w:rPr>
              <w:t>租用附近民房作为生活区</w:t>
            </w:r>
            <w:r>
              <w:rPr>
                <w:rFonts w:hint="default" w:ascii="Times New Roman" w:hAnsi="Times New Roman" w:eastAsia="宋体" w:cs="Times New Roman"/>
                <w:color w:val="auto"/>
                <w:spacing w:val="0"/>
                <w:sz w:val="24"/>
                <w:szCs w:val="24"/>
                <w:u w:val="none"/>
              </w:rPr>
              <w:t>。</w:t>
            </w:r>
          </w:p>
        </w:tc>
      </w:tr>
      <w:tr w14:paraId="6F7FF8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61" w:hRule="atLeast"/>
        </w:trPr>
        <w:tc>
          <w:tcPr>
            <w:tcW w:w="456" w:type="dxa"/>
            <w:vAlign w:val="center"/>
          </w:tcPr>
          <w:p w14:paraId="29146690">
            <w:pPr>
              <w:jc w:val="center"/>
              <w:rPr>
                <w:color w:val="000000"/>
                <w:sz w:val="24"/>
              </w:rPr>
            </w:pPr>
            <w:r>
              <w:rPr>
                <w:rFonts w:hint="eastAsia"/>
                <w:color w:val="000000"/>
                <w:sz w:val="24"/>
              </w:rPr>
              <w:t>其他</w:t>
            </w:r>
          </w:p>
        </w:tc>
        <w:tc>
          <w:tcPr>
            <w:tcW w:w="8417" w:type="dxa"/>
            <w:vAlign w:val="center"/>
          </w:tcPr>
          <w:p w14:paraId="36BFDEE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pacing w:val="0"/>
                <w:u w:val="none"/>
              </w:rPr>
            </w:pPr>
            <w:r>
              <w:rPr>
                <w:rFonts w:hint="eastAsia" w:eastAsia="Times New Roman" w:cs="Times New Roman"/>
                <w:b/>
                <w:bCs/>
                <w:color w:val="auto"/>
                <w:spacing w:val="0"/>
                <w:sz w:val="24"/>
                <w:szCs w:val="24"/>
                <w:u w:val="none"/>
                <w:lang w:val="en-US" w:eastAsia="zh-CN"/>
              </w:rPr>
              <w:t>1、</w:t>
            </w:r>
            <w:r>
              <w:rPr>
                <w:rFonts w:hint="eastAsia" w:ascii="Times New Roman" w:hAnsi="Times New Roman" w:eastAsia="Times New Roman" w:cs="Times New Roman"/>
                <w:b/>
                <w:bCs/>
                <w:color w:val="auto"/>
                <w:spacing w:val="0"/>
                <w:sz w:val="24"/>
                <w:szCs w:val="24"/>
                <w:u w:val="none"/>
                <w:lang w:val="en-US" w:eastAsia="zh-CN"/>
              </w:rPr>
              <w:t>坝线选择</w:t>
            </w:r>
            <w:r>
              <w:rPr>
                <w:rFonts w:hint="eastAsia" w:ascii="宋体" w:hAnsi="宋体" w:eastAsia="宋体" w:cs="宋体"/>
                <w:b/>
                <w:bCs/>
                <w:color w:val="000000"/>
                <w:spacing w:val="0"/>
                <w:kern w:val="0"/>
                <w:sz w:val="28"/>
                <w:szCs w:val="28"/>
                <w:u w:val="none"/>
                <w:lang w:val="en-US" w:eastAsia="zh-CN" w:bidi="ar"/>
              </w:rPr>
              <w:t xml:space="preserve"> </w:t>
            </w:r>
          </w:p>
          <w:p w14:paraId="5726269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auto"/>
                <w:spacing w:val="0"/>
                <w:kern w:val="0"/>
                <w:sz w:val="24"/>
                <w:szCs w:val="24"/>
                <w:u w:val="none"/>
                <w:lang w:val="en-US" w:eastAsia="zh-CN" w:bidi="ar"/>
              </w:rPr>
            </w:pPr>
            <w:r>
              <w:rPr>
                <w:rFonts w:hint="eastAsia" w:ascii="Times New Roman" w:hAnsi="Times New Roman" w:eastAsia="宋体" w:cs="Times New Roman"/>
                <w:color w:val="auto"/>
                <w:spacing w:val="0"/>
                <w:kern w:val="0"/>
                <w:sz w:val="24"/>
                <w:szCs w:val="24"/>
                <w:u w:val="none"/>
                <w:lang w:val="en-US" w:eastAsia="zh-CN" w:bidi="ar"/>
              </w:rPr>
              <w:t>工程设计对以下三种方案进行比选：</w:t>
            </w:r>
          </w:p>
          <w:p w14:paraId="2BBC46B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auto"/>
                <w:spacing w:val="0"/>
                <w:kern w:val="0"/>
                <w:sz w:val="24"/>
                <w:szCs w:val="24"/>
                <w:u w:val="none"/>
                <w:lang w:val="en-US" w:eastAsia="zh-CN" w:bidi="ar"/>
              </w:rPr>
            </w:pPr>
            <w:r>
              <w:rPr>
                <w:rFonts w:hint="eastAsia" w:ascii="Times New Roman" w:hAnsi="Times New Roman" w:eastAsia="宋体" w:cs="Times New Roman"/>
                <w:color w:val="auto"/>
                <w:spacing w:val="0"/>
                <w:kern w:val="0"/>
                <w:sz w:val="24"/>
                <w:szCs w:val="24"/>
                <w:u w:val="none"/>
                <w:lang w:val="en-US" w:eastAsia="zh-CN" w:bidi="ar"/>
              </w:rPr>
              <w:t>（1）原址除险加固</w:t>
            </w:r>
          </w:p>
          <w:p w14:paraId="1D285AC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auto"/>
                <w:spacing w:val="0"/>
                <w:kern w:val="0"/>
                <w:sz w:val="24"/>
                <w:szCs w:val="24"/>
                <w:u w:val="none"/>
                <w:lang w:val="en-US" w:eastAsia="zh-CN" w:bidi="ar"/>
              </w:rPr>
            </w:pPr>
            <w:r>
              <w:rPr>
                <w:rFonts w:hint="eastAsia" w:ascii="Times New Roman" w:hAnsi="Times New Roman" w:eastAsia="宋体" w:cs="Times New Roman"/>
                <w:color w:val="auto"/>
                <w:spacing w:val="0"/>
                <w:kern w:val="0"/>
                <w:sz w:val="24"/>
                <w:szCs w:val="24"/>
                <w:u w:val="none"/>
                <w:lang w:val="en-US" w:eastAsia="zh-CN" w:bidi="ar"/>
              </w:rPr>
              <w:t>通过现场调查访问、施工资料、检测报告及钻孔成果资料，冷水江河坝水闸闸坝为溢流坝，坝体内部为水泥砂浆砌石块，外包砼，外包砼厚度为30cm。</w:t>
            </w:r>
          </w:p>
          <w:p w14:paraId="223DB0C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auto"/>
                <w:spacing w:val="0"/>
                <w:kern w:val="0"/>
                <w:sz w:val="24"/>
                <w:szCs w:val="24"/>
                <w:u w:val="none"/>
                <w:lang w:val="en-US" w:eastAsia="zh-CN" w:bidi="ar"/>
              </w:rPr>
            </w:pPr>
            <w:r>
              <w:rPr>
                <w:rFonts w:hint="eastAsia" w:ascii="Times New Roman" w:hAnsi="Times New Roman" w:eastAsia="宋体" w:cs="Times New Roman"/>
                <w:color w:val="auto"/>
                <w:spacing w:val="0"/>
                <w:kern w:val="0"/>
                <w:sz w:val="24"/>
                <w:szCs w:val="24"/>
                <w:u w:val="none"/>
                <w:lang w:val="en-US" w:eastAsia="zh-CN" w:bidi="ar"/>
              </w:rPr>
              <w:t>根据安全鉴定报告，冷水江河坝水闸基底存在渗漏问题；由于建造时施工工艺限制及多年河水冲刷侵蚀，闸坝内部存在渗漏问题水位较低可见坝体下游面局部湿润，有水流溢出，由此可推测坝体存在渗漏。本次钻探过程中对坝体进行了注水试验，渗透系数为8.4×10</w:t>
            </w:r>
            <w:r>
              <w:rPr>
                <w:rFonts w:hint="eastAsia" w:ascii="Times New Roman" w:hAnsi="Times New Roman" w:eastAsia="宋体" w:cs="Times New Roman"/>
                <w:color w:val="auto"/>
                <w:spacing w:val="0"/>
                <w:kern w:val="0"/>
                <w:sz w:val="24"/>
                <w:szCs w:val="24"/>
                <w:u w:val="none"/>
                <w:vertAlign w:val="superscript"/>
                <w:lang w:val="en-US" w:eastAsia="zh-CN" w:bidi="ar"/>
              </w:rPr>
              <w:t>-3</w:t>
            </w:r>
            <w:r>
              <w:rPr>
                <w:rFonts w:hint="eastAsia" w:ascii="Times New Roman" w:hAnsi="Times New Roman" w:eastAsia="宋体" w:cs="Times New Roman"/>
                <w:color w:val="auto"/>
                <w:spacing w:val="0"/>
                <w:kern w:val="0"/>
                <w:sz w:val="24"/>
                <w:szCs w:val="24"/>
                <w:u w:val="none"/>
                <w:lang w:val="en-US" w:eastAsia="zh-CN" w:bidi="ar"/>
              </w:rPr>
              <w:t>cm/s，具中等透水性。</w:t>
            </w:r>
          </w:p>
          <w:p w14:paraId="7FC42F9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auto"/>
                <w:spacing w:val="0"/>
                <w:kern w:val="0"/>
                <w:sz w:val="24"/>
                <w:szCs w:val="24"/>
                <w:u w:val="none"/>
                <w:lang w:val="en-US" w:eastAsia="zh-CN" w:bidi="ar"/>
              </w:rPr>
            </w:pPr>
            <w:r>
              <w:rPr>
                <w:rFonts w:hint="eastAsia" w:ascii="Times New Roman" w:hAnsi="Times New Roman" w:eastAsia="宋体" w:cs="Times New Roman"/>
                <w:color w:val="auto"/>
                <w:spacing w:val="0"/>
                <w:kern w:val="0"/>
                <w:sz w:val="24"/>
                <w:szCs w:val="24"/>
                <w:u w:val="none"/>
                <w:lang w:val="en-US" w:eastAsia="zh-CN" w:bidi="ar"/>
              </w:rPr>
              <w:t>闸堰体圬工砌体外包混凝土混凝土磨损、剥落。原坝体砌石材质不满足现状标准要求，砌体胶结材料大量析出，导致局部已经被掏空。原始除险加固施工难度大，且无法保证坝体质量。</w:t>
            </w:r>
          </w:p>
          <w:p w14:paraId="51A1C9B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auto"/>
                <w:spacing w:val="0"/>
                <w:kern w:val="0"/>
                <w:sz w:val="24"/>
                <w:szCs w:val="24"/>
                <w:u w:val="none"/>
                <w:lang w:val="en-US" w:eastAsia="zh-CN" w:bidi="ar"/>
              </w:rPr>
            </w:pPr>
            <w:r>
              <w:rPr>
                <w:rFonts w:hint="eastAsia" w:ascii="Times New Roman" w:hAnsi="Times New Roman" w:eastAsia="宋体" w:cs="Times New Roman"/>
                <w:color w:val="auto"/>
                <w:spacing w:val="0"/>
                <w:kern w:val="0"/>
                <w:sz w:val="24"/>
                <w:szCs w:val="24"/>
                <w:u w:val="none"/>
                <w:lang w:val="en-US" w:eastAsia="zh-CN" w:bidi="ar"/>
              </w:rPr>
              <w:t>（2）原址拆除重建</w:t>
            </w:r>
          </w:p>
          <w:p w14:paraId="3F8E1CB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pacing w:val="0"/>
                <w:kern w:val="0"/>
                <w:sz w:val="24"/>
                <w:szCs w:val="24"/>
                <w:u w:val="none"/>
                <w:lang w:val="en-US" w:eastAsia="zh-CN" w:bidi="ar"/>
              </w:rPr>
            </w:pPr>
            <w:r>
              <w:rPr>
                <w:rFonts w:hint="eastAsia" w:ascii="Times New Roman" w:hAnsi="Times New Roman" w:eastAsia="宋体" w:cs="Times New Roman"/>
                <w:color w:val="auto"/>
                <w:spacing w:val="0"/>
                <w:kern w:val="0"/>
                <w:sz w:val="24"/>
                <w:szCs w:val="24"/>
                <w:u w:val="none"/>
                <w:lang w:val="en-US" w:eastAsia="zh-CN" w:bidi="ar"/>
              </w:rPr>
              <w:t>原设计闸址段下游河道顺直，岸坡稳定，地势平坦。闸址上游左、右岸为农田，闸址两岸有泥结石路面连接至左右岸，经走访调查，现状正常蓄水位回水可以覆盖灌溉任务范围内各引水口，满足取水需求，无重大制约因素。</w:t>
            </w:r>
          </w:p>
          <w:p w14:paraId="1CDC412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auto"/>
                <w:spacing w:val="0"/>
                <w:kern w:val="0"/>
                <w:sz w:val="24"/>
                <w:szCs w:val="24"/>
                <w:u w:val="none"/>
                <w:lang w:val="en-US" w:eastAsia="zh-CN" w:bidi="ar"/>
              </w:rPr>
            </w:pPr>
            <w:r>
              <w:rPr>
                <w:rFonts w:hint="eastAsia" w:ascii="Times New Roman" w:hAnsi="Times New Roman" w:eastAsia="宋体" w:cs="Times New Roman"/>
                <w:color w:val="auto"/>
                <w:spacing w:val="0"/>
                <w:kern w:val="0"/>
                <w:sz w:val="24"/>
                <w:szCs w:val="24"/>
                <w:u w:val="none"/>
                <w:lang w:val="en-US" w:eastAsia="zh-CN" w:bidi="ar"/>
              </w:rPr>
              <w:t>（3）坝址下移新建水闸</w:t>
            </w:r>
          </w:p>
          <w:p w14:paraId="587F549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auto"/>
                <w:spacing w:val="0"/>
                <w:kern w:val="0"/>
                <w:sz w:val="24"/>
                <w:szCs w:val="24"/>
                <w:u w:val="none"/>
                <w:lang w:val="en-US" w:eastAsia="zh-CN" w:bidi="ar"/>
              </w:rPr>
            </w:pPr>
            <w:r>
              <w:rPr>
                <w:rFonts w:hint="eastAsia" w:ascii="Times New Roman" w:hAnsi="Times New Roman" w:eastAsia="宋体" w:cs="Times New Roman"/>
                <w:color w:val="auto"/>
                <w:spacing w:val="0"/>
                <w:kern w:val="0"/>
                <w:sz w:val="24"/>
                <w:szCs w:val="24"/>
                <w:u w:val="none"/>
                <w:lang w:val="en-US" w:eastAsia="zh-CN" w:bidi="ar"/>
              </w:rPr>
              <w:t>泵房及电站厂房靠近原闸坝下游，人行桥与左右岸村道相连。坝址若下移，坝轴线加长会增加工程投资，且不利于后期闸坝运行管理巡检工作的开展。</w:t>
            </w:r>
          </w:p>
          <w:p w14:paraId="4AE566B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auto"/>
                <w:spacing w:val="0"/>
                <w:kern w:val="0"/>
                <w:sz w:val="24"/>
                <w:szCs w:val="24"/>
                <w:u w:val="none"/>
                <w:lang w:val="en-US" w:eastAsia="zh-CN" w:bidi="ar"/>
              </w:rPr>
            </w:pPr>
            <w:r>
              <w:rPr>
                <w:rFonts w:hint="eastAsia" w:ascii="Times New Roman" w:hAnsi="Times New Roman" w:eastAsia="宋体" w:cs="Times New Roman"/>
                <w:color w:val="auto"/>
                <w:spacing w:val="0"/>
                <w:kern w:val="0"/>
                <w:sz w:val="24"/>
                <w:szCs w:val="24"/>
                <w:u w:val="none"/>
                <w:lang w:val="en-US" w:eastAsia="zh-CN" w:bidi="ar"/>
              </w:rPr>
              <w:t>综上所述，本阶段设计推荐原址拆除重建方案，即除险加固工程坝线与原设计坝线保持一致。</w:t>
            </w:r>
          </w:p>
          <w:p w14:paraId="4DA9FB71">
            <w:pPr>
              <w:keepNext w:val="0"/>
              <w:keepLines w:val="0"/>
              <w:pageBreakBefore w:val="0"/>
              <w:widowControl w:val="0"/>
              <w:kinsoku/>
              <w:wordWrap/>
              <w:overflowPunct/>
              <w:topLinePunct w:val="0"/>
              <w:autoSpaceDE/>
              <w:autoSpaceDN/>
              <w:bidi w:val="0"/>
              <w:adjustRightInd/>
              <w:snapToGrid/>
              <w:spacing w:line="360" w:lineRule="auto"/>
              <w:ind w:left="0" w:firstLine="486" w:firstLineChars="200"/>
              <w:textAlignment w:val="auto"/>
              <w:outlineLvl w:val="3"/>
              <w:rPr>
                <w:rFonts w:hint="eastAsia" w:ascii="Times New Roman" w:hAnsi="Times New Roman" w:eastAsia="宋体" w:cs="Times New Roman"/>
                <w:b/>
                <w:bCs/>
                <w:color w:val="auto"/>
                <w:spacing w:val="1"/>
                <w:sz w:val="24"/>
                <w:szCs w:val="24"/>
                <w:u w:val="none"/>
                <w:lang w:val="en-US" w:eastAsia="zh-CN"/>
              </w:rPr>
            </w:pPr>
            <w:r>
              <w:rPr>
                <w:rFonts w:hint="eastAsia" w:cs="Times New Roman"/>
                <w:b/>
                <w:bCs/>
                <w:color w:val="auto"/>
                <w:spacing w:val="1"/>
                <w:sz w:val="24"/>
                <w:szCs w:val="24"/>
                <w:u w:val="none"/>
                <w:lang w:val="en-US" w:eastAsia="zh-CN"/>
              </w:rPr>
              <w:t>2、</w:t>
            </w:r>
            <w:r>
              <w:rPr>
                <w:rFonts w:hint="eastAsia" w:ascii="Times New Roman" w:hAnsi="Times New Roman" w:eastAsia="宋体" w:cs="Times New Roman"/>
                <w:b/>
                <w:bCs/>
                <w:color w:val="auto"/>
                <w:spacing w:val="1"/>
                <w:sz w:val="24"/>
                <w:szCs w:val="24"/>
                <w:u w:val="none"/>
                <w:lang w:val="en-US" w:eastAsia="zh-CN"/>
              </w:rPr>
              <w:t>闸门形式选择</w:t>
            </w:r>
          </w:p>
          <w:p w14:paraId="0ACEED2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auto"/>
                <w:kern w:val="0"/>
                <w:sz w:val="24"/>
                <w:szCs w:val="24"/>
                <w:u w:val="single"/>
                <w:lang w:val="en-US" w:eastAsia="zh-CN" w:bidi="ar"/>
              </w:rPr>
            </w:pPr>
            <w:r>
              <w:rPr>
                <w:rFonts w:hint="eastAsia" w:ascii="Times New Roman" w:hAnsi="Times New Roman" w:eastAsia="宋体" w:cs="Times New Roman"/>
                <w:color w:val="auto"/>
                <w:kern w:val="0"/>
                <w:sz w:val="24"/>
                <w:szCs w:val="24"/>
                <w:u w:val="none"/>
                <w:lang w:val="en-US" w:eastAsia="zh-CN" w:bidi="ar"/>
              </w:rPr>
              <w:t>坝型选择既要满足防洪安全、灌溉需求，又要适应水环境治理要求。根据目前常用的闸坝坝型，本设计选取底横轴旋转钢闸门、水力自控(液控)翻板闸坝、平面提升钢闸门三种坝型进行比较，如表</w:t>
            </w:r>
            <w:r>
              <w:rPr>
                <w:rFonts w:hint="eastAsia" w:cs="Times New Roman"/>
                <w:color w:val="auto"/>
                <w:kern w:val="0"/>
                <w:sz w:val="24"/>
                <w:szCs w:val="24"/>
                <w:u w:val="none"/>
                <w:lang w:val="en-US" w:eastAsia="zh-CN" w:bidi="ar"/>
              </w:rPr>
              <w:t>2-6</w:t>
            </w:r>
            <w:r>
              <w:rPr>
                <w:rFonts w:hint="eastAsia" w:ascii="Times New Roman" w:hAnsi="Times New Roman" w:eastAsia="宋体" w:cs="Times New Roman"/>
                <w:color w:val="auto"/>
                <w:kern w:val="0"/>
                <w:sz w:val="24"/>
                <w:szCs w:val="24"/>
                <w:u w:val="none"/>
                <w:lang w:val="en-US" w:eastAsia="zh-CN" w:bidi="ar"/>
              </w:rPr>
              <w:t>，并结合本工程任务、特性确定。</w:t>
            </w:r>
          </w:p>
          <w:p w14:paraId="09862114">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jc w:val="center"/>
              <w:textAlignment w:val="auto"/>
              <w:rPr>
                <w:rFonts w:hint="default" w:ascii="Times New Roman" w:hAnsi="Times New Roman" w:eastAsia="宋体" w:cs="Times New Roman"/>
                <w:b/>
                <w:bCs/>
                <w:color w:val="auto"/>
                <w:kern w:val="0"/>
                <w:sz w:val="21"/>
                <w:szCs w:val="21"/>
                <w:u w:val="none"/>
                <w:lang w:val="en-US" w:eastAsia="zh-CN" w:bidi="ar"/>
              </w:rPr>
            </w:pPr>
            <w:r>
              <w:rPr>
                <w:rFonts w:hint="default" w:ascii="Times New Roman" w:hAnsi="Times New Roman" w:eastAsia="宋体" w:cs="Times New Roman"/>
                <w:b/>
                <w:bCs/>
                <w:color w:val="auto"/>
                <w:kern w:val="0"/>
                <w:sz w:val="21"/>
                <w:szCs w:val="21"/>
                <w:u w:val="none"/>
                <w:lang w:val="en-US" w:eastAsia="zh-CN" w:bidi="ar"/>
              </w:rPr>
              <w:t>表</w:t>
            </w:r>
            <w:r>
              <w:rPr>
                <w:rFonts w:hint="eastAsia" w:cs="Times New Roman"/>
                <w:b/>
                <w:bCs/>
                <w:color w:val="auto"/>
                <w:kern w:val="0"/>
                <w:sz w:val="21"/>
                <w:szCs w:val="21"/>
                <w:u w:val="none"/>
                <w:lang w:val="en-US" w:eastAsia="zh-CN" w:bidi="ar"/>
              </w:rPr>
              <w:t>2-6</w:t>
            </w:r>
            <w:r>
              <w:rPr>
                <w:rFonts w:hint="default" w:ascii="Times New Roman" w:hAnsi="Times New Roman" w:eastAsia="宋体" w:cs="Times New Roman"/>
                <w:b/>
                <w:bCs/>
                <w:color w:val="auto"/>
                <w:kern w:val="0"/>
                <w:sz w:val="21"/>
                <w:szCs w:val="21"/>
                <w:u w:val="none"/>
                <w:lang w:val="en-US" w:eastAsia="zh-CN" w:bidi="ar"/>
              </w:rPr>
              <w:t xml:space="preserve"> 闸门形式比较表</w:t>
            </w:r>
          </w:p>
          <w:tbl>
            <w:tblPr>
              <w:tblStyle w:val="4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43"/>
              <w:gridCol w:w="2491"/>
              <w:gridCol w:w="2078"/>
              <w:gridCol w:w="2085"/>
            </w:tblGrid>
            <w:tr w14:paraId="191C8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391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b/>
                      <w:bCs/>
                      <w:i w:val="0"/>
                      <w:iCs w:val="0"/>
                      <w:color w:val="000000"/>
                      <w:sz w:val="21"/>
                      <w:szCs w:val="21"/>
                      <w:u w:val="none"/>
                    </w:rPr>
                  </w:pPr>
                  <w:r>
                    <w:rPr>
                      <w:rFonts w:ascii="Times New Roman" w:hAnsi="Times New Roman" w:eastAsia="宋体" w:cs="Times New Roman"/>
                      <w:b/>
                      <w:bCs/>
                      <w:i w:val="0"/>
                      <w:iCs w:val="0"/>
                      <w:color w:val="000000"/>
                      <w:kern w:val="0"/>
                      <w:sz w:val="21"/>
                      <w:szCs w:val="21"/>
                      <w:u w:val="none"/>
                      <w:lang w:val="en-US" w:eastAsia="zh-CN" w:bidi="ar"/>
                    </w:rPr>
                    <w:t>项目性能</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32C9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b/>
                      <w:bCs/>
                      <w:i w:val="0"/>
                      <w:iCs w:val="0"/>
                      <w:color w:val="000000"/>
                      <w:sz w:val="21"/>
                      <w:szCs w:val="21"/>
                      <w:u w:val="none"/>
                    </w:rPr>
                  </w:pPr>
                  <w:r>
                    <w:rPr>
                      <w:rFonts w:ascii="Times New Roman" w:hAnsi="Times New Roman" w:eastAsia="宋体" w:cs="Times New Roman"/>
                      <w:b/>
                      <w:bCs/>
                      <w:i w:val="0"/>
                      <w:iCs w:val="0"/>
                      <w:color w:val="000000"/>
                      <w:kern w:val="0"/>
                      <w:sz w:val="21"/>
                      <w:szCs w:val="21"/>
                      <w:u w:val="none"/>
                      <w:lang w:val="en-US" w:eastAsia="zh-CN" w:bidi="ar"/>
                    </w:rPr>
                    <w:t>底横轴旋转钢闸门</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935D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b/>
                      <w:bCs/>
                      <w:i w:val="0"/>
                      <w:iCs w:val="0"/>
                      <w:color w:val="000000"/>
                      <w:sz w:val="21"/>
                      <w:szCs w:val="21"/>
                      <w:u w:val="none"/>
                    </w:rPr>
                  </w:pPr>
                  <w:r>
                    <w:rPr>
                      <w:rFonts w:ascii="Times New Roman" w:hAnsi="Times New Roman" w:eastAsia="宋体" w:cs="Times New Roman"/>
                      <w:b/>
                      <w:bCs/>
                      <w:i w:val="0"/>
                      <w:iCs w:val="0"/>
                      <w:color w:val="000000"/>
                      <w:kern w:val="0"/>
                      <w:sz w:val="21"/>
                      <w:szCs w:val="21"/>
                      <w:u w:val="none"/>
                      <w:lang w:val="en-US" w:eastAsia="zh-CN" w:bidi="ar"/>
                    </w:rPr>
                    <w:t>水力自控翻板闸坝</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3E44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b/>
                      <w:bCs/>
                      <w:i w:val="0"/>
                      <w:iCs w:val="0"/>
                      <w:color w:val="000000"/>
                      <w:sz w:val="21"/>
                      <w:szCs w:val="21"/>
                      <w:u w:val="none"/>
                    </w:rPr>
                  </w:pPr>
                  <w:r>
                    <w:rPr>
                      <w:rFonts w:ascii="Times New Roman" w:hAnsi="Times New Roman" w:eastAsia="宋体" w:cs="Times New Roman"/>
                      <w:b/>
                      <w:bCs/>
                      <w:i w:val="0"/>
                      <w:iCs w:val="0"/>
                      <w:color w:val="000000"/>
                      <w:kern w:val="0"/>
                      <w:sz w:val="21"/>
                      <w:szCs w:val="21"/>
                      <w:u w:val="none"/>
                      <w:lang w:val="en-US" w:eastAsia="zh-CN" w:bidi="ar"/>
                    </w:rPr>
                    <w:t>平面提升钢闸门</w:t>
                  </w:r>
                </w:p>
              </w:tc>
            </w:tr>
            <w:tr w14:paraId="40642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7DF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抗淤积能力</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061E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淤积力矩为塌坝动力   矩，利于泄洪</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F1F5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门前泥沙易形成阻</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力，需人工清淤</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D98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无泥沙干扰，可靠性</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高</w:t>
                  </w:r>
                </w:p>
              </w:tc>
            </w:tr>
            <w:tr w14:paraId="7732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097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启闭灵活性</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253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液压驱动快速响应，可远程控制</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181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水力自控启闭被动，</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液控型需人工干预</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0AD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启闭稳定，但速度较慢</w:t>
                  </w:r>
                </w:p>
              </w:tc>
            </w:tr>
            <w:tr w14:paraId="2851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12E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景观协调性</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C6F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隐蔽性好，塌坝后无碍视觉</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D3A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门体翻倒后可能暴露上游河床</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A5E2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启闭排架影响美观</w:t>
                  </w:r>
                </w:p>
              </w:tc>
            </w:tr>
            <w:tr w14:paraId="0B056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595E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垃圾卡塞影响</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BF39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底部旋转结构不易卡塞</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AC52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支铰部位易被杂物卡  住，需频繁维护</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F8A1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无显著影响</w:t>
                  </w:r>
                </w:p>
              </w:tc>
            </w:tr>
            <w:tr w14:paraId="3E101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9DF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维护成本</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3556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液压系统需定期检修，耐久性中等</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4C7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清淤频率高，液控型     维护复杂</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10B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机械结构简单，维护</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方便</w:t>
                  </w:r>
                </w:p>
              </w:tc>
            </w:tr>
            <w:tr w14:paraId="7430E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9F92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工程造价</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EC7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43.7万元/延米</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D3B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63.8万元/延米</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3289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37.6万元/延米</w:t>
                  </w:r>
                </w:p>
              </w:tc>
            </w:tr>
          </w:tbl>
          <w:p w14:paraId="731A318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综合比较三种不同方案：蓄水水位及库容均相同，闸坝翻板闸门门前泥沙易形成阻力，需人工清淤，且清淤频率高，液控型维护复杂；支铰部位易被杂物卡住，需频繁维护；门体翻倒后可能暴露上游河床。底横轴旋转闸门具有泄洪能力强、结构耐磨耐蚀性强、寿命长等特点，但总造价相对较高，后期闸门检修较困难，工程投资性价比不高。平面提升钢闸门同样具有泄洪能力强、结构耐磨耐蚀性强、寿命长等特点，泄洪能力较强，无泥沙干扰，无垃圾卡塞影响，可靠性高，机械结构简单，维护方便，工程造价适中，建设经验丰富。</w:t>
            </w:r>
          </w:p>
          <w:p w14:paraId="3FBD9F4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通过对以上三种坝型的适用条件、工作特性、冲淤能力、运行管理、使用寿命、工期及工程造价等方面进行定性定量分析比较。同时，根据水闸运行现状，结合建设单位及运行单位意见，本项目采用平面提升闸门进行除险加固。</w:t>
            </w:r>
          </w:p>
          <w:p w14:paraId="5B6F5885">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3"/>
              <w:rPr>
                <w:rFonts w:hint="eastAsia" w:ascii="Times New Roman" w:hAnsi="Times New Roman" w:eastAsia="宋体" w:cs="Times New Roman"/>
                <w:b/>
                <w:bCs/>
                <w:color w:val="auto"/>
                <w:spacing w:val="1"/>
                <w:sz w:val="24"/>
                <w:szCs w:val="24"/>
                <w:u w:val="none"/>
                <w:lang w:val="en-US" w:eastAsia="zh-CN"/>
              </w:rPr>
            </w:pPr>
            <w:r>
              <w:rPr>
                <w:rFonts w:hint="eastAsia" w:cs="Times New Roman"/>
                <w:b/>
                <w:bCs/>
                <w:color w:val="auto"/>
                <w:spacing w:val="1"/>
                <w:sz w:val="24"/>
                <w:szCs w:val="24"/>
                <w:u w:val="none"/>
                <w:lang w:val="en-US" w:eastAsia="zh-CN"/>
              </w:rPr>
              <w:t xml:space="preserve">    3、</w:t>
            </w:r>
            <w:r>
              <w:rPr>
                <w:rFonts w:hint="eastAsia" w:ascii="Times New Roman" w:hAnsi="Times New Roman" w:eastAsia="宋体" w:cs="Times New Roman"/>
                <w:b/>
                <w:bCs/>
                <w:color w:val="auto"/>
                <w:spacing w:val="1"/>
                <w:sz w:val="24"/>
                <w:szCs w:val="24"/>
                <w:u w:val="none"/>
                <w:lang w:val="en-US" w:eastAsia="zh-CN"/>
              </w:rPr>
              <w:t>除险加固方案比选</w:t>
            </w:r>
          </w:p>
          <w:p w14:paraId="74AA57D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根据安全鉴定结论以及水闸存在的问题。水闸除险加固拟采用以下二个方案进行比选。</w:t>
            </w:r>
          </w:p>
          <w:p w14:paraId="24B473C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方案一：翻板闸门方案（比较方案）</w:t>
            </w:r>
          </w:p>
          <w:p w14:paraId="26B238D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原翻板闸门及平面提升门全部拆除，更换为带预倾角水力自控液控翻板闸门，共布置10扇翻板闸门，单扇闸门宽6.2m，高为3.0m，每2扇闸门宽度分一段，长度为12.4m，两侧止水宽0.1m，中墩厚度1.0m，边墩厚度1.0m，翻板闸门段总长69.0m，闸室顶板为折线型实用堰，堰顶高程为98.21m，闸门顶高程101.10m，堰顶宽10.0m，上游坡面铅直，下游面圆弧相接，陡坡段坡比1:1.0。溢流坝段宽8.20m，堰顶高程为101.40m。</w:t>
            </w:r>
          </w:p>
          <w:p w14:paraId="6156B5F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原溢流堰体全部拆除，重建C30钢筋混凝土堰体，溢流堰体向下游延长，以适应翻板闸门及工作桥墩的布置需要，每两扇闸门间设置一道隔墩兼作桥墩。加固后闸坝溢流堰堰顶高程为98.21m，堰体顺流向长10.0m。坝基防渗采用帷幕灌浆，灌浆深度至弱透水层以下3m。</w:t>
            </w:r>
          </w:p>
          <w:p w14:paraId="0D44CFF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（3）拆除原平面提升门启闭排架、工作桥，重建交通桥宽4.0m。</w:t>
            </w:r>
          </w:p>
          <w:p w14:paraId="3285D5D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堰后斜坡段接消力池，本次设计消力池长20.0m，消力池深1.0m，消力池底板厚度0.8m，满足计算要求。同时为了减小消力池底板的扬压力，在消力池底板设排水孔，排水孔径为100mm，孔距1.0m，排距1.0m，按梅花桩型布置。</w:t>
            </w:r>
          </w:p>
          <w:p w14:paraId="4102A08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（5）在原上下游左两岸浆砌石岸墙进行加固，采用C30钢筋混凝土结构型式。</w:t>
            </w:r>
          </w:p>
          <w:p w14:paraId="06F7B41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（6）水闸左岸原址重建设备控制房，采用框架结构。</w:t>
            </w:r>
          </w:p>
          <w:p w14:paraId="29C44F4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（7）新建安全监测设施。</w:t>
            </w:r>
          </w:p>
          <w:p w14:paraId="5156149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bCs/>
                <w:color w:val="auto"/>
                <w:spacing w:val="1"/>
                <w:sz w:val="24"/>
                <w:szCs w:val="24"/>
                <w:u w:val="none"/>
                <w:lang w:val="en-US" w:eastAsia="zh-CN"/>
              </w:rPr>
            </w:pPr>
            <w:r>
              <w:rPr>
                <w:rFonts w:hint="default" w:ascii="Times New Roman" w:hAnsi="Times New Roman" w:eastAsia="宋体" w:cs="Times New Roman"/>
                <w:color w:val="auto"/>
                <w:kern w:val="0"/>
                <w:sz w:val="24"/>
                <w:szCs w:val="24"/>
                <w:lang w:val="en-US" w:eastAsia="zh-CN" w:bidi="ar"/>
              </w:rPr>
              <w:t>方案一闸孔总净宽 62m，共分为5孔，每孔宽度12.4m。全闸用2个边墩及4 个中墩分隔闸孔，边墩厚1.0m，中墩厚1.0m，半圆形墩头。本方案特征水位如下表所示。</w:t>
            </w:r>
          </w:p>
          <w:p w14:paraId="1FEF86BB">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jc w:val="center"/>
              <w:textAlignment w:val="auto"/>
              <w:rPr>
                <w:rFonts w:hint="eastAsia" w:ascii="Times New Roman" w:hAnsi="Times New Roman" w:eastAsia="宋体" w:cs="Times New Roman"/>
                <w:b/>
                <w:bCs/>
                <w:color w:val="auto"/>
                <w:kern w:val="0"/>
                <w:sz w:val="21"/>
                <w:szCs w:val="21"/>
                <w:u w:val="none"/>
                <w:lang w:val="en-US" w:eastAsia="zh-CN" w:bidi="ar"/>
              </w:rPr>
            </w:pPr>
            <w:r>
              <w:rPr>
                <w:rFonts w:hint="eastAsia" w:ascii="Times New Roman" w:hAnsi="Times New Roman" w:eastAsia="宋体" w:cs="Times New Roman"/>
                <w:b/>
                <w:bCs/>
                <w:color w:val="auto"/>
                <w:kern w:val="0"/>
                <w:sz w:val="21"/>
                <w:szCs w:val="21"/>
                <w:u w:val="none"/>
                <w:lang w:val="en-US" w:eastAsia="zh-CN" w:bidi="ar"/>
              </w:rPr>
              <w:t>表</w:t>
            </w:r>
            <w:r>
              <w:rPr>
                <w:rFonts w:hint="eastAsia" w:cs="Times New Roman"/>
                <w:b/>
                <w:bCs/>
                <w:color w:val="auto"/>
                <w:kern w:val="0"/>
                <w:sz w:val="21"/>
                <w:szCs w:val="21"/>
                <w:u w:val="none"/>
                <w:lang w:val="en-US" w:eastAsia="zh-CN" w:bidi="ar"/>
              </w:rPr>
              <w:t>2-7</w:t>
            </w:r>
            <w:r>
              <w:rPr>
                <w:rFonts w:hint="eastAsia" w:ascii="Times New Roman" w:hAnsi="Times New Roman" w:eastAsia="宋体" w:cs="Times New Roman"/>
                <w:b/>
                <w:bCs/>
                <w:color w:val="auto"/>
                <w:kern w:val="0"/>
                <w:sz w:val="21"/>
                <w:szCs w:val="21"/>
                <w:u w:val="none"/>
                <w:lang w:val="en-US" w:eastAsia="zh-CN" w:bidi="ar"/>
              </w:rPr>
              <w:t xml:space="preserve"> 方案一特征水位表</w:t>
            </w:r>
          </w:p>
          <w:tbl>
            <w:tblPr>
              <w:tblStyle w:val="4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56"/>
              <w:gridCol w:w="2583"/>
              <w:gridCol w:w="1831"/>
              <w:gridCol w:w="1828"/>
            </w:tblGrid>
            <w:tr w14:paraId="7D898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2C69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水位</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AB91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过闸洪峰流量(m³/s)</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3FD4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上游水位(m)</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32F7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下游水位(m)</w:t>
                  </w:r>
                </w:p>
              </w:tc>
            </w:tr>
            <w:tr w14:paraId="7DCC5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4C2C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设计洪水位(P=5%)</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D5C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1360 </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7734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106.10 </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7BE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105.37 </w:t>
                  </w:r>
                </w:p>
              </w:tc>
            </w:tr>
            <w:tr w14:paraId="00672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A14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校核洪水位(P=2%)</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CC15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1730 </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F243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106.80 </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4F2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106.02 </w:t>
                  </w:r>
                </w:p>
              </w:tc>
            </w:tr>
          </w:tbl>
          <w:p w14:paraId="5D895657">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方案二：平板提升闸门方案（推荐方案）</w:t>
            </w:r>
          </w:p>
          <w:p w14:paraId="6598BDC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（1）原翻板闸门及平面提升门全部拆除，全部更换为平面提升闸门，共设8 扇闸门（尺寸7.1x3.0m），闸墩厚度1.2m，闸堰为C30 钢筋混凝土坝结构，闸坝溢流堰堰顶高程为98.10m，堰体顺流向长 15.90m。堰型采用宽顶溢流堰型式，闸后顶部曲线段长2.12m，半径3.0m，中间直线段坡比1.1.0，长0.95m，下部反弧段长2.83m，半径4.0m。末端接消力池。</w:t>
            </w:r>
          </w:p>
          <w:p w14:paraId="15A673F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（2）原溢流堰体全部拆除，重建C30 钢筋混凝土堰体，溢流堰体向下游延长，以适应平板闸门及工作桥墩的布置需要。加固后闸坝溢流堰堰顶高程为98.10m，堰体顺流向长10m。坝基防渗采用帷幕灌浆，灌浆深度至弱透水层以下3m。</w:t>
            </w:r>
          </w:p>
          <w:p w14:paraId="25E057F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（3）拆除原平面提升门启闭排架、工作桥，重建交通桥宽4.0m。</w:t>
            </w:r>
          </w:p>
          <w:p w14:paraId="0782CD8B">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4）堰后斜坡段接消力池，本次设计消力池长20.0m，消力池深1.0m，消力池底板厚度0.8m，满足计算要求。同时为了减小消力池底板的扬压力，在消力池底板设排水孔，排水孔径为100mm，孔距1.0m，排距1.0m，按梅花桩型布置。</w:t>
            </w:r>
          </w:p>
          <w:p w14:paraId="59A6396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（5）在原上下游左两岸浆砌石岸墙进行加固，采用 C30 钢筋混凝土结构型式。</w:t>
            </w:r>
          </w:p>
          <w:p w14:paraId="167317C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（6）水闸左岸原址重建设备控制房，采用单层框架结构。</w:t>
            </w:r>
          </w:p>
          <w:p w14:paraId="34464F2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（7）新建安全监测设施。</w:t>
            </w:r>
          </w:p>
          <w:p w14:paraId="73E12D2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方案二闸孔总净宽 56.8m，共分为8孔，每孔宽度7.1m。全闸用9个中墩分隔闸孔，中墩厚 1.2m，半圆形墩头。本方案特征水位如下表所示。</w:t>
            </w:r>
          </w:p>
          <w:p w14:paraId="749FBEE1">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jc w:val="center"/>
              <w:textAlignment w:val="auto"/>
              <w:rPr>
                <w:rFonts w:hint="eastAsia" w:ascii="Times New Roman" w:hAnsi="Times New Roman" w:eastAsia="宋体" w:cs="Times New Roman"/>
                <w:b/>
                <w:bCs/>
                <w:color w:val="auto"/>
                <w:kern w:val="0"/>
                <w:sz w:val="21"/>
                <w:szCs w:val="21"/>
                <w:u w:val="none"/>
                <w:lang w:val="en-US" w:eastAsia="zh-CN" w:bidi="ar"/>
              </w:rPr>
            </w:pPr>
            <w:r>
              <w:rPr>
                <w:rFonts w:hint="eastAsia" w:ascii="Times New Roman" w:hAnsi="Times New Roman" w:eastAsia="宋体" w:cs="Times New Roman"/>
                <w:b/>
                <w:bCs/>
                <w:color w:val="auto"/>
                <w:kern w:val="0"/>
                <w:sz w:val="21"/>
                <w:szCs w:val="21"/>
                <w:u w:val="none"/>
                <w:lang w:val="en-US" w:eastAsia="zh-CN" w:bidi="ar"/>
              </w:rPr>
              <w:t>表</w:t>
            </w:r>
            <w:r>
              <w:rPr>
                <w:rFonts w:hint="eastAsia" w:cs="Times New Roman"/>
                <w:b/>
                <w:bCs/>
                <w:color w:val="auto"/>
                <w:kern w:val="0"/>
                <w:sz w:val="21"/>
                <w:szCs w:val="21"/>
                <w:u w:val="none"/>
                <w:lang w:val="en-US" w:eastAsia="zh-CN" w:bidi="ar"/>
              </w:rPr>
              <w:t>2-8</w:t>
            </w:r>
            <w:r>
              <w:rPr>
                <w:rFonts w:hint="eastAsia" w:ascii="Times New Roman" w:hAnsi="Times New Roman" w:eastAsia="宋体" w:cs="Times New Roman"/>
                <w:b/>
                <w:bCs/>
                <w:color w:val="auto"/>
                <w:kern w:val="0"/>
                <w:sz w:val="21"/>
                <w:szCs w:val="21"/>
                <w:u w:val="none"/>
                <w:lang w:val="en-US" w:eastAsia="zh-CN" w:bidi="ar"/>
              </w:rPr>
              <w:t xml:space="preserve"> 方案二特征水位表</w:t>
            </w:r>
          </w:p>
          <w:tbl>
            <w:tblPr>
              <w:tblStyle w:val="4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56"/>
              <w:gridCol w:w="2583"/>
              <w:gridCol w:w="1831"/>
              <w:gridCol w:w="1828"/>
            </w:tblGrid>
            <w:tr w14:paraId="1CFF3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61B7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水位</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A60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过闸洪峰流量(m³/s)</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9CD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上游水位(m)</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136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下游水位(m)</w:t>
                  </w:r>
                </w:p>
              </w:tc>
            </w:tr>
            <w:tr w14:paraId="29BB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A497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设计洪水位(P=5%)</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1B7A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1360 </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4E9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106.</w:t>
                  </w:r>
                  <w:r>
                    <w:rPr>
                      <w:rFonts w:hint="eastAsia" w:ascii="Times New Roman" w:hAnsi="Times New Roman" w:eastAsia="宋体" w:cs="Times New Roman"/>
                      <w:i w:val="0"/>
                      <w:iCs w:val="0"/>
                      <w:color w:val="000000"/>
                      <w:kern w:val="0"/>
                      <w:sz w:val="21"/>
                      <w:szCs w:val="21"/>
                      <w:u w:val="none"/>
                      <w:lang w:val="en-US" w:eastAsia="zh-CN" w:bidi="ar"/>
                    </w:rPr>
                    <w:t>36</w:t>
                  </w:r>
                  <w:r>
                    <w:rPr>
                      <w:rFonts w:ascii="Times New Roman" w:hAnsi="Times New Roman" w:eastAsia="宋体" w:cs="Times New Roman"/>
                      <w:i w:val="0"/>
                      <w:iCs w:val="0"/>
                      <w:color w:val="000000"/>
                      <w:kern w:val="0"/>
                      <w:sz w:val="21"/>
                      <w:szCs w:val="21"/>
                      <w:u w:val="none"/>
                      <w:lang w:val="en-US" w:eastAsia="zh-CN" w:bidi="ar"/>
                    </w:rPr>
                    <w:t xml:space="preserve"> </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6D5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105.</w:t>
                  </w:r>
                  <w:r>
                    <w:rPr>
                      <w:rFonts w:hint="eastAsia" w:ascii="Times New Roman" w:hAnsi="Times New Roman" w:eastAsia="宋体" w:cs="Times New Roman"/>
                      <w:i w:val="0"/>
                      <w:iCs w:val="0"/>
                      <w:color w:val="000000"/>
                      <w:kern w:val="0"/>
                      <w:sz w:val="21"/>
                      <w:szCs w:val="21"/>
                      <w:u w:val="none"/>
                      <w:lang w:val="en-US" w:eastAsia="zh-CN" w:bidi="ar"/>
                    </w:rPr>
                    <w:t>82</w:t>
                  </w:r>
                  <w:r>
                    <w:rPr>
                      <w:rFonts w:ascii="Times New Roman" w:hAnsi="Times New Roman" w:eastAsia="宋体" w:cs="Times New Roman"/>
                      <w:i w:val="0"/>
                      <w:iCs w:val="0"/>
                      <w:color w:val="000000"/>
                      <w:kern w:val="0"/>
                      <w:sz w:val="21"/>
                      <w:szCs w:val="21"/>
                      <w:u w:val="none"/>
                      <w:lang w:val="en-US" w:eastAsia="zh-CN" w:bidi="ar"/>
                    </w:rPr>
                    <w:t xml:space="preserve"> </w:t>
                  </w:r>
                </w:p>
              </w:tc>
            </w:tr>
            <w:tr w14:paraId="3895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3057E">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校核洪水位(P=2%)</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C40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1730 </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4C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bidi="ar"/>
                    </w:rPr>
                    <w:t>10</w:t>
                  </w:r>
                  <w:r>
                    <w:rPr>
                      <w:rFonts w:hint="eastAsia" w:ascii="Times New Roman" w:hAnsi="Times New Roman" w:eastAsia="宋体" w:cs="Times New Roman"/>
                      <w:i w:val="0"/>
                      <w:iCs w:val="0"/>
                      <w:color w:val="000000"/>
                      <w:kern w:val="0"/>
                      <w:sz w:val="21"/>
                      <w:szCs w:val="21"/>
                      <w:u w:val="none"/>
                      <w:lang w:val="en-US" w:eastAsia="zh-CN" w:bidi="ar"/>
                    </w:rPr>
                    <w:t>7.03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B912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106.</w:t>
                  </w:r>
                  <w:r>
                    <w:rPr>
                      <w:rFonts w:hint="eastAsia" w:ascii="Times New Roman" w:hAnsi="Times New Roman" w:eastAsia="宋体" w:cs="Times New Roman"/>
                      <w:i w:val="0"/>
                      <w:iCs w:val="0"/>
                      <w:color w:val="000000"/>
                      <w:kern w:val="0"/>
                      <w:sz w:val="21"/>
                      <w:szCs w:val="21"/>
                      <w:u w:val="none"/>
                      <w:lang w:val="en-US" w:eastAsia="zh-CN" w:bidi="ar"/>
                    </w:rPr>
                    <w:t>36</w:t>
                  </w:r>
                  <w:r>
                    <w:rPr>
                      <w:rFonts w:ascii="Times New Roman" w:hAnsi="Times New Roman" w:eastAsia="宋体" w:cs="Times New Roman"/>
                      <w:i w:val="0"/>
                      <w:iCs w:val="0"/>
                      <w:color w:val="000000"/>
                      <w:kern w:val="0"/>
                      <w:sz w:val="21"/>
                      <w:szCs w:val="21"/>
                      <w:u w:val="none"/>
                      <w:lang w:val="en-US" w:eastAsia="zh-CN" w:bidi="ar"/>
                    </w:rPr>
                    <w:t xml:space="preserve"> </w:t>
                  </w:r>
                </w:p>
              </w:tc>
            </w:tr>
          </w:tbl>
          <w:p w14:paraId="3421C09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auto"/>
                <w:kern w:val="0"/>
                <w:sz w:val="24"/>
                <w:szCs w:val="24"/>
                <w:lang w:val="en-US" w:eastAsia="zh-CN" w:bidi="ar"/>
              </w:rPr>
            </w:pPr>
          </w:p>
          <w:p w14:paraId="37C53EC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通过对以上两种坝型的适用条件、工作特性、运行管理、工程方案及工程造价等方面进行定性定量分析比较：两种方案的正常蓄水水位及相应的库容均相同，闸室基础挡水位相同，消能工相同；方案一翻板闸方案设置的中墩数量最少，泄洪最强，无需另设启闭平台或启闭房，节约土建工程量，工程投资最省，但门体在水中有一定阻水影响，泄洪时支墩较易卡阻垃圾，影响泄洪安全。方案二平面提升钢闸门方案闸门刚度大安全性高使用寿命长，闸墩数量相交方案一较多，工程投资相较方案一较高，但充分考虑到河道上游漂木等大型垃圾对水闸安全运行的影响，在技术可行性更高的基础上方案二更具有优势。</w:t>
            </w:r>
          </w:p>
          <w:p w14:paraId="64501CF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综上，因此本项目拟推荐方案二翻平面提升闸方案</w:t>
            </w:r>
            <w:r>
              <w:rPr>
                <w:rFonts w:hint="default" w:ascii="Times New Roman" w:hAnsi="Times New Roman" w:eastAsia="宋体" w:cs="Times New Roman"/>
                <w:color w:val="auto"/>
                <w:kern w:val="0"/>
                <w:sz w:val="24"/>
                <w:szCs w:val="24"/>
                <w:lang w:val="en-US" w:eastAsia="zh-CN" w:bidi="ar"/>
              </w:rPr>
              <w:t>。</w:t>
            </w:r>
          </w:p>
          <w:p w14:paraId="65047AA5">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rFonts w:hint="eastAsia" w:ascii="Times New Roman" w:hAnsi="Times New Roman" w:eastAsia="宋体" w:cs="Times New Roman"/>
                <w:b/>
                <w:bCs/>
                <w:color w:val="auto"/>
                <w:kern w:val="0"/>
                <w:sz w:val="24"/>
                <w:szCs w:val="24"/>
                <w:lang w:val="en-US" w:eastAsia="zh-CN" w:bidi="ar"/>
              </w:rPr>
            </w:pPr>
            <w:r>
              <w:rPr>
                <w:rFonts w:hint="eastAsia" w:ascii="Times New Roman" w:hAnsi="Times New Roman" w:eastAsia="宋体" w:cs="Times New Roman"/>
                <w:b/>
                <w:bCs/>
                <w:color w:val="auto"/>
                <w:kern w:val="0"/>
                <w:sz w:val="24"/>
                <w:szCs w:val="24"/>
                <w:lang w:val="en-US" w:eastAsia="zh-CN" w:bidi="ar"/>
              </w:rPr>
              <w:t>4、生态基流设计</w:t>
            </w:r>
          </w:p>
          <w:p w14:paraId="14FBE28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w:t>
            </w:r>
            <w:r>
              <w:rPr>
                <w:rFonts w:hint="eastAsia" w:ascii="Times New Roman" w:hAnsi="Times New Roman" w:eastAsia="宋体" w:cs="Times New Roman"/>
                <w:color w:val="auto"/>
                <w:kern w:val="0"/>
                <w:sz w:val="24"/>
                <w:szCs w:val="24"/>
                <w:lang w:val="en-US" w:eastAsia="zh-CN" w:bidi="ar"/>
              </w:rPr>
              <w:t>项目</w:t>
            </w:r>
            <w:r>
              <w:rPr>
                <w:rFonts w:hint="default" w:ascii="Times New Roman" w:hAnsi="Times New Roman" w:eastAsia="宋体" w:cs="Times New Roman"/>
                <w:color w:val="auto"/>
                <w:kern w:val="0"/>
                <w:sz w:val="24"/>
                <w:szCs w:val="24"/>
                <w:lang w:val="en-US" w:eastAsia="zh-CN" w:bidi="ar"/>
              </w:rPr>
              <w:t>利用左右岸水轮泵作为生态基流放水孔，进口闸门控制生态流量。</w:t>
            </w:r>
            <w:r>
              <w:rPr>
                <w:rFonts w:hint="eastAsia" w:ascii="Times New Roman" w:hAnsi="Times New Roman" w:eastAsia="宋体" w:cs="Times New Roman"/>
                <w:color w:val="auto"/>
                <w:kern w:val="0"/>
                <w:sz w:val="24"/>
                <w:szCs w:val="24"/>
                <w:lang w:val="en-US" w:eastAsia="zh-CN" w:bidi="ar"/>
              </w:rPr>
              <w:t>并</w:t>
            </w:r>
            <w:r>
              <w:rPr>
                <w:rFonts w:hint="default" w:ascii="Times New Roman" w:hAnsi="Times New Roman" w:eastAsia="宋体" w:cs="Times New Roman"/>
                <w:color w:val="auto"/>
                <w:kern w:val="0"/>
                <w:sz w:val="24"/>
                <w:szCs w:val="24"/>
                <w:lang w:val="en-US" w:eastAsia="zh-CN" w:bidi="ar"/>
              </w:rPr>
              <w:t>在右岸非溢流段设生态基流孔，孔径为400mm，并设翻盖式闸门。</w:t>
            </w:r>
          </w:p>
          <w:p w14:paraId="0034CED0">
            <w:pPr>
              <w:pStyle w:val="60"/>
              <w:ind w:firstLine="468" w:firstLineChars="195"/>
              <w:rPr>
                <w:rFonts w:hint="default"/>
                <w:lang w:val="en-US" w:eastAsia="zh-CN"/>
              </w:rPr>
            </w:pPr>
            <w:r>
              <w:rPr>
                <w:rFonts w:hint="eastAsia" w:ascii="Times New Roman" w:hAnsi="Times New Roman" w:cs="Times New Roman"/>
                <w:color w:val="auto"/>
                <w:kern w:val="0"/>
                <w:sz w:val="24"/>
                <w:szCs w:val="24"/>
                <w:lang w:val="en-US" w:eastAsia="zh-CN" w:bidi="ar"/>
              </w:rPr>
              <w:t>另</w:t>
            </w:r>
            <w:r>
              <w:rPr>
                <w:rFonts w:hint="eastAsia"/>
              </w:rPr>
              <w:t>冷水江水电站设计生态流量</w:t>
            </w:r>
            <w:r>
              <w:rPr>
                <w:rFonts w:hint="eastAsia" w:ascii="Times New Roman" w:hAnsi="Times New Roman" w:eastAsia="宋体" w:cs="Times New Roman"/>
                <w:color w:val="auto"/>
                <w:kern w:val="0"/>
                <w:sz w:val="24"/>
                <w:szCs w:val="24"/>
                <w:lang w:val="en-US" w:eastAsia="zh-CN" w:bidi="ar"/>
              </w:rPr>
              <w:t>1.99m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Times New Roman" w:hAnsi="Times New Roman" w:eastAsia="宋体" w:cs="Times New Roman"/>
                <w:color w:val="auto"/>
                <w:kern w:val="0"/>
                <w:sz w:val="24"/>
                <w:szCs w:val="24"/>
                <w:lang w:val="en-US" w:eastAsia="zh-CN" w:bidi="ar"/>
              </w:rPr>
              <w:t>/s，</w:t>
            </w:r>
            <w:r>
              <w:rPr>
                <w:rFonts w:hint="eastAsia" w:ascii="Times New Roman" w:hAnsi="Times New Roman" w:cs="Times New Roman"/>
                <w:color w:val="auto"/>
                <w:kern w:val="0"/>
                <w:sz w:val="24"/>
                <w:szCs w:val="24"/>
                <w:lang w:val="en-US" w:eastAsia="zh-CN" w:bidi="ar"/>
              </w:rPr>
              <w:t>故可保证河段下泄生态流量满足相应要求。</w:t>
            </w:r>
          </w:p>
        </w:tc>
      </w:tr>
    </w:tbl>
    <w:p w14:paraId="4139913A">
      <w:pPr>
        <w:widowControl/>
        <w:spacing w:before="100" w:beforeAutospacing="1" w:after="100" w:afterAutospacing="1"/>
        <w:jc w:val="center"/>
        <w:outlineLvl w:val="0"/>
        <w:rPr>
          <w:rFonts w:ascii="黑体" w:hAnsi="黑体" w:eastAsia="黑体"/>
          <w:snapToGrid w:val="0"/>
          <w:color w:val="000000"/>
          <w:sz w:val="30"/>
          <w:szCs w:val="30"/>
        </w:rPr>
      </w:pPr>
      <w:bookmarkStart w:id="5" w:name="_Toc21407"/>
      <w:r>
        <w:rPr>
          <w:rFonts w:hint="eastAsia" w:ascii="黑体" w:hAnsi="黑体" w:eastAsia="黑体"/>
          <w:snapToGrid w:val="0"/>
          <w:color w:val="000000"/>
          <w:sz w:val="30"/>
          <w:szCs w:val="30"/>
        </w:rPr>
        <w:br w:type="page"/>
      </w:r>
      <w:r>
        <w:rPr>
          <w:rFonts w:hint="eastAsia" w:ascii="黑体" w:hAnsi="黑体" w:eastAsia="黑体"/>
          <w:snapToGrid w:val="0"/>
          <w:color w:val="000000"/>
          <w:sz w:val="30"/>
          <w:szCs w:val="30"/>
        </w:rPr>
        <w:t>三、生态环境现状、保护目标及评价标准</w:t>
      </w:r>
      <w:bookmarkEnd w:id="5"/>
    </w:p>
    <w:tbl>
      <w:tblPr>
        <w:tblStyle w:val="45"/>
        <w:tblW w:w="9204" w:type="dxa"/>
        <w:tblInd w:w="-22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748"/>
      </w:tblGrid>
      <w:tr w14:paraId="44CD8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27" w:hRule="atLeast"/>
        </w:trPr>
        <w:tc>
          <w:tcPr>
            <w:tcW w:w="600" w:type="dxa"/>
            <w:vAlign w:val="center"/>
          </w:tcPr>
          <w:p w14:paraId="00F882FA">
            <w:pPr>
              <w:jc w:val="center"/>
              <w:rPr>
                <w:color w:val="000000"/>
                <w:sz w:val="24"/>
              </w:rPr>
            </w:pPr>
            <w:r>
              <w:rPr>
                <w:rFonts w:hint="eastAsia"/>
                <w:color w:val="000000"/>
                <w:sz w:val="24"/>
              </w:rPr>
              <w:t>生态环境现状</w:t>
            </w:r>
          </w:p>
        </w:tc>
        <w:tc>
          <w:tcPr>
            <w:tcW w:w="8604" w:type="dxa"/>
          </w:tcPr>
          <w:p w14:paraId="27F5C4E9">
            <w:pPr>
              <w:numPr>
                <w:ilvl w:val="0"/>
                <w:numId w:val="5"/>
              </w:numPr>
              <w:spacing w:line="360" w:lineRule="auto"/>
              <w:ind w:firstLine="482" w:firstLineChars="200"/>
              <w:rPr>
                <w:rFonts w:hint="eastAsia"/>
                <w:b/>
                <w:color w:val="000000"/>
                <w:sz w:val="24"/>
              </w:rPr>
            </w:pPr>
            <w:r>
              <w:rPr>
                <w:rFonts w:hint="eastAsia"/>
                <w:b/>
                <w:color w:val="000000"/>
                <w:sz w:val="24"/>
              </w:rPr>
              <w:t>主体功能区规划和生态功能区划情况</w:t>
            </w:r>
          </w:p>
          <w:p w14:paraId="3E4E1F8B">
            <w:pPr>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（1）</w:t>
            </w:r>
            <w:r>
              <w:rPr>
                <w:rFonts w:hint="eastAsia" w:ascii="Times New Roman" w:hAnsi="Times New Roman" w:eastAsia="宋体" w:cs="Times New Roman"/>
                <w:kern w:val="0"/>
                <w:sz w:val="24"/>
              </w:rPr>
              <w:t>主体功能区划</w:t>
            </w:r>
          </w:p>
          <w:p w14:paraId="12C05D1C">
            <w:pPr>
              <w:spacing w:line="360" w:lineRule="auto"/>
              <w:ind w:firstLine="480" w:firstLineChars="200"/>
              <w:rPr>
                <w:rFonts w:hint="eastAsia" w:ascii="Times New Roman" w:hAnsi="Times New Roman" w:eastAsia="宋体" w:cs="Times New Roman"/>
                <w:kern w:val="0"/>
                <w:sz w:val="24"/>
                <w:lang w:eastAsia="zh-CN"/>
              </w:rPr>
            </w:pPr>
            <w:r>
              <w:rPr>
                <w:rFonts w:hint="eastAsia" w:ascii="Times New Roman" w:hAnsi="Times New Roman" w:eastAsia="宋体" w:cs="Times New Roman"/>
                <w:kern w:val="0"/>
                <w:sz w:val="24"/>
              </w:rPr>
              <w:t>湖南省人民政府于2012年11月21日印发了《湖南省主体功能区规划》（湘政发[2012]39号），规划将湖南省国土空间分为重点开发区域、限制开发区域和禁止开发区域。根据《湖南省主体功能区规划》，</w:t>
            </w:r>
            <w:r>
              <w:rPr>
                <w:rFonts w:hint="eastAsia" w:cs="Times New Roman"/>
                <w:kern w:val="0"/>
                <w:sz w:val="24"/>
                <w:lang w:val="en-US" w:eastAsia="zh-CN"/>
              </w:rPr>
              <w:t>祁阳市</w:t>
            </w:r>
            <w:r>
              <w:rPr>
                <w:rFonts w:hint="eastAsia" w:ascii="Times New Roman" w:hAnsi="Times New Roman" w:eastAsia="宋体" w:cs="Times New Roman"/>
                <w:kern w:val="0"/>
                <w:sz w:val="24"/>
              </w:rPr>
              <w:t>属于国家级农产品主产区。以提供农产品为主，保障农产品供给安全，发展现代农业的重要区域，重要的商品粮生产基地、绿色食品生产基地、畜牧业生产基地和农产品深加工区，农村居民安居乐业的美好家园，社会主义新农村建设的示范区</w:t>
            </w:r>
            <w:r>
              <w:rPr>
                <w:rFonts w:hint="eastAsia" w:ascii="Times New Roman" w:hAnsi="Times New Roman" w:eastAsia="宋体" w:cs="Times New Roman"/>
                <w:kern w:val="0"/>
                <w:sz w:val="24"/>
                <w:lang w:eastAsia="zh-CN"/>
              </w:rPr>
              <w:t>。</w:t>
            </w:r>
          </w:p>
          <w:p w14:paraId="4CD16B49">
            <w:pPr>
              <w:spacing w:line="360" w:lineRule="auto"/>
              <w:ind w:firstLine="480" w:firstLineChars="200"/>
              <w:rPr>
                <w:rFonts w:hint="eastAsia" w:ascii="Times New Roman" w:hAnsi="Times New Roman" w:eastAsia="宋体" w:cs="Times New Roman"/>
                <w:kern w:val="0"/>
                <w:sz w:val="24"/>
                <w:lang w:eastAsia="zh-CN"/>
              </w:rPr>
            </w:pPr>
            <w:r>
              <w:rPr>
                <w:rFonts w:hint="eastAsia" w:ascii="Times New Roman" w:hAnsi="Times New Roman" w:eastAsia="宋体" w:cs="Times New Roman"/>
                <w:kern w:val="0"/>
                <w:sz w:val="24"/>
                <w:lang w:val="en-US" w:eastAsia="zh-CN"/>
              </w:rPr>
              <w:t>（2）</w:t>
            </w:r>
            <w:r>
              <w:rPr>
                <w:rFonts w:hint="eastAsia" w:ascii="Times New Roman" w:hAnsi="Times New Roman" w:eastAsia="宋体" w:cs="Times New Roman"/>
                <w:kern w:val="0"/>
                <w:sz w:val="24"/>
                <w:lang w:eastAsia="zh-CN"/>
              </w:rPr>
              <w:t>生态功能区划</w:t>
            </w:r>
          </w:p>
          <w:p w14:paraId="4CE40378">
            <w:pPr>
              <w:spacing w:line="360" w:lineRule="auto"/>
              <w:ind w:firstLine="480" w:firstLineChars="2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根据《全国生态功能区划（修编版）》，</w:t>
            </w:r>
            <w:r>
              <w:rPr>
                <w:rFonts w:hint="eastAsia" w:cs="Times New Roman"/>
                <w:kern w:val="0"/>
                <w:sz w:val="24"/>
                <w:lang w:val="en-US" w:eastAsia="zh-CN"/>
              </w:rPr>
              <w:t>本区域属于南岭山地水源涵养与生物多样性保护重要区：该区是长江水系与珠江水系的分水岭，是湘江、赣江、北江、东江干流等长江、珠江主要支流的水源补给区，包含2个功能区：九连山水源涵养功能区、都庞岭－萌渚岭水源涵养与生物多样性保护功能区</w:t>
            </w:r>
            <w:r>
              <w:rPr>
                <w:rFonts w:hint="eastAsia" w:ascii="Times New Roman" w:hAnsi="Times New Roman" w:eastAsia="宋体" w:cs="Times New Roman"/>
                <w:kern w:val="0"/>
                <w:sz w:val="24"/>
                <w:lang w:val="en-US" w:eastAsia="zh-CN"/>
              </w:rPr>
              <w:t>。</w:t>
            </w:r>
          </w:p>
          <w:p w14:paraId="0E6013B0">
            <w:pPr>
              <w:numPr>
                <w:ilvl w:val="0"/>
                <w:numId w:val="5"/>
              </w:numPr>
              <w:spacing w:line="360" w:lineRule="auto"/>
              <w:ind w:firstLine="482" w:firstLineChars="200"/>
              <w:rPr>
                <w:b/>
                <w:color w:val="000000"/>
                <w:sz w:val="24"/>
              </w:rPr>
            </w:pPr>
            <w:r>
              <w:rPr>
                <w:rFonts w:hint="eastAsia"/>
                <w:b/>
                <w:color w:val="000000"/>
                <w:sz w:val="24"/>
              </w:rPr>
              <w:t>生态环境现状</w:t>
            </w:r>
          </w:p>
          <w:p w14:paraId="62D2B19A">
            <w:pPr>
              <w:spacing w:line="360" w:lineRule="auto"/>
              <w:ind w:firstLine="480" w:firstLineChars="200"/>
              <w:rPr>
                <w:rFonts w:hint="eastAsia"/>
                <w:kern w:val="0"/>
                <w:sz w:val="24"/>
              </w:rPr>
            </w:pPr>
            <w:r>
              <w:rPr>
                <w:rFonts w:hint="eastAsia"/>
                <w:kern w:val="0"/>
                <w:sz w:val="24"/>
                <w:lang w:val="en-US" w:eastAsia="zh-CN"/>
              </w:rPr>
              <w:t>本项目施工范围位于祁阳市</w:t>
            </w:r>
            <w:r>
              <w:rPr>
                <w:rFonts w:hint="eastAsia" w:ascii="Times New Roman" w:hAnsi="Times New Roman" w:eastAsia="宋体" w:cs="Times New Roman"/>
                <w:b w:val="0"/>
                <w:bCs w:val="0"/>
                <w:color w:val="auto"/>
                <w:spacing w:val="7"/>
                <w:sz w:val="24"/>
                <w:szCs w:val="24"/>
                <w:lang w:eastAsia="zh-CN"/>
              </w:rPr>
              <w:t>黎家坪镇马斯坪村</w:t>
            </w:r>
            <w:r>
              <w:rPr>
                <w:rFonts w:hint="eastAsia"/>
                <w:kern w:val="0"/>
                <w:sz w:val="24"/>
                <w:lang w:val="en-US" w:eastAsia="zh-CN"/>
              </w:rPr>
              <w:t>，人为活动频繁，开发活动较为强烈，野生动物尤其大型野生动物生存环境遭</w:t>
            </w:r>
            <w:r>
              <w:rPr>
                <w:rFonts w:hint="eastAsia"/>
                <w:kern w:val="0"/>
                <w:sz w:val="24"/>
              </w:rPr>
              <w:t>到破坏，野生动物的活动踪迹较少，无列入国家重点保护名录的珍稀野生动物分布，主要野生动物都是一些常见的种类如：田鼠、竹鼠、蛇、蛙、黄鼠狼，以及一些鸟类有燕、喜鹊、八哥、画眉、布谷、猫头鹰等等。</w:t>
            </w:r>
          </w:p>
          <w:p w14:paraId="3ABCA7A1">
            <w:pPr>
              <w:spacing w:line="360" w:lineRule="auto"/>
              <w:ind w:firstLine="480" w:firstLineChars="200"/>
              <w:rPr>
                <w:rFonts w:hint="eastAsia"/>
                <w:kern w:val="0"/>
                <w:sz w:val="24"/>
              </w:rPr>
            </w:pPr>
            <w:r>
              <w:rPr>
                <w:rFonts w:hint="eastAsia"/>
                <w:kern w:val="0"/>
                <w:sz w:val="24"/>
              </w:rPr>
              <w:t>由植被类型及动植物物种调查可见，评价区植被主要为亚热带地区广泛分布的常绿阔叶林、阔叶针叶混交林，植物物种以华中植物区系为主，物种较为丰富，但多为普通种，除樟树为国家二级保护植物外，勘踏和走访未见其他野生的国家保护植物种类。樟树在江南一带分布十分广泛，属常见种，所以区内无珍稀濒危的野生生物多样性保护内容。</w:t>
            </w:r>
          </w:p>
          <w:p w14:paraId="3B6EA9AE">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.1、生态系统类型</w:t>
            </w:r>
          </w:p>
          <w:p w14:paraId="1AF34B0A">
            <w:pPr>
              <w:spacing w:line="360" w:lineRule="auto"/>
              <w:ind w:firstLine="480" w:firstLineChars="200"/>
              <w:rPr>
                <w:rFonts w:hint="eastAsia"/>
                <w:kern w:val="0"/>
                <w:sz w:val="24"/>
              </w:rPr>
            </w:pPr>
            <w:r>
              <w:rPr>
                <w:rFonts w:hint="eastAsia"/>
                <w:kern w:val="0"/>
                <w:sz w:val="24"/>
              </w:rPr>
              <w:t>本项目实施区域生态系统类型为</w:t>
            </w:r>
            <w:r>
              <w:rPr>
                <w:rFonts w:hint="eastAsia"/>
                <w:kern w:val="0"/>
                <w:sz w:val="24"/>
                <w:lang w:val="en-US" w:eastAsia="zh-CN"/>
              </w:rPr>
              <w:t>农村</w:t>
            </w:r>
            <w:r>
              <w:rPr>
                <w:rFonts w:hint="eastAsia"/>
                <w:kern w:val="0"/>
                <w:sz w:val="24"/>
              </w:rPr>
              <w:t>类型，主要以</w:t>
            </w:r>
            <w:r>
              <w:rPr>
                <w:rFonts w:hint="eastAsia"/>
                <w:kern w:val="0"/>
                <w:sz w:val="24"/>
                <w:lang w:val="en-US" w:eastAsia="zh-CN"/>
              </w:rPr>
              <w:t>农田</w:t>
            </w:r>
            <w:r>
              <w:rPr>
                <w:rFonts w:hint="eastAsia"/>
                <w:kern w:val="0"/>
                <w:sz w:val="24"/>
              </w:rPr>
              <w:t>生态系统类型为主。</w:t>
            </w:r>
          </w:p>
          <w:p w14:paraId="4460BB63">
            <w:pPr>
              <w:spacing w:line="360" w:lineRule="auto"/>
              <w:ind w:firstLine="480" w:firstLineChars="200"/>
              <w:rPr>
                <w:rFonts w:hint="eastAsia"/>
                <w:kern w:val="0"/>
                <w:sz w:val="24"/>
              </w:rPr>
            </w:pPr>
            <w:r>
              <w:rPr>
                <w:rFonts w:hint="eastAsia"/>
                <w:kern w:val="0"/>
                <w:sz w:val="24"/>
              </w:rPr>
              <w:t>（1）森林生态系统</w:t>
            </w:r>
          </w:p>
          <w:p w14:paraId="223BAD90">
            <w:pPr>
              <w:spacing w:line="360" w:lineRule="auto"/>
              <w:ind w:firstLine="480" w:firstLineChars="200"/>
              <w:rPr>
                <w:rFonts w:hint="eastAsia"/>
                <w:kern w:val="0"/>
                <w:sz w:val="24"/>
              </w:rPr>
            </w:pPr>
            <w:r>
              <w:rPr>
                <w:rFonts w:hint="eastAsia"/>
                <w:kern w:val="0"/>
                <w:sz w:val="24"/>
              </w:rPr>
              <w:t>评价区森林生态系统主要集中在村落附近。评价区森林生态系统由次生植被组成，包括落叶阔叶林、常绿针叶林、竹林等，主要群系有樟林（From.(From. Melia azedarach))、淡竹林（From. Phyllostachys glauca）等，其他常见的组成森林生态系统的植物种类有盐肤木（Rhus chinensis )、乌桕（Sapium chihsinianum )、绦柳（Salix matsudana var. matsudanaf. pendula )、毛竹（Phyllostachys h edulis ）等。</w:t>
            </w:r>
          </w:p>
          <w:p w14:paraId="3652E54F">
            <w:pPr>
              <w:spacing w:line="360" w:lineRule="auto"/>
              <w:ind w:firstLine="480" w:firstLineChars="200"/>
              <w:rPr>
                <w:rFonts w:hint="eastAsia"/>
                <w:kern w:val="0"/>
                <w:sz w:val="24"/>
              </w:rPr>
            </w:pPr>
            <w:r>
              <w:rPr>
                <w:rFonts w:hint="eastAsia"/>
                <w:kern w:val="0"/>
                <w:sz w:val="24"/>
                <w:lang w:val="en-US" w:eastAsia="zh-CN"/>
              </w:rPr>
              <w:t>调查</w:t>
            </w:r>
            <w:r>
              <w:rPr>
                <w:rFonts w:hint="eastAsia"/>
                <w:kern w:val="0"/>
                <w:sz w:val="24"/>
              </w:rPr>
              <w:t>区域森林生态系统面积较小，主要分布在村落附近。该区域分布的动物主要有常见的林鸟，常见的有棕背伯劳（Lanius schach)、黑尾蜡嘴雀（Eophona migratoria )、丝光椋鸟（Spodiopsar sericeus )、金翅雀（Chloris sinica )、 大山雀 (Parus major )、乌鸫 (Turdus mandarinus)、八哥（Acridotheres cristatellus）等。</w:t>
            </w:r>
          </w:p>
          <w:p w14:paraId="7E0F0614">
            <w:pPr>
              <w:spacing w:line="360" w:lineRule="auto"/>
              <w:ind w:firstLine="480" w:firstLineChars="200"/>
              <w:rPr>
                <w:rFonts w:hint="eastAsia"/>
                <w:kern w:val="0"/>
                <w:sz w:val="24"/>
              </w:rPr>
            </w:pPr>
            <w:r>
              <w:rPr>
                <w:rFonts w:hint="eastAsia"/>
                <w:kern w:val="0"/>
                <w:sz w:val="24"/>
              </w:rPr>
              <w:t>森林生态系统是森林群落与其环境在功能流的作用下形成一定结构、功能和自调控的自然综合体，是陆地生态系统中面积最多、最重要的自然生态系统。评价区内森林生态系统面积占比小，主要分布于居民区附近，其主要生态功能为防风固沙、水土保持、控制水土流失、净化环境、孕育和保存生物多样性等几个方面。</w:t>
            </w:r>
          </w:p>
          <w:p w14:paraId="6526D3CB">
            <w:pPr>
              <w:spacing w:line="360" w:lineRule="auto"/>
              <w:ind w:firstLine="480" w:firstLineChars="200"/>
              <w:rPr>
                <w:rFonts w:hint="eastAsia"/>
                <w:kern w:val="0"/>
                <w:sz w:val="24"/>
              </w:rPr>
            </w:pPr>
            <w:r>
              <w:rPr>
                <w:rFonts w:hint="eastAsia"/>
                <w:kern w:val="0"/>
                <w:sz w:val="24"/>
              </w:rPr>
              <w:t>（2）草地生态系统</w:t>
            </w:r>
          </w:p>
          <w:p w14:paraId="639FDF83">
            <w:pPr>
              <w:spacing w:line="360" w:lineRule="auto"/>
              <w:ind w:firstLine="480" w:firstLineChars="200"/>
              <w:rPr>
                <w:rFonts w:hint="eastAsia"/>
                <w:kern w:val="0"/>
                <w:sz w:val="24"/>
              </w:rPr>
            </w:pPr>
            <w:r>
              <w:rPr>
                <w:rFonts w:hint="eastAsia"/>
                <w:kern w:val="0"/>
                <w:sz w:val="24"/>
              </w:rPr>
              <w:t>评价区草地生态系统内植被以灌草丛为主，主要分布</w:t>
            </w:r>
            <w:r>
              <w:rPr>
                <w:rFonts w:hint="eastAsia"/>
                <w:kern w:val="0"/>
                <w:sz w:val="24"/>
                <w:lang w:val="en-US" w:eastAsia="zh-CN"/>
              </w:rPr>
              <w:t>村庄</w:t>
            </w:r>
            <w:r>
              <w:rPr>
                <w:rFonts w:hint="eastAsia"/>
                <w:kern w:val="0"/>
                <w:sz w:val="24"/>
              </w:rPr>
              <w:t>附近及农田周围，常见的群系有菊叶香藜灌草丛 ( From. Chenopodium  foetidum )、酸模叶蓼灌草丛 (From.)、狗尾草灌草丛 (Form. Setaria viridis )、狗牙根灌草丛（From. Polygonum lapathifolium )等。常见植物有酢浆草（Oxalis corniculata )、铁苋菜（Acalypha australis )、一点红（Emilia sonchifolia )、篱栏网（Merremia hederacea )、蛇床（Cnidium monnieri)、皱叶酸模（Rumex crispus)、沼生蔊菜（Rorippa islandica )、苍耳（Xanthium strumarium ) 等。</w:t>
            </w:r>
          </w:p>
          <w:p w14:paraId="2159DD3A">
            <w:pPr>
              <w:spacing w:line="360" w:lineRule="auto"/>
              <w:ind w:firstLine="480" w:firstLineChars="200"/>
              <w:jc w:val="both"/>
              <w:rPr>
                <w:rFonts w:hint="eastAsia"/>
                <w:kern w:val="0"/>
                <w:sz w:val="24"/>
              </w:rPr>
            </w:pPr>
            <w:r>
              <w:rPr>
                <w:rFonts w:hint="eastAsia"/>
                <w:kern w:val="0"/>
                <w:sz w:val="24"/>
                <w:lang w:val="en-US" w:eastAsia="zh-CN"/>
              </w:rPr>
              <w:t>调查</w:t>
            </w:r>
            <w:r>
              <w:rPr>
                <w:rFonts w:hint="eastAsia"/>
                <w:kern w:val="0"/>
                <w:sz w:val="24"/>
              </w:rPr>
              <w:t>区域草地生态系统常见的动物主要有中华蟾蜍、饰纹姬蛙、泽陆蛙(Fejervarya multistriata )、白鹭、红脚田鸡（Zapornia akool) 、丝光椋鸟、珠颈斑鸠（Streptopelia chinensis )、八哥（Acridotheres cristatellus )、乌鸫（ Turdus mandarinus)、戴胜（Upupa epops)、斑文鸟（Lonchura punctulata )、白鹡鸰（Motacilla alba )、鹊鸲（Copsychus saularis )、棕头鸦雀、麻雀等。</w:t>
            </w:r>
          </w:p>
          <w:p w14:paraId="5A849289">
            <w:pPr>
              <w:spacing w:line="360" w:lineRule="auto"/>
              <w:ind w:firstLine="480" w:firstLineChars="200"/>
              <w:rPr>
                <w:rFonts w:hint="eastAsia"/>
                <w:kern w:val="0"/>
                <w:sz w:val="24"/>
              </w:rPr>
            </w:pPr>
            <w:r>
              <w:rPr>
                <w:rFonts w:hint="eastAsia"/>
                <w:kern w:val="0"/>
                <w:sz w:val="24"/>
              </w:rPr>
              <w:t>草地生态系统在植被组成上来看，以草丛为主，为森林破坏后的次生类型。草地生态系统相比森林生态系统的空间结构和营养链式结构简单，其生态服务功能主要有保育土壤、净化空气等功能。</w:t>
            </w:r>
          </w:p>
          <w:p w14:paraId="126135F4">
            <w:pPr>
              <w:spacing w:line="360" w:lineRule="auto"/>
              <w:ind w:firstLine="480" w:firstLineChars="200"/>
              <w:rPr>
                <w:rFonts w:hint="eastAsia"/>
                <w:kern w:val="0"/>
                <w:sz w:val="24"/>
              </w:rPr>
            </w:pPr>
            <w:r>
              <w:rPr>
                <w:rFonts w:hint="eastAsia"/>
                <w:kern w:val="0"/>
                <w:sz w:val="24"/>
                <w:lang w:eastAsia="zh-CN"/>
              </w:rPr>
              <w:t>（</w:t>
            </w:r>
            <w:r>
              <w:rPr>
                <w:rFonts w:hint="eastAsia"/>
                <w:kern w:val="0"/>
                <w:sz w:val="24"/>
                <w:lang w:val="en-US" w:eastAsia="zh-CN"/>
              </w:rPr>
              <w:t>3</w:t>
            </w:r>
            <w:r>
              <w:rPr>
                <w:rFonts w:hint="eastAsia"/>
                <w:kern w:val="0"/>
                <w:sz w:val="24"/>
                <w:lang w:eastAsia="zh-CN"/>
              </w:rPr>
              <w:t>）</w:t>
            </w:r>
            <w:r>
              <w:rPr>
                <w:rFonts w:hint="eastAsia"/>
                <w:kern w:val="0"/>
                <w:sz w:val="24"/>
              </w:rPr>
              <w:t>湿地生态系统</w:t>
            </w:r>
          </w:p>
          <w:p w14:paraId="39B53040">
            <w:pPr>
              <w:spacing w:line="360" w:lineRule="auto"/>
              <w:ind w:firstLine="480" w:firstLineChars="200"/>
              <w:rPr>
                <w:rFonts w:hint="eastAsia"/>
                <w:kern w:val="0"/>
                <w:sz w:val="24"/>
              </w:rPr>
            </w:pPr>
            <w:r>
              <w:rPr>
                <w:rFonts w:hint="eastAsia"/>
                <w:kern w:val="0"/>
                <w:sz w:val="24"/>
                <w:lang w:val="en-US" w:eastAsia="zh-CN"/>
              </w:rPr>
              <w:t>调查</w:t>
            </w:r>
            <w:r>
              <w:rPr>
                <w:rFonts w:hint="eastAsia"/>
                <w:kern w:val="0"/>
                <w:sz w:val="24"/>
              </w:rPr>
              <w:t>评价区湿地生态系统内植被以沼泽和水生植被为主，其多分布于</w:t>
            </w:r>
            <w:r>
              <w:rPr>
                <w:rFonts w:hint="eastAsia"/>
                <w:kern w:val="0"/>
                <w:sz w:val="24"/>
                <w:lang w:val="en-US" w:eastAsia="zh-CN"/>
              </w:rPr>
              <w:t>祁水</w:t>
            </w:r>
            <w:r>
              <w:rPr>
                <w:rFonts w:hint="eastAsia"/>
                <w:kern w:val="0"/>
                <w:sz w:val="24"/>
              </w:rPr>
              <w:t>中及周边水域，常见的群系有芦苇群系（Form. Phragmites australis)等，伴生有浮萍（Lemna minor )、喜旱莲子草（Alternanthera philoxeroides）等。</w:t>
            </w:r>
          </w:p>
          <w:p w14:paraId="07409E56">
            <w:pPr>
              <w:spacing w:line="360" w:lineRule="auto"/>
              <w:ind w:firstLine="480" w:firstLineChars="200"/>
              <w:rPr>
                <w:rFonts w:hint="eastAsia"/>
                <w:kern w:val="0"/>
                <w:sz w:val="24"/>
              </w:rPr>
            </w:pPr>
            <w:r>
              <w:rPr>
                <w:rFonts w:hint="eastAsia"/>
                <w:kern w:val="0"/>
                <w:sz w:val="24"/>
                <w:lang w:val="en-US" w:eastAsia="zh-CN"/>
              </w:rPr>
              <w:t>调查</w:t>
            </w:r>
            <w:r>
              <w:rPr>
                <w:rFonts w:hint="eastAsia"/>
                <w:kern w:val="0"/>
                <w:sz w:val="24"/>
              </w:rPr>
              <w:t>区域的湿地生态系统是动物的主要活动场所，常见的两栖类常见种类为沼水蛙（Hylarana guentheri）、黑斑侧褶蛙（Pelophylax nigromaculatus）等静水型种类；鸟类主要为池鹭（Ardeola bacchus）、白鹭（Egretta garzetta）、牛背鹭（Bubulcus coromandus）等游禽和涉禽，以及红尾水鸲（Phoenicurus fuliginosa）、白鹡鸰（Motacilla alba）等亲水性鸣禽；哺乳类主要以中小型哺乳类为主，如黑线姬鼠（Apodemus agrarius）等。</w:t>
            </w:r>
          </w:p>
          <w:p w14:paraId="706EAA3C">
            <w:pPr>
              <w:spacing w:line="360" w:lineRule="auto"/>
              <w:ind w:firstLine="480" w:firstLineChars="200"/>
              <w:rPr>
                <w:rFonts w:hint="eastAsia"/>
                <w:kern w:val="0"/>
                <w:sz w:val="24"/>
              </w:rPr>
            </w:pPr>
            <w:r>
              <w:rPr>
                <w:rFonts w:hint="eastAsia"/>
                <w:kern w:val="0"/>
                <w:sz w:val="24"/>
              </w:rPr>
              <w:t>湿地生态系统服务功能不仅包括提供大量资源产品，而且具有大的环境调节功能和环境效益，在调蓄洪水、调节气候、控制土壤等多方面发挥着重要作用。同时，湿地还是重要的遗传基因库，拥有丰富的动植物群落和珍稀濒危物种。</w:t>
            </w:r>
          </w:p>
          <w:p w14:paraId="788ED26B">
            <w:pPr>
              <w:spacing w:line="360" w:lineRule="auto"/>
              <w:ind w:firstLine="480" w:firstLineChars="200"/>
              <w:rPr>
                <w:rFonts w:hint="eastAsia"/>
                <w:kern w:val="0"/>
                <w:sz w:val="24"/>
              </w:rPr>
            </w:pPr>
            <w:r>
              <w:rPr>
                <w:rFonts w:hint="eastAsia"/>
                <w:kern w:val="0"/>
                <w:sz w:val="24"/>
                <w:lang w:eastAsia="zh-CN"/>
              </w:rPr>
              <w:t>（</w:t>
            </w:r>
            <w:r>
              <w:rPr>
                <w:rFonts w:hint="eastAsia"/>
                <w:kern w:val="0"/>
                <w:sz w:val="24"/>
                <w:lang w:val="en-US" w:eastAsia="zh-CN"/>
              </w:rPr>
              <w:t>4</w:t>
            </w:r>
            <w:r>
              <w:rPr>
                <w:rFonts w:hint="eastAsia"/>
                <w:kern w:val="0"/>
                <w:sz w:val="24"/>
                <w:lang w:eastAsia="zh-CN"/>
              </w:rPr>
              <w:t>）</w:t>
            </w:r>
            <w:r>
              <w:rPr>
                <w:rFonts w:hint="eastAsia"/>
                <w:kern w:val="0"/>
                <w:sz w:val="24"/>
              </w:rPr>
              <w:t>农田生态系统</w:t>
            </w:r>
          </w:p>
          <w:p w14:paraId="68DEC9DB">
            <w:pPr>
              <w:spacing w:line="360" w:lineRule="auto"/>
              <w:ind w:firstLine="480" w:firstLineChars="200"/>
              <w:rPr>
                <w:rFonts w:hint="eastAsia"/>
                <w:kern w:val="0"/>
                <w:sz w:val="24"/>
              </w:rPr>
            </w:pPr>
            <w:r>
              <w:rPr>
                <w:rFonts w:hint="eastAsia"/>
                <w:kern w:val="0"/>
                <w:sz w:val="24"/>
              </w:rPr>
              <w:t>评价区农田生态系统内植被以人工中种植的</w:t>
            </w:r>
            <w:r>
              <w:rPr>
                <w:rFonts w:hint="eastAsia"/>
                <w:kern w:val="0"/>
                <w:sz w:val="24"/>
                <w:lang w:val="en-US" w:eastAsia="zh-CN"/>
              </w:rPr>
              <w:t>蔬菜</w:t>
            </w:r>
            <w:r>
              <w:rPr>
                <w:rFonts w:hint="eastAsia"/>
                <w:kern w:val="0"/>
                <w:sz w:val="24"/>
              </w:rPr>
              <w:t>为主，其多在评价区内广泛分布，尤其常见于</w:t>
            </w:r>
            <w:r>
              <w:rPr>
                <w:rFonts w:hint="eastAsia"/>
                <w:kern w:val="0"/>
                <w:sz w:val="24"/>
                <w:lang w:val="en-US" w:eastAsia="zh-CN"/>
              </w:rPr>
              <w:t>工程项目两岸</w:t>
            </w:r>
            <w:r>
              <w:rPr>
                <w:rFonts w:hint="eastAsia"/>
                <w:kern w:val="0"/>
                <w:sz w:val="24"/>
              </w:rPr>
              <w:t>。见的农作物有稻（Oryza sativa )、油菜（Brassica napus L.）</w:t>
            </w:r>
            <w:r>
              <w:rPr>
                <w:rFonts w:hint="eastAsia"/>
                <w:kern w:val="0"/>
                <w:sz w:val="24"/>
                <w:lang w:eastAsia="zh-CN"/>
              </w:rPr>
              <w:t>、</w:t>
            </w:r>
            <w:r>
              <w:rPr>
                <w:rFonts w:hint="eastAsia"/>
                <w:kern w:val="0"/>
                <w:sz w:val="24"/>
              </w:rPr>
              <w:t>南瓜（Cucurbita moschata )、丝瓜 (Lufa cylindrica )、番薯（Ipomoea batatas ）等，常见的田间杂草有马唐（Digitaria sanguinalis）、野艾蒿（Artemisia lavandulaefolia）、看麦娘（Alopecurus aequalis）、小蓬草（Conyza canadensis）、狗牙根（Cynodon dactylon）、苍耳（Xanthium sibiricum）、碎米莎草（Cyperus iria）等。</w:t>
            </w:r>
          </w:p>
          <w:p w14:paraId="10BC0C58">
            <w:pPr>
              <w:spacing w:line="360" w:lineRule="auto"/>
              <w:ind w:firstLine="480" w:firstLineChars="200"/>
              <w:rPr>
                <w:rFonts w:hint="eastAsia"/>
                <w:kern w:val="0"/>
                <w:sz w:val="24"/>
              </w:rPr>
            </w:pPr>
            <w:r>
              <w:rPr>
                <w:rFonts w:hint="eastAsia"/>
                <w:kern w:val="0"/>
                <w:sz w:val="24"/>
              </w:rPr>
              <w:t>规划区域的农田生态系统主要是水田及旱地，水田中常见的动物主要有泽陆蛙、沼蛙、白鹭、金翅雀、斑文鸟、白腰文鸟 (Lonchura striata )、麻雀等，旱地常见的动物有铜蜓蜥、北草蜥、乌鸫（Turdus mandarinus )、八哥、鹊鸲、珠颈斑鸠、金翅雀等，兽类中啮齿目鼠科动物如褐家鼠（Rattus novegicus ）和小家鼠等也常出现在农田生态系统。</w:t>
            </w:r>
          </w:p>
          <w:p w14:paraId="15860640">
            <w:pPr>
              <w:spacing w:line="360" w:lineRule="auto"/>
              <w:ind w:firstLine="480" w:firstLineChars="200"/>
              <w:rPr>
                <w:rFonts w:hint="eastAsia"/>
                <w:kern w:val="0"/>
                <w:sz w:val="24"/>
              </w:rPr>
            </w:pPr>
            <w:r>
              <w:rPr>
                <w:rFonts w:hint="eastAsia"/>
                <w:kern w:val="0"/>
                <w:sz w:val="24"/>
              </w:rPr>
              <w:t>农田生态系统由一定农业地域内相互作用的生物因素和非生物因素构成的功能整体，人类生产活动干预下形成的人工生态系统。农田生态系统的主要生态功能体现在农产品及副产品生产，包括为人们提供农产品，为现代工业提供加工原料，以及提供生物生源等。同时，农田生态系统也具有大气调节、土壤保持、养分循环、水分调节等功能。</w:t>
            </w:r>
          </w:p>
          <w:p w14:paraId="09695EF3">
            <w:pPr>
              <w:spacing w:line="360" w:lineRule="auto"/>
              <w:ind w:firstLine="480" w:firstLineChars="200"/>
              <w:rPr>
                <w:rFonts w:hint="eastAsia"/>
                <w:kern w:val="0"/>
                <w:sz w:val="24"/>
              </w:rPr>
            </w:pPr>
            <w:r>
              <w:rPr>
                <w:rFonts w:hint="eastAsia"/>
                <w:kern w:val="0"/>
                <w:sz w:val="24"/>
                <w:lang w:eastAsia="zh-CN"/>
              </w:rPr>
              <w:t>（</w:t>
            </w:r>
            <w:r>
              <w:rPr>
                <w:rFonts w:hint="eastAsia"/>
                <w:kern w:val="0"/>
                <w:sz w:val="24"/>
                <w:lang w:val="en-US" w:eastAsia="zh-CN"/>
              </w:rPr>
              <w:t>5</w:t>
            </w:r>
            <w:r>
              <w:rPr>
                <w:rFonts w:hint="eastAsia"/>
                <w:kern w:val="0"/>
                <w:sz w:val="24"/>
                <w:lang w:eastAsia="zh-CN"/>
              </w:rPr>
              <w:t>）</w:t>
            </w:r>
            <w:r>
              <w:rPr>
                <w:rFonts w:hint="eastAsia"/>
                <w:kern w:val="0"/>
                <w:sz w:val="24"/>
                <w:lang w:val="en-US" w:eastAsia="zh-CN"/>
              </w:rPr>
              <w:t>村</w:t>
            </w:r>
            <w:r>
              <w:rPr>
                <w:rFonts w:hint="eastAsia"/>
                <w:kern w:val="0"/>
                <w:sz w:val="24"/>
              </w:rPr>
              <w:t>镇生态系统</w:t>
            </w:r>
          </w:p>
          <w:p w14:paraId="76B0ADF4">
            <w:pPr>
              <w:spacing w:line="360" w:lineRule="auto"/>
              <w:ind w:firstLine="480" w:firstLineChars="200"/>
              <w:rPr>
                <w:rFonts w:hint="eastAsia"/>
                <w:kern w:val="0"/>
                <w:sz w:val="24"/>
              </w:rPr>
            </w:pPr>
            <w:r>
              <w:rPr>
                <w:rFonts w:hint="eastAsia"/>
                <w:kern w:val="0"/>
                <w:sz w:val="24"/>
              </w:rPr>
              <w:t>评价区</w:t>
            </w:r>
            <w:r>
              <w:rPr>
                <w:rFonts w:hint="eastAsia"/>
                <w:kern w:val="0"/>
                <w:sz w:val="24"/>
                <w:lang w:val="en-US" w:eastAsia="zh-CN"/>
              </w:rPr>
              <w:t>村</w:t>
            </w:r>
            <w:r>
              <w:rPr>
                <w:rFonts w:hint="eastAsia"/>
                <w:kern w:val="0"/>
                <w:sz w:val="24"/>
              </w:rPr>
              <w:t>镇生态系统内植被以阔叶林、灌丛、灌草丛为主，常见的群系有樟群系、淡竹群系、狗尾草群系等，伴生有毛竹、杉木（Cunninghamia lanceolata )、乌桕、盐肤木、野蔷薇、寒莓、芦苇、五节芒（Miscanthusfloridulus )、芒（Miscanthus sinensis ）等，有人工种植植物有柑橘 (Citrus reticulata )、柚 (Citrusmaxima ) 等。</w:t>
            </w:r>
          </w:p>
          <w:p w14:paraId="78B23350">
            <w:pPr>
              <w:spacing w:line="360" w:lineRule="auto"/>
              <w:ind w:firstLine="480" w:firstLineChars="200"/>
              <w:rPr>
                <w:rFonts w:hint="eastAsia"/>
                <w:kern w:val="0"/>
                <w:sz w:val="24"/>
              </w:rPr>
            </w:pPr>
            <w:r>
              <w:rPr>
                <w:rFonts w:hint="eastAsia"/>
                <w:kern w:val="0"/>
                <w:sz w:val="24"/>
                <w:lang w:val="en-US" w:eastAsia="zh-CN"/>
              </w:rPr>
              <w:t>调查</w:t>
            </w:r>
            <w:r>
              <w:rPr>
                <w:rFonts w:hint="eastAsia"/>
                <w:kern w:val="0"/>
                <w:sz w:val="24"/>
              </w:rPr>
              <w:t>区域内的城市生态系统主要是居民建筑，人群集中活动的区域，该区域的动物种类和数量均较少，主要有抗人类活动干扰能力强的物种，如两栖类的中华蟾蜍，喜在房屋建筑物活动的多疣壁虎（Gekko japonicus )，鸟类中的鹊鸲、麻雀、家燕（Hirundo rustica )、金腰燕（Hirundo daurica ）及兽类中的小家鼠等。</w:t>
            </w:r>
          </w:p>
          <w:p w14:paraId="5AB52CF7">
            <w:pPr>
              <w:spacing w:line="360" w:lineRule="auto"/>
              <w:ind w:firstLine="480" w:firstLineChars="200"/>
              <w:rPr>
                <w:rFonts w:hint="eastAsia"/>
                <w:kern w:val="0"/>
                <w:sz w:val="24"/>
              </w:rPr>
            </w:pPr>
            <w:r>
              <w:rPr>
                <w:rFonts w:hint="eastAsia"/>
                <w:kern w:val="0"/>
                <w:sz w:val="24"/>
                <w:lang w:val="en-US" w:eastAsia="zh-CN"/>
              </w:rPr>
              <w:t>村</w:t>
            </w:r>
            <w:r>
              <w:rPr>
                <w:rFonts w:hint="eastAsia"/>
                <w:kern w:val="0"/>
                <w:sz w:val="24"/>
              </w:rPr>
              <w:t>镇是一个高度复合的人工化生态系统，与自然生态系统在结构和功能上都存在明显差别。</w:t>
            </w:r>
            <w:r>
              <w:rPr>
                <w:rFonts w:hint="eastAsia"/>
                <w:kern w:val="0"/>
                <w:sz w:val="24"/>
                <w:lang w:val="en-US" w:eastAsia="zh-CN"/>
              </w:rPr>
              <w:t>村</w:t>
            </w:r>
            <w:r>
              <w:rPr>
                <w:rFonts w:hint="eastAsia"/>
                <w:kern w:val="0"/>
                <w:sz w:val="24"/>
              </w:rPr>
              <w:t>镇生态系统的服务功能主要包括三大类：①提供生活和生产物质的功能，包括食物生产、原材料生产；②与人类日常生活和身心健康相关的生命支持的功能，包括：气候调节、水源涵养、土壤形成与保护、净化空气、生物多样性保护、减轻噪声；③满足人类精神生活需求的功能，包括娱乐文化。</w:t>
            </w:r>
          </w:p>
          <w:p w14:paraId="634DF779">
            <w:pPr>
              <w:spacing w:line="360" w:lineRule="auto"/>
              <w:ind w:firstLine="480" w:firstLineChars="200"/>
              <w:rPr>
                <w:rFonts w:hint="eastAsia"/>
                <w:kern w:val="0"/>
                <w:sz w:val="24"/>
              </w:rPr>
            </w:pPr>
            <w:r>
              <w:rPr>
                <w:rFonts w:hint="eastAsia"/>
                <w:kern w:val="0"/>
                <w:sz w:val="24"/>
                <w:lang w:val="en-US" w:eastAsia="zh-CN"/>
              </w:rPr>
              <w:t>2.2、</w:t>
            </w:r>
            <w:r>
              <w:rPr>
                <w:rFonts w:hint="eastAsia"/>
                <w:kern w:val="0"/>
                <w:sz w:val="24"/>
              </w:rPr>
              <w:t>水生生态环境</w:t>
            </w:r>
          </w:p>
          <w:p w14:paraId="433506A5">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.1、浮游植物</w:t>
            </w:r>
          </w:p>
          <w:p w14:paraId="1F1F6920">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.1.1、种类组成</w:t>
            </w:r>
          </w:p>
          <w:p w14:paraId="6471F4E4">
            <w:pPr>
              <w:spacing w:line="360" w:lineRule="auto"/>
              <w:ind w:firstLine="480" w:firstLineChars="200"/>
              <w:rPr>
                <w:rFonts w:hint="eastAsia"/>
                <w:kern w:val="0"/>
                <w:sz w:val="24"/>
              </w:rPr>
            </w:pPr>
            <w:r>
              <w:rPr>
                <w:rFonts w:hint="eastAsia"/>
                <w:kern w:val="0"/>
                <w:sz w:val="24"/>
              </w:rPr>
              <w:t>评价区共检出浮游植物浮游植物5 门51种。其中硅藻门种类最多，有25 种，占总种数的49.02%；其次为绿藻门13种，占总种数的25.49%；蓝藻门8种，占总种数的15.69%；甲藻门3种，占总种数的5.88%；黄藻门2种，占总种数的3.92%。常见种类为中型脆杆藻（Fragilaria intermedia）、颗粒直链藻（Melosira granulata）、四尾栅藻（Scenedesmus</w:t>
            </w:r>
            <w:r>
              <w:rPr>
                <w:rFonts w:hint="eastAsia"/>
                <w:kern w:val="0"/>
                <w:sz w:val="24"/>
                <w:lang w:val="en-US" w:eastAsia="zh-CN"/>
              </w:rPr>
              <w:t xml:space="preserve"> </w:t>
            </w:r>
            <w:r>
              <w:rPr>
                <w:rFonts w:hint="eastAsia"/>
                <w:kern w:val="0"/>
                <w:sz w:val="24"/>
              </w:rPr>
              <w:t>quadricauda）和颤藻（Oscillatoria sp.）等。</w:t>
            </w:r>
          </w:p>
          <w:p w14:paraId="13A0FABC">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.2、浮游动物</w:t>
            </w:r>
          </w:p>
          <w:p w14:paraId="32142F62">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.2.1、种类组成</w:t>
            </w:r>
          </w:p>
          <w:p w14:paraId="7BD6357F">
            <w:pPr>
              <w:spacing w:line="360" w:lineRule="auto"/>
              <w:ind w:firstLine="480" w:firstLineChars="200"/>
              <w:rPr>
                <w:rFonts w:hint="eastAsia"/>
                <w:kern w:val="0"/>
                <w:sz w:val="24"/>
              </w:rPr>
            </w:pPr>
            <w:r>
              <w:rPr>
                <w:rFonts w:hint="eastAsia"/>
                <w:kern w:val="0"/>
                <w:sz w:val="24"/>
              </w:rPr>
              <w:t>评价区共检出浮游动物26 种，其中轮虫11 种，占总数的42.31%；原生动物7种，占总数的26.92%；桡足类5种，占总数的19.23%；枝角类3 种，占总数的11.54%。常见种类为拟铃壳虫（Tintinnopsis sp.）、萼花臂尾轮虫（Brachionus</w:t>
            </w:r>
            <w:r>
              <w:rPr>
                <w:rFonts w:hint="eastAsia"/>
                <w:kern w:val="0"/>
                <w:sz w:val="24"/>
                <w:lang w:val="en-US" w:eastAsia="zh-CN"/>
              </w:rPr>
              <w:t xml:space="preserve"> </w:t>
            </w:r>
            <w:r>
              <w:rPr>
                <w:rFonts w:hint="eastAsia"/>
                <w:kern w:val="0"/>
                <w:sz w:val="24"/>
              </w:rPr>
              <w:t>calyciflorus）和无节幼体（Nauplius）等。</w:t>
            </w:r>
          </w:p>
          <w:p w14:paraId="5202E04F">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.3、底栖动物</w:t>
            </w:r>
          </w:p>
          <w:p w14:paraId="14D43652">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.3.1、种类组成</w:t>
            </w:r>
          </w:p>
          <w:p w14:paraId="1EE35296">
            <w:pPr>
              <w:spacing w:line="360" w:lineRule="auto"/>
              <w:ind w:firstLine="480" w:firstLineChars="200"/>
              <w:rPr>
                <w:rFonts w:hint="eastAsia"/>
                <w:kern w:val="0"/>
                <w:sz w:val="24"/>
              </w:rPr>
            </w:pPr>
            <w:r>
              <w:rPr>
                <w:rFonts w:hint="eastAsia"/>
                <w:kern w:val="0"/>
                <w:sz w:val="24"/>
              </w:rPr>
              <w:t>现场调查发现，评价区内共检出底栖动物3门</w:t>
            </w:r>
            <w:r>
              <w:rPr>
                <w:rFonts w:hint="eastAsia"/>
                <w:kern w:val="0"/>
                <w:sz w:val="24"/>
                <w:lang w:val="en-US" w:eastAsia="zh-CN"/>
              </w:rPr>
              <w:t>1</w:t>
            </w:r>
            <w:r>
              <w:rPr>
                <w:rFonts w:hint="eastAsia"/>
                <w:kern w:val="0"/>
                <w:sz w:val="24"/>
              </w:rPr>
              <w:t>1种（属），其中软体动物门有</w:t>
            </w:r>
            <w:r>
              <w:rPr>
                <w:rFonts w:hint="eastAsia"/>
                <w:kern w:val="0"/>
                <w:sz w:val="24"/>
                <w:lang w:val="en-US" w:eastAsia="zh-CN"/>
              </w:rPr>
              <w:t>5</w:t>
            </w:r>
            <w:r>
              <w:rPr>
                <w:rFonts w:hint="eastAsia"/>
                <w:kern w:val="0"/>
                <w:sz w:val="24"/>
              </w:rPr>
              <w:t>种（属），占总数的</w:t>
            </w:r>
            <w:r>
              <w:rPr>
                <w:rFonts w:hint="eastAsia"/>
                <w:kern w:val="0"/>
                <w:sz w:val="24"/>
                <w:lang w:val="en-US" w:eastAsia="zh-CN"/>
              </w:rPr>
              <w:t>45.5</w:t>
            </w:r>
            <w:r>
              <w:rPr>
                <w:rFonts w:hint="eastAsia"/>
                <w:kern w:val="0"/>
                <w:sz w:val="24"/>
              </w:rPr>
              <w:t>%；节肢动物门</w:t>
            </w:r>
            <w:r>
              <w:rPr>
                <w:rFonts w:hint="eastAsia"/>
                <w:kern w:val="0"/>
                <w:sz w:val="24"/>
                <w:lang w:val="en-US" w:eastAsia="zh-CN"/>
              </w:rPr>
              <w:t>3</w:t>
            </w:r>
            <w:r>
              <w:rPr>
                <w:rFonts w:hint="eastAsia"/>
                <w:kern w:val="0"/>
                <w:sz w:val="24"/>
              </w:rPr>
              <w:t>种（属），占总数的</w:t>
            </w:r>
            <w:r>
              <w:rPr>
                <w:rFonts w:hint="eastAsia"/>
                <w:kern w:val="0"/>
                <w:sz w:val="24"/>
                <w:lang w:val="en-US" w:eastAsia="zh-CN"/>
              </w:rPr>
              <w:t>27.3</w:t>
            </w:r>
            <w:r>
              <w:rPr>
                <w:rFonts w:hint="eastAsia"/>
                <w:kern w:val="0"/>
                <w:sz w:val="24"/>
              </w:rPr>
              <w:t>%；环节动物</w:t>
            </w:r>
            <w:r>
              <w:rPr>
                <w:rFonts w:hint="eastAsia"/>
                <w:kern w:val="0"/>
                <w:sz w:val="24"/>
                <w:lang w:val="en-US" w:eastAsia="zh-CN"/>
              </w:rPr>
              <w:t>3</w:t>
            </w:r>
            <w:r>
              <w:rPr>
                <w:rFonts w:hint="eastAsia"/>
                <w:kern w:val="0"/>
                <w:sz w:val="24"/>
              </w:rPr>
              <w:t>种（属），占总数的</w:t>
            </w:r>
            <w:r>
              <w:rPr>
                <w:rFonts w:hint="eastAsia"/>
                <w:kern w:val="0"/>
                <w:sz w:val="24"/>
                <w:lang w:val="en-US" w:eastAsia="zh-CN"/>
              </w:rPr>
              <w:t>27.</w:t>
            </w:r>
            <w:r>
              <w:rPr>
                <w:rFonts w:hint="eastAsia"/>
                <w:kern w:val="0"/>
                <w:sz w:val="24"/>
              </w:rPr>
              <w:t>3%。</w:t>
            </w:r>
          </w:p>
          <w:p w14:paraId="19F7B9FB">
            <w:pPr>
              <w:spacing w:line="360" w:lineRule="auto"/>
              <w:ind w:firstLine="480" w:firstLineChars="200"/>
              <w:rPr>
                <w:rFonts w:hint="eastAsia"/>
                <w:kern w:val="0"/>
                <w:sz w:val="24"/>
              </w:rPr>
            </w:pPr>
            <w:r>
              <w:rPr>
                <w:rFonts w:hint="eastAsia"/>
                <w:kern w:val="0"/>
                <w:sz w:val="24"/>
              </w:rPr>
              <w:t>从种类分布看，评价区水域底栖动物以软体动物占优势，其次为节肢动物，环节动物相对较少。优势种有中华圆田螺（Cipangopaludina cathayensis）、摇蚊（Chironomu sp.）等。</w:t>
            </w:r>
          </w:p>
          <w:p w14:paraId="6EEE13ED">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.4、水生维管束植物</w:t>
            </w:r>
          </w:p>
          <w:p w14:paraId="72292F52">
            <w:pPr>
              <w:spacing w:line="360" w:lineRule="auto"/>
              <w:ind w:firstLine="480" w:firstLineChars="200"/>
              <w:rPr>
                <w:rFonts w:hint="eastAsia"/>
                <w:kern w:val="0"/>
                <w:sz w:val="24"/>
              </w:rPr>
            </w:pPr>
            <w:r>
              <w:rPr>
                <w:rFonts w:hint="eastAsia"/>
                <w:kern w:val="0"/>
                <w:sz w:val="24"/>
              </w:rPr>
              <w:t>评价区水生维管束植物以挺水植物和漂浮植物种类为主，周边常见的湿生植物有喜旱莲子草、金鱼藻、菹草等。</w:t>
            </w:r>
          </w:p>
          <w:p w14:paraId="687C731F">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.5、鱼类</w:t>
            </w:r>
          </w:p>
          <w:p w14:paraId="3399BC32">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.5.1、种类组成</w:t>
            </w:r>
          </w:p>
          <w:p w14:paraId="3D7D3915">
            <w:pPr>
              <w:spacing w:line="360" w:lineRule="auto"/>
              <w:ind w:firstLine="480" w:firstLineChars="200"/>
              <w:rPr>
                <w:rFonts w:hint="eastAsia"/>
                <w:kern w:val="0"/>
                <w:sz w:val="24"/>
              </w:rPr>
            </w:pPr>
            <w:r>
              <w:rPr>
                <w:rFonts w:hint="eastAsia"/>
                <w:kern w:val="0"/>
                <w:sz w:val="24"/>
              </w:rPr>
              <w:t>评价区水域共总结出鱼类</w:t>
            </w:r>
            <w:r>
              <w:rPr>
                <w:rFonts w:hint="eastAsia"/>
                <w:kern w:val="0"/>
                <w:sz w:val="24"/>
                <w:lang w:val="en-US" w:eastAsia="zh-CN"/>
              </w:rPr>
              <w:t>3</w:t>
            </w:r>
            <w:r>
              <w:rPr>
                <w:rFonts w:hint="eastAsia"/>
                <w:kern w:val="0"/>
                <w:sz w:val="24"/>
              </w:rPr>
              <w:t>目</w:t>
            </w:r>
            <w:r>
              <w:rPr>
                <w:rFonts w:hint="eastAsia"/>
                <w:kern w:val="0"/>
                <w:sz w:val="24"/>
                <w:lang w:val="en-US" w:eastAsia="zh-CN"/>
              </w:rPr>
              <w:t>4</w:t>
            </w:r>
            <w:r>
              <w:rPr>
                <w:rFonts w:hint="eastAsia"/>
                <w:kern w:val="0"/>
                <w:sz w:val="24"/>
              </w:rPr>
              <w:t>科共计</w:t>
            </w:r>
            <w:r>
              <w:rPr>
                <w:rFonts w:hint="eastAsia"/>
                <w:kern w:val="0"/>
                <w:sz w:val="24"/>
                <w:lang w:val="en-US" w:eastAsia="zh-CN"/>
              </w:rPr>
              <w:t>8</w:t>
            </w:r>
            <w:r>
              <w:rPr>
                <w:rFonts w:hint="eastAsia"/>
                <w:kern w:val="0"/>
                <w:sz w:val="24"/>
              </w:rPr>
              <w:t>种，鱼类群落中种数最多的鲤形目有</w:t>
            </w:r>
            <w:r>
              <w:rPr>
                <w:rFonts w:hint="eastAsia"/>
                <w:kern w:val="0"/>
                <w:sz w:val="24"/>
                <w:lang w:val="en-US" w:eastAsia="zh-CN"/>
              </w:rPr>
              <w:t>4</w:t>
            </w:r>
            <w:r>
              <w:rPr>
                <w:rFonts w:hint="eastAsia"/>
                <w:kern w:val="0"/>
                <w:sz w:val="24"/>
              </w:rPr>
              <w:t>种，占总种类数的</w:t>
            </w:r>
            <w:r>
              <w:rPr>
                <w:rFonts w:hint="eastAsia"/>
                <w:kern w:val="0"/>
                <w:sz w:val="24"/>
                <w:lang w:val="en-US" w:eastAsia="zh-CN"/>
              </w:rPr>
              <w:t>50</w:t>
            </w:r>
            <w:r>
              <w:rPr>
                <w:rFonts w:hint="eastAsia"/>
                <w:kern w:val="0"/>
                <w:sz w:val="24"/>
              </w:rPr>
              <w:t>.00%；其次是鲈形目3种，占比</w:t>
            </w:r>
            <w:r>
              <w:rPr>
                <w:rFonts w:hint="eastAsia"/>
                <w:kern w:val="0"/>
                <w:sz w:val="24"/>
                <w:lang w:val="en-US" w:eastAsia="zh-CN"/>
              </w:rPr>
              <w:t>37</w:t>
            </w:r>
            <w:r>
              <w:rPr>
                <w:rFonts w:hint="eastAsia"/>
                <w:kern w:val="0"/>
                <w:sz w:val="24"/>
              </w:rPr>
              <w:t>.50%；鲇形目</w:t>
            </w:r>
            <w:r>
              <w:rPr>
                <w:rFonts w:hint="eastAsia"/>
                <w:kern w:val="0"/>
                <w:sz w:val="24"/>
                <w:lang w:val="en-US" w:eastAsia="zh-CN"/>
              </w:rPr>
              <w:t>1</w:t>
            </w:r>
            <w:r>
              <w:rPr>
                <w:rFonts w:hint="eastAsia"/>
                <w:kern w:val="0"/>
                <w:sz w:val="24"/>
              </w:rPr>
              <w:t>种，占比</w:t>
            </w:r>
            <w:r>
              <w:rPr>
                <w:rFonts w:hint="eastAsia"/>
                <w:kern w:val="0"/>
                <w:sz w:val="24"/>
                <w:lang w:val="en-US" w:eastAsia="zh-CN"/>
              </w:rPr>
              <w:t>12.5</w:t>
            </w:r>
            <w:r>
              <w:rPr>
                <w:rFonts w:hint="eastAsia"/>
                <w:kern w:val="0"/>
                <w:sz w:val="24"/>
              </w:rPr>
              <w:t>%。</w:t>
            </w:r>
          </w:p>
          <w:p w14:paraId="547CE33F">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.5.2、区系组成</w:t>
            </w:r>
          </w:p>
          <w:p w14:paraId="51F4AB10">
            <w:pPr>
              <w:spacing w:line="360" w:lineRule="auto"/>
              <w:ind w:firstLine="480" w:firstLineChars="200"/>
              <w:rPr>
                <w:rFonts w:hint="eastAsia"/>
                <w:kern w:val="0"/>
                <w:sz w:val="24"/>
              </w:rPr>
            </w:pPr>
            <w:r>
              <w:rPr>
                <w:rFonts w:hint="eastAsia"/>
                <w:kern w:val="0"/>
                <w:sz w:val="24"/>
              </w:rPr>
              <w:t>评价区分布鱼类涉及以下</w:t>
            </w:r>
            <w:r>
              <w:rPr>
                <w:rFonts w:hint="eastAsia"/>
                <w:kern w:val="0"/>
                <w:sz w:val="24"/>
                <w:lang w:val="en-US" w:eastAsia="zh-CN"/>
              </w:rPr>
              <w:t>3</w:t>
            </w:r>
            <w:r>
              <w:rPr>
                <w:rFonts w:hint="eastAsia"/>
                <w:kern w:val="0"/>
                <w:sz w:val="24"/>
              </w:rPr>
              <w:t>个区系：</w:t>
            </w:r>
          </w:p>
          <w:p w14:paraId="5AE5F9EE">
            <w:pPr>
              <w:spacing w:line="360" w:lineRule="auto"/>
              <w:ind w:firstLine="480" w:firstLineChars="200"/>
              <w:rPr>
                <w:rFonts w:hint="eastAsia"/>
                <w:kern w:val="0"/>
                <w:sz w:val="24"/>
              </w:rPr>
            </w:pPr>
            <w:r>
              <w:rPr>
                <w:rFonts w:hint="eastAsia"/>
                <w:kern w:val="0"/>
                <w:sz w:val="24"/>
              </w:rPr>
              <w:t>（1）东亚平原类群</w:t>
            </w:r>
          </w:p>
          <w:p w14:paraId="26A83208">
            <w:pPr>
              <w:spacing w:line="360" w:lineRule="auto"/>
              <w:ind w:firstLine="480" w:firstLineChars="200"/>
              <w:rPr>
                <w:rFonts w:hint="eastAsia"/>
                <w:kern w:val="0"/>
                <w:sz w:val="24"/>
              </w:rPr>
            </w:pPr>
            <w:r>
              <w:rPr>
                <w:rFonts w:hint="eastAsia"/>
                <w:kern w:val="0"/>
                <w:sz w:val="24"/>
              </w:rPr>
              <w:t>评价区调查到的青鱼、草鱼等属东亚平原类群。这部分鱼很大部分产漂流性卵，一部分鱼虽产粘性卵但粘性不大，卵产出后附着在物体上，不久即脱离。顺水漂流并发育。产卵习性对水位变动敏感，许多种类在水位升高时从湖泊进入江河产卵，幼鱼及产过卵的鱼入湖泊育肥休养。</w:t>
            </w:r>
          </w:p>
          <w:p w14:paraId="5113C088">
            <w:pPr>
              <w:spacing w:line="360" w:lineRule="auto"/>
              <w:ind w:firstLine="480" w:firstLineChars="200"/>
              <w:rPr>
                <w:rFonts w:hint="eastAsia"/>
                <w:kern w:val="0"/>
                <w:sz w:val="24"/>
              </w:rPr>
            </w:pPr>
            <w:r>
              <w:rPr>
                <w:rFonts w:hint="eastAsia"/>
                <w:kern w:val="0"/>
                <w:sz w:val="24"/>
              </w:rPr>
              <w:t>（2）中国平原区系复合体</w:t>
            </w:r>
          </w:p>
          <w:p w14:paraId="5361EDB5">
            <w:pPr>
              <w:spacing w:line="360" w:lineRule="auto"/>
              <w:ind w:firstLine="480" w:firstLineChars="200"/>
              <w:rPr>
                <w:rFonts w:hint="eastAsia"/>
                <w:kern w:val="0"/>
                <w:sz w:val="24"/>
              </w:rPr>
            </w:pPr>
            <w:r>
              <w:rPr>
                <w:rFonts w:hint="eastAsia"/>
                <w:kern w:val="0"/>
                <w:sz w:val="24"/>
              </w:rPr>
              <w:t>评价区调查到的鲫、鲤属中国平原区系。这类鱼的主要特点：多数种类产漂流性鱼卵，少部分种类产粘性卵但粘性较弱，卵产出后附着在物体上，不久即脱离并顺水漂流发育；该复合体的鱼类通常对水位变化较敏感，许多种类在水位升高时从湖泊进入江河产卵，幼鱼和产卵后的亲鱼入湖泊育肥。在北方当秋季水位下降时，鱼类又回到江河中越冬。其中部分种类食物较单纯，生长较快。</w:t>
            </w:r>
          </w:p>
          <w:p w14:paraId="409C3459">
            <w:pPr>
              <w:spacing w:line="360" w:lineRule="auto"/>
              <w:ind w:firstLine="480" w:firstLineChars="200"/>
              <w:rPr>
                <w:rFonts w:hint="eastAsia"/>
                <w:kern w:val="0"/>
                <w:sz w:val="24"/>
              </w:rPr>
            </w:pPr>
            <w:r>
              <w:rPr>
                <w:rFonts w:hint="eastAsia"/>
                <w:kern w:val="0"/>
                <w:sz w:val="24"/>
              </w:rPr>
              <w:t>（3）晚第三纪早期区系复合体</w:t>
            </w:r>
          </w:p>
          <w:p w14:paraId="5F02E728">
            <w:pPr>
              <w:spacing w:line="360" w:lineRule="auto"/>
              <w:ind w:firstLine="480" w:firstLineChars="200"/>
              <w:rPr>
                <w:rFonts w:hint="eastAsia"/>
                <w:kern w:val="0"/>
                <w:sz w:val="24"/>
              </w:rPr>
            </w:pPr>
            <w:r>
              <w:rPr>
                <w:rFonts w:hint="eastAsia"/>
                <w:kern w:val="0"/>
                <w:sz w:val="24"/>
              </w:rPr>
              <w:t>评价区有泥鳅属于该区系复合体。该区系复合体被分割成若干不连续的区域，有的种类并存于欧亚。它们共同特征是适应性强，分布广泛，适应静水或缓流水环境，产粘性卵于水草或石砾上，部分种类产卵于软体动物外套膜中，视觉不发达，嗅觉发达，以底栖生物为食者较多，适应于在较浑浊水体中生活。</w:t>
            </w:r>
          </w:p>
          <w:p w14:paraId="5D572169">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.5.3、食性类型</w:t>
            </w:r>
          </w:p>
          <w:p w14:paraId="4A7253F2">
            <w:pPr>
              <w:spacing w:line="360" w:lineRule="auto"/>
              <w:ind w:firstLine="480" w:firstLineChars="200"/>
              <w:rPr>
                <w:rFonts w:hint="eastAsia"/>
                <w:kern w:val="0"/>
                <w:sz w:val="24"/>
              </w:rPr>
            </w:pPr>
            <w:r>
              <w:rPr>
                <w:rFonts w:hint="eastAsia"/>
                <w:kern w:val="0"/>
                <w:sz w:val="24"/>
              </w:rPr>
              <w:t>根据评价区鱼类主要摄食对象的差异性，将鱼类主要划分为以下4 类：</w:t>
            </w:r>
          </w:p>
          <w:p w14:paraId="381778F9">
            <w:pPr>
              <w:spacing w:line="360" w:lineRule="auto"/>
              <w:ind w:firstLine="480" w:firstLineChars="200"/>
              <w:rPr>
                <w:rFonts w:hint="eastAsia"/>
                <w:kern w:val="0"/>
                <w:sz w:val="24"/>
              </w:rPr>
            </w:pPr>
            <w:r>
              <w:rPr>
                <w:rFonts w:hint="eastAsia"/>
                <w:kern w:val="0"/>
                <w:sz w:val="24"/>
              </w:rPr>
              <w:t>(1) 植食性鱼类：包括以维管植物为食的草鱼和以周丛植物为食的鲴亚科鱼类等，如草鱼、鳊等。</w:t>
            </w:r>
          </w:p>
          <w:p w14:paraId="19043701">
            <w:pPr>
              <w:spacing w:line="360" w:lineRule="auto"/>
              <w:ind w:firstLine="480" w:firstLineChars="200"/>
              <w:rPr>
                <w:rFonts w:hint="eastAsia"/>
                <w:kern w:val="0"/>
                <w:sz w:val="24"/>
              </w:rPr>
            </w:pPr>
            <w:r>
              <w:rPr>
                <w:rFonts w:hint="eastAsia"/>
                <w:kern w:val="0"/>
                <w:sz w:val="24"/>
              </w:rPr>
              <w:t>(2) 肉食性鱼类：包括以鱼类为主要捕食对象的翘嘴鲌、鲇、青鱼等。</w:t>
            </w:r>
          </w:p>
          <w:p w14:paraId="1F6C76CC">
            <w:pPr>
              <w:spacing w:line="360" w:lineRule="auto"/>
              <w:ind w:firstLine="480" w:firstLineChars="200"/>
              <w:rPr>
                <w:rFonts w:hint="eastAsia"/>
                <w:kern w:val="0"/>
                <w:sz w:val="24"/>
              </w:rPr>
            </w:pPr>
            <w:r>
              <w:rPr>
                <w:rFonts w:hint="eastAsia"/>
                <w:kern w:val="0"/>
                <w:sz w:val="24"/>
              </w:rPr>
              <w:t>(3) 滤食性鱼类：以水生浮游动植物为主要食物的鱼类，包括：鲢等。</w:t>
            </w:r>
          </w:p>
          <w:p w14:paraId="4F18255E">
            <w:pPr>
              <w:spacing w:line="360" w:lineRule="auto"/>
              <w:ind w:firstLine="480" w:firstLineChars="200"/>
              <w:rPr>
                <w:rFonts w:hint="eastAsia"/>
                <w:kern w:val="0"/>
                <w:sz w:val="24"/>
              </w:rPr>
            </w:pPr>
            <w:r>
              <w:rPr>
                <w:rFonts w:hint="eastAsia"/>
                <w:kern w:val="0"/>
                <w:sz w:val="24"/>
              </w:rPr>
              <w:t>(4) 杂食性鱼类：该类鱼食谱广，包括小型动物、植物及其碎屑，其食性在不同环境水体和不同季节有明显变化。包括鲤、鲫、泥鳅等。</w:t>
            </w:r>
          </w:p>
          <w:p w14:paraId="77C7EA0D">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.5.</w:t>
            </w:r>
            <w:r>
              <w:rPr>
                <w:rFonts w:hint="eastAsia"/>
                <w:kern w:val="0"/>
                <w:sz w:val="24"/>
                <w:lang w:val="en-US" w:eastAsia="zh-CN"/>
              </w:rPr>
              <w:t>4</w:t>
            </w:r>
            <w:r>
              <w:rPr>
                <w:rFonts w:hint="eastAsia"/>
                <w:kern w:val="0"/>
                <w:sz w:val="24"/>
              </w:rPr>
              <w:t>、重要物种</w:t>
            </w:r>
          </w:p>
          <w:p w14:paraId="3D055C8F">
            <w:pPr>
              <w:spacing w:line="360" w:lineRule="auto"/>
              <w:ind w:firstLine="480" w:firstLineChars="200"/>
              <w:rPr>
                <w:rFonts w:hint="eastAsia"/>
                <w:kern w:val="0"/>
                <w:sz w:val="24"/>
              </w:rPr>
            </w:pPr>
            <w:r>
              <w:rPr>
                <w:rFonts w:hint="eastAsia"/>
                <w:kern w:val="0"/>
                <w:sz w:val="24"/>
              </w:rPr>
              <w:t>评价区内没有国家级和湖南省级重点保护鱼类，也没有被列入《中国生物多样性红色名录》中极危、濒危、易危的鱼类。</w:t>
            </w:r>
          </w:p>
          <w:p w14:paraId="60AE025A">
            <w:pPr>
              <w:spacing w:line="360" w:lineRule="auto"/>
              <w:ind w:firstLine="480" w:firstLineChars="200"/>
              <w:rPr>
                <w:rFonts w:hint="eastAsia"/>
                <w:kern w:val="0"/>
                <w:sz w:val="24"/>
                <w:lang w:val="en-US" w:eastAsia="zh-CN"/>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.5.</w:t>
            </w:r>
            <w:r>
              <w:rPr>
                <w:rFonts w:hint="eastAsia"/>
                <w:kern w:val="0"/>
                <w:sz w:val="24"/>
                <w:lang w:val="en-US" w:eastAsia="zh-CN"/>
              </w:rPr>
              <w:t>5</w:t>
            </w:r>
            <w:r>
              <w:rPr>
                <w:rFonts w:hint="eastAsia"/>
                <w:kern w:val="0"/>
                <w:sz w:val="24"/>
              </w:rPr>
              <w:t>、重要</w:t>
            </w:r>
            <w:r>
              <w:rPr>
                <w:rFonts w:hint="eastAsia"/>
                <w:kern w:val="0"/>
                <w:sz w:val="24"/>
                <w:lang w:val="en-US" w:eastAsia="zh-CN"/>
              </w:rPr>
              <w:t>生境</w:t>
            </w:r>
          </w:p>
          <w:p w14:paraId="4018DA59">
            <w:pPr>
              <w:spacing w:line="360" w:lineRule="auto"/>
              <w:ind w:firstLine="480" w:firstLineChars="200"/>
              <w:rPr>
                <w:rFonts w:hint="eastAsia"/>
                <w:kern w:val="0"/>
                <w:sz w:val="24"/>
                <w:lang w:val="en-US" w:eastAsia="zh-CN"/>
              </w:rPr>
            </w:pPr>
            <w:r>
              <w:rPr>
                <w:rFonts w:hint="eastAsia"/>
                <w:kern w:val="0"/>
                <w:sz w:val="24"/>
                <w:lang w:val="en-US" w:eastAsia="zh-CN"/>
              </w:rPr>
              <w:t>根据现场调查，项目生态调查评价范围内无重要水生生物的自然产卵场、索饵场、越冬场和洄游通道。</w:t>
            </w:r>
          </w:p>
          <w:p w14:paraId="3A4A13F8">
            <w:pPr>
              <w:keepNext w:val="0"/>
              <w:keepLines w:val="0"/>
              <w:pageBreakBefore w:val="0"/>
              <w:widowControl w:val="0"/>
              <w:kinsoku/>
              <w:wordWrap/>
              <w:overflowPunct/>
              <w:topLinePunct w:val="0"/>
              <w:autoSpaceDE/>
              <w:autoSpaceDN/>
              <w:bidi w:val="0"/>
              <w:adjustRightInd/>
              <w:snapToGrid/>
              <w:spacing w:line="360" w:lineRule="auto"/>
              <w:ind w:left="34" w:firstLine="480" w:firstLineChars="200"/>
              <w:textAlignment w:val="auto"/>
              <w:outlineLvl w:val="3"/>
              <w:rPr>
                <w:rFonts w:hint="default" w:ascii="Times New Roman" w:hAnsi="Times New Roman" w:eastAsia="宋体" w:cs="Times New Roman"/>
                <w:b w:val="0"/>
                <w:bCs w:val="0"/>
                <w:color w:val="auto"/>
                <w:spacing w:val="0"/>
                <w:sz w:val="24"/>
                <w:szCs w:val="24"/>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.5.</w:t>
            </w:r>
            <w:r>
              <w:rPr>
                <w:rFonts w:hint="default"/>
                <w:kern w:val="0"/>
                <w:sz w:val="24"/>
                <w:lang w:val="en-US" w:eastAsia="zh-CN"/>
              </w:rPr>
              <w:t>6、</w:t>
            </w:r>
            <w:r>
              <w:rPr>
                <w:rFonts w:hint="default"/>
                <w:kern w:val="0"/>
                <w:sz w:val="24"/>
              </w:rPr>
              <w:t>生态敏感区</w:t>
            </w:r>
          </w:p>
          <w:p w14:paraId="426AD1CD">
            <w:pPr>
              <w:keepNext w:val="0"/>
              <w:keepLines w:val="0"/>
              <w:pageBreakBefore w:val="0"/>
              <w:widowControl w:val="0"/>
              <w:kinsoku/>
              <w:wordWrap/>
              <w:overflowPunct/>
              <w:topLinePunct w:val="0"/>
              <w:autoSpaceDE/>
              <w:autoSpaceDN/>
              <w:bidi w:val="0"/>
              <w:adjustRightInd/>
              <w:snapToGrid/>
              <w:spacing w:line="360" w:lineRule="auto"/>
              <w:ind w:left="0" w:right="0" w:firstLine="460"/>
              <w:textAlignment w:val="auto"/>
              <w:rPr>
                <w:rFonts w:hint="eastAsia"/>
                <w:lang w:val="en-US" w:eastAsia="zh-CN"/>
              </w:rPr>
            </w:pPr>
            <w:r>
              <w:rPr>
                <w:rFonts w:hint="default" w:ascii="Times New Roman" w:hAnsi="Times New Roman" w:eastAsia="宋体" w:cs="Times New Roman"/>
                <w:b w:val="0"/>
                <w:bCs w:val="0"/>
                <w:color w:val="auto"/>
                <w:spacing w:val="0"/>
                <w:sz w:val="24"/>
                <w:szCs w:val="24"/>
              </w:rPr>
              <w:t>根据调查，本工程不涉及国家公园、自然保护区、世界自然遗产、重要生境、自然公园。</w:t>
            </w:r>
          </w:p>
          <w:p w14:paraId="41A519D6">
            <w:pPr>
              <w:spacing w:line="360" w:lineRule="auto"/>
              <w:ind w:firstLine="482" w:firstLineChars="200"/>
              <w:rPr>
                <w:b/>
                <w:color w:val="000000"/>
                <w:sz w:val="24"/>
              </w:rPr>
            </w:pPr>
            <w:r>
              <w:rPr>
                <w:rFonts w:hint="eastAsia"/>
                <w:b/>
                <w:color w:val="000000"/>
                <w:sz w:val="24"/>
                <w:lang w:val="en-US" w:eastAsia="zh-CN"/>
              </w:rPr>
              <w:t>3</w:t>
            </w:r>
            <w:r>
              <w:rPr>
                <w:rFonts w:hint="eastAsia"/>
                <w:b/>
                <w:color w:val="000000"/>
                <w:sz w:val="24"/>
              </w:rPr>
              <w:t>、环境空气质量现状</w:t>
            </w:r>
          </w:p>
          <w:p w14:paraId="2C8CC9BB">
            <w:pPr>
              <w:adjustRightInd w:val="0"/>
              <w:snapToGrid w:val="0"/>
              <w:spacing w:line="360" w:lineRule="auto"/>
              <w:ind w:firstLine="480" w:firstLineChars="200"/>
              <w:rPr>
                <w:color w:val="000000"/>
                <w:kern w:val="0"/>
                <w:sz w:val="24"/>
              </w:rPr>
            </w:pPr>
            <w:r>
              <w:rPr>
                <w:rFonts w:hint="eastAsia"/>
                <w:color w:val="000000"/>
                <w:kern w:val="0"/>
                <w:sz w:val="24"/>
              </w:rPr>
              <w:t>（1）达标区判定</w:t>
            </w:r>
          </w:p>
          <w:p w14:paraId="65E86BC5">
            <w:pPr>
              <w:adjustRightInd w:val="0"/>
              <w:snapToGrid w:val="0"/>
              <w:spacing w:line="360" w:lineRule="auto"/>
              <w:ind w:firstLine="480" w:firstLineChars="200"/>
              <w:rPr>
                <w:rFonts w:hint="eastAsia"/>
                <w:color w:val="000000"/>
                <w:kern w:val="0"/>
                <w:sz w:val="24"/>
              </w:rPr>
            </w:pPr>
            <w:r>
              <w:rPr>
                <w:rFonts w:hint="eastAsia"/>
                <w:color w:val="000000"/>
                <w:kern w:val="0"/>
                <w:sz w:val="24"/>
              </w:rPr>
              <w:t>根据《环境影响评价技术导则-大气环境》（HJ2.2-2018）的“6.2.1基本污染物环境质量现状数据—项目所在区域达标判定，优先采用国家或地方生态环境主管部门公开发布的评价基准年环境质量公告或环境质量报告中的数据或结论”。</w:t>
            </w:r>
          </w:p>
          <w:p w14:paraId="35840BD1">
            <w:pPr>
              <w:adjustRightInd w:val="0"/>
              <w:snapToGrid w:val="0"/>
              <w:spacing w:line="360" w:lineRule="auto"/>
              <w:ind w:firstLine="480" w:firstLineChars="200"/>
              <w:rPr>
                <w:color w:val="000000"/>
                <w:kern w:val="0"/>
                <w:sz w:val="24"/>
              </w:rPr>
            </w:pPr>
            <w:r>
              <w:rPr>
                <w:rFonts w:hint="eastAsia"/>
                <w:color w:val="000000"/>
                <w:kern w:val="0"/>
                <w:sz w:val="24"/>
              </w:rPr>
              <w:t>本次环评引用</w:t>
            </w:r>
            <w:r>
              <w:rPr>
                <w:rFonts w:hint="default" w:ascii="Times New Roman" w:hAnsi="Times New Roman" w:cs="Times New Roman"/>
                <w:color w:val="auto"/>
                <w:sz w:val="24"/>
                <w:szCs w:val="24"/>
                <w:highlight w:val="none"/>
                <w:u w:val="none" w:color="auto"/>
              </w:rPr>
              <w:t>永州市生态环境局发布的《</w:t>
            </w:r>
            <w:r>
              <w:rPr>
                <w:rFonts w:hint="eastAsia" w:cs="Times New Roman"/>
                <w:color w:val="auto"/>
                <w:sz w:val="24"/>
                <w:szCs w:val="24"/>
                <w:highlight w:val="none"/>
                <w:u w:val="none" w:color="auto"/>
                <w:lang w:eastAsia="zh-CN"/>
              </w:rPr>
              <w:t>关于</w:t>
            </w:r>
            <w:r>
              <w:rPr>
                <w:rFonts w:hint="default" w:ascii="Times New Roman" w:hAnsi="Times New Roman" w:cs="Times New Roman"/>
                <w:color w:val="auto"/>
                <w:sz w:val="24"/>
                <w:szCs w:val="24"/>
                <w:highlight w:val="none"/>
                <w:u w:val="none" w:color="auto"/>
              </w:rPr>
              <w:t>20</w:t>
            </w:r>
            <w:r>
              <w:rPr>
                <w:rFonts w:hint="default" w:ascii="Times New Roman" w:hAnsi="Times New Roman" w:cs="Times New Roman"/>
                <w:color w:val="auto"/>
                <w:sz w:val="24"/>
                <w:szCs w:val="24"/>
                <w:highlight w:val="none"/>
                <w:u w:val="none" w:color="auto"/>
                <w:lang w:val="en-US" w:eastAsia="zh-CN"/>
              </w:rPr>
              <w:t>2</w:t>
            </w:r>
            <w:r>
              <w:rPr>
                <w:rFonts w:hint="eastAsia" w:cs="Times New Roman"/>
                <w:color w:val="auto"/>
                <w:sz w:val="24"/>
                <w:szCs w:val="24"/>
                <w:highlight w:val="none"/>
                <w:u w:val="none" w:color="auto"/>
                <w:lang w:val="en-US" w:eastAsia="zh-CN"/>
              </w:rPr>
              <w:t>4</w:t>
            </w:r>
            <w:r>
              <w:rPr>
                <w:rFonts w:hint="default" w:ascii="Times New Roman" w:hAnsi="Times New Roman" w:cs="Times New Roman"/>
                <w:color w:val="auto"/>
                <w:sz w:val="24"/>
                <w:szCs w:val="24"/>
                <w:highlight w:val="none"/>
                <w:u w:val="none" w:color="auto"/>
              </w:rPr>
              <w:t>年</w:t>
            </w:r>
            <w:r>
              <w:rPr>
                <w:rFonts w:hint="eastAsia" w:cs="Times New Roman"/>
                <w:color w:val="auto"/>
                <w:sz w:val="24"/>
                <w:szCs w:val="24"/>
                <w:highlight w:val="none"/>
                <w:u w:val="none" w:color="auto"/>
                <w:lang w:val="en-US" w:eastAsia="zh-CN"/>
              </w:rPr>
              <w:t>12月份</w:t>
            </w:r>
            <w:r>
              <w:rPr>
                <w:rFonts w:hint="default" w:ascii="Times New Roman" w:hAnsi="Times New Roman" w:cs="Times New Roman"/>
                <w:color w:val="auto"/>
                <w:sz w:val="24"/>
                <w:szCs w:val="24"/>
                <w:highlight w:val="none"/>
                <w:u w:val="none" w:color="auto"/>
                <w:lang w:val="en-US" w:eastAsia="zh-CN"/>
              </w:rPr>
              <w:t>永州市</w:t>
            </w:r>
            <w:r>
              <w:rPr>
                <w:rFonts w:hint="eastAsia" w:cs="Times New Roman"/>
                <w:color w:val="auto"/>
                <w:sz w:val="24"/>
                <w:szCs w:val="24"/>
                <w:highlight w:val="none"/>
                <w:u w:val="none" w:color="auto"/>
                <w:lang w:val="en-US" w:eastAsia="zh-CN"/>
              </w:rPr>
              <w:t>全市</w:t>
            </w:r>
            <w:r>
              <w:rPr>
                <w:rFonts w:hint="default" w:ascii="Times New Roman" w:hAnsi="Times New Roman" w:cs="Times New Roman"/>
                <w:color w:val="auto"/>
                <w:sz w:val="24"/>
                <w:szCs w:val="24"/>
                <w:highlight w:val="none"/>
                <w:u w:val="none" w:color="auto"/>
                <w:lang w:val="en-US" w:eastAsia="zh-CN"/>
              </w:rPr>
              <w:t>环境质量状况</w:t>
            </w:r>
            <w:r>
              <w:rPr>
                <w:rFonts w:hint="eastAsia" w:cs="Times New Roman"/>
                <w:color w:val="auto"/>
                <w:sz w:val="24"/>
                <w:szCs w:val="24"/>
                <w:highlight w:val="none"/>
                <w:u w:val="none" w:color="auto"/>
                <w:lang w:eastAsia="zh-CN"/>
              </w:rPr>
              <w:t>的通报</w:t>
            </w:r>
            <w:r>
              <w:rPr>
                <w:rFonts w:hint="default" w:ascii="Times New Roman" w:hAnsi="Times New Roman" w:cs="Times New Roman"/>
                <w:color w:val="auto"/>
                <w:sz w:val="24"/>
                <w:szCs w:val="24"/>
                <w:highlight w:val="none"/>
                <w:u w:val="none" w:color="auto"/>
              </w:rPr>
              <w:t>》</w:t>
            </w:r>
            <w:r>
              <w:rPr>
                <w:rFonts w:hint="eastAsia" w:cs="Times New Roman"/>
                <w:color w:val="auto"/>
                <w:sz w:val="24"/>
                <w:szCs w:val="24"/>
                <w:highlight w:val="none"/>
                <w:u w:val="none" w:color="auto"/>
                <w:lang w:val="en-US" w:eastAsia="zh-CN"/>
              </w:rPr>
              <w:t>附件4中祁阳市</w:t>
            </w:r>
            <w:r>
              <w:rPr>
                <w:rFonts w:hint="default" w:ascii="Times New Roman" w:hAnsi="Times New Roman" w:cs="Times New Roman"/>
                <w:color w:val="auto"/>
                <w:sz w:val="24"/>
                <w:szCs w:val="24"/>
                <w:highlight w:val="none"/>
                <w:u w:val="none" w:color="auto"/>
              </w:rPr>
              <w:t>常规</w:t>
            </w:r>
            <w:r>
              <w:rPr>
                <w:rFonts w:hint="default" w:ascii="Times New Roman" w:hAnsi="Times New Roman" w:cs="Times New Roman"/>
                <w:color w:val="auto"/>
                <w:sz w:val="24"/>
                <w:szCs w:val="24"/>
                <w:highlight w:val="none"/>
                <w:u w:val="none" w:color="auto"/>
                <w:lang w:val="en-US" w:eastAsia="zh-CN"/>
              </w:rPr>
              <w:t>环境空气质量</w:t>
            </w:r>
            <w:r>
              <w:rPr>
                <w:rFonts w:hint="default" w:ascii="Times New Roman" w:hAnsi="Times New Roman" w:cs="Times New Roman"/>
                <w:color w:val="auto"/>
                <w:sz w:val="24"/>
                <w:szCs w:val="24"/>
                <w:highlight w:val="none"/>
                <w:u w:val="none" w:color="auto"/>
              </w:rPr>
              <w:t>监测数据来表征区域环境质量达标情况</w:t>
            </w:r>
            <w:r>
              <w:rPr>
                <w:rFonts w:hint="eastAsia"/>
                <w:color w:val="000000"/>
                <w:kern w:val="0"/>
                <w:sz w:val="24"/>
              </w:rPr>
              <w:t>。项目采用了地方生态环境主管部门公开发布的环境质量现状数据，环境质量现状监测时间为202</w:t>
            </w:r>
            <w:r>
              <w:rPr>
                <w:rFonts w:hint="eastAsia"/>
                <w:color w:val="000000"/>
                <w:kern w:val="0"/>
                <w:sz w:val="24"/>
                <w:lang w:val="en-US" w:eastAsia="zh-CN"/>
              </w:rPr>
              <w:t>4</w:t>
            </w:r>
            <w:r>
              <w:rPr>
                <w:rFonts w:hint="eastAsia"/>
                <w:color w:val="000000"/>
                <w:kern w:val="0"/>
                <w:sz w:val="24"/>
              </w:rPr>
              <w:t>年，符合要求。</w:t>
            </w:r>
          </w:p>
          <w:p w14:paraId="6ECC2FA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b/>
                <w:bCs/>
                <w:color w:val="auto"/>
                <w:szCs w:val="21"/>
                <w:highlight w:val="none"/>
                <w:u w:val="none" w:color="auto"/>
              </w:rPr>
            </w:pPr>
            <w:r>
              <w:rPr>
                <w:rFonts w:hint="eastAsia"/>
                <w:b/>
              </w:rPr>
              <w:t>表3-1</w:t>
            </w:r>
            <w:r>
              <w:rPr>
                <w:rFonts w:hint="eastAsia"/>
                <w:b/>
                <w:lang w:val="en-US" w:eastAsia="zh-CN"/>
              </w:rPr>
              <w:t xml:space="preserve"> </w:t>
            </w:r>
            <w:r>
              <w:rPr>
                <w:rFonts w:hint="eastAsia"/>
                <w:b/>
              </w:rPr>
              <w:t xml:space="preserve"> </w:t>
            </w:r>
            <w:r>
              <w:rPr>
                <w:rFonts w:hint="default" w:ascii="Times New Roman" w:hAnsi="Times New Roman" w:cs="Times New Roman"/>
                <w:b/>
                <w:bCs/>
                <w:color w:val="auto"/>
                <w:szCs w:val="21"/>
                <w:highlight w:val="none"/>
                <w:u w:val="none" w:color="auto"/>
              </w:rPr>
              <w:t>20</w:t>
            </w:r>
            <w:r>
              <w:rPr>
                <w:rFonts w:hint="default" w:ascii="Times New Roman" w:hAnsi="Times New Roman" w:cs="Times New Roman"/>
                <w:b/>
                <w:bCs/>
                <w:color w:val="auto"/>
                <w:szCs w:val="21"/>
                <w:highlight w:val="none"/>
                <w:u w:val="none" w:color="auto"/>
                <w:lang w:val="en-US" w:eastAsia="zh-CN"/>
              </w:rPr>
              <w:t>2</w:t>
            </w:r>
            <w:r>
              <w:rPr>
                <w:rFonts w:hint="eastAsia" w:cs="Times New Roman"/>
                <w:b/>
                <w:bCs/>
                <w:color w:val="auto"/>
                <w:szCs w:val="21"/>
                <w:highlight w:val="none"/>
                <w:u w:val="none" w:color="auto"/>
                <w:lang w:val="en-US" w:eastAsia="zh-CN"/>
              </w:rPr>
              <w:t>4</w:t>
            </w:r>
            <w:r>
              <w:rPr>
                <w:rFonts w:hint="default" w:ascii="Times New Roman" w:hAnsi="Times New Roman" w:cs="Times New Roman"/>
                <w:b/>
                <w:bCs/>
                <w:color w:val="auto"/>
                <w:szCs w:val="21"/>
                <w:highlight w:val="none"/>
                <w:u w:val="none" w:color="auto"/>
              </w:rPr>
              <w:t>年</w:t>
            </w:r>
            <w:r>
              <w:rPr>
                <w:rFonts w:hint="eastAsia" w:cs="Times New Roman"/>
                <w:b/>
                <w:bCs/>
                <w:color w:val="auto"/>
                <w:szCs w:val="21"/>
                <w:highlight w:val="none"/>
                <w:u w:val="none" w:color="auto"/>
                <w:lang w:val="en-US" w:eastAsia="zh-CN"/>
              </w:rPr>
              <w:t>祁阳市</w:t>
            </w:r>
            <w:r>
              <w:rPr>
                <w:rFonts w:hint="default" w:ascii="Times New Roman" w:hAnsi="Times New Roman" w:cs="Times New Roman"/>
                <w:b/>
                <w:bCs/>
                <w:color w:val="auto"/>
                <w:szCs w:val="21"/>
                <w:highlight w:val="none"/>
                <w:u w:val="none" w:color="auto"/>
              </w:rPr>
              <w:t>环境空气质量监测结果统计表 单位：µg/m</w:t>
            </w:r>
            <w:r>
              <w:rPr>
                <w:rFonts w:hint="default" w:ascii="Times New Roman" w:hAnsi="Times New Roman" w:cs="Times New Roman"/>
                <w:b/>
                <w:bCs/>
                <w:color w:val="auto"/>
                <w:szCs w:val="21"/>
                <w:highlight w:val="none"/>
                <w:u w:val="none" w:color="auto"/>
                <w:vertAlign w:val="superscript"/>
              </w:rPr>
              <w:t>3</w:t>
            </w:r>
            <w:r>
              <w:rPr>
                <w:rFonts w:hint="default" w:ascii="Times New Roman" w:hAnsi="Times New Roman" w:cs="Times New Roman"/>
                <w:b/>
                <w:bCs/>
                <w:color w:val="auto"/>
                <w:szCs w:val="21"/>
                <w:highlight w:val="none"/>
                <w:u w:val="none" w:color="auto"/>
                <w:lang w:eastAsia="zh-CN"/>
              </w:rPr>
              <w:t>(</w:t>
            </w:r>
            <w:r>
              <w:rPr>
                <w:rFonts w:hint="default" w:ascii="Times New Roman" w:hAnsi="Times New Roman" w:cs="Times New Roman"/>
                <w:b/>
                <w:bCs/>
                <w:color w:val="auto"/>
                <w:szCs w:val="21"/>
                <w:highlight w:val="none"/>
                <w:u w:val="none" w:color="auto"/>
              </w:rPr>
              <w:t>CO为mg/m</w:t>
            </w:r>
            <w:r>
              <w:rPr>
                <w:rFonts w:hint="default" w:ascii="Times New Roman" w:hAnsi="Times New Roman" w:cs="Times New Roman"/>
                <w:b/>
                <w:bCs/>
                <w:color w:val="auto"/>
                <w:szCs w:val="21"/>
                <w:highlight w:val="none"/>
                <w:u w:val="none" w:color="auto"/>
                <w:vertAlign w:val="superscript"/>
              </w:rPr>
              <w:t>3</w:t>
            </w:r>
            <w:r>
              <w:rPr>
                <w:rFonts w:hint="default" w:ascii="Times New Roman" w:hAnsi="Times New Roman" w:cs="Times New Roman"/>
                <w:b/>
                <w:bCs/>
                <w:color w:val="auto"/>
                <w:szCs w:val="21"/>
                <w:highlight w:val="none"/>
                <w:u w:val="none" w:color="auto"/>
                <w:lang w:eastAsia="zh-CN"/>
              </w:rPr>
              <w:t>)</w:t>
            </w:r>
          </w:p>
          <w:tbl>
            <w:tblPr>
              <w:tblStyle w:val="45"/>
              <w:tblW w:w="821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2247"/>
              <w:gridCol w:w="1150"/>
              <w:gridCol w:w="886"/>
              <w:gridCol w:w="1243"/>
              <w:gridCol w:w="1641"/>
            </w:tblGrid>
            <w:tr w14:paraId="6A5276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dxa"/>
                  <w:noWrap w:val="0"/>
                  <w:vAlign w:val="center"/>
                </w:tcPr>
                <w:p w14:paraId="0D796D5E">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污染物</w:t>
                  </w:r>
                </w:p>
              </w:tc>
              <w:tc>
                <w:tcPr>
                  <w:tcW w:w="2247" w:type="dxa"/>
                  <w:noWrap w:val="0"/>
                  <w:vAlign w:val="center"/>
                </w:tcPr>
                <w:p w14:paraId="29A81BFB">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年评价指标</w:t>
                  </w:r>
                </w:p>
              </w:tc>
              <w:tc>
                <w:tcPr>
                  <w:tcW w:w="1150" w:type="dxa"/>
                  <w:noWrap w:val="0"/>
                  <w:vAlign w:val="center"/>
                </w:tcPr>
                <w:p w14:paraId="20CF0E9E">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现状浓度</w:t>
                  </w:r>
                </w:p>
              </w:tc>
              <w:tc>
                <w:tcPr>
                  <w:tcW w:w="886" w:type="dxa"/>
                  <w:noWrap w:val="0"/>
                  <w:vAlign w:val="center"/>
                </w:tcPr>
                <w:p w14:paraId="4CE57110">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标准值</w:t>
                  </w:r>
                </w:p>
              </w:tc>
              <w:tc>
                <w:tcPr>
                  <w:tcW w:w="1243" w:type="dxa"/>
                  <w:noWrap w:val="0"/>
                  <w:vAlign w:val="center"/>
                </w:tcPr>
                <w:p w14:paraId="5B7DC51E">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占标率%</w:t>
                  </w:r>
                </w:p>
              </w:tc>
              <w:tc>
                <w:tcPr>
                  <w:tcW w:w="1641" w:type="dxa"/>
                  <w:noWrap w:val="0"/>
                  <w:vAlign w:val="center"/>
                </w:tcPr>
                <w:p w14:paraId="54E7E832">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达标情况</w:t>
                  </w:r>
                </w:p>
              </w:tc>
            </w:tr>
            <w:tr w14:paraId="55B25A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dxa"/>
                  <w:noWrap w:val="0"/>
                  <w:vAlign w:val="center"/>
                </w:tcPr>
                <w:p w14:paraId="5B2FA173">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SO</w:t>
                  </w:r>
                  <w:r>
                    <w:rPr>
                      <w:rFonts w:hint="default" w:ascii="Times New Roman" w:hAnsi="Times New Roman" w:cs="Times New Roman"/>
                      <w:color w:val="auto"/>
                      <w:sz w:val="21"/>
                      <w:szCs w:val="21"/>
                      <w:highlight w:val="none"/>
                      <w:u w:val="none" w:color="auto"/>
                      <w:vertAlign w:val="subscript"/>
                    </w:rPr>
                    <w:t>2</w:t>
                  </w:r>
                </w:p>
              </w:tc>
              <w:tc>
                <w:tcPr>
                  <w:tcW w:w="2247" w:type="dxa"/>
                  <w:noWrap w:val="0"/>
                  <w:vAlign w:val="center"/>
                </w:tcPr>
                <w:p w14:paraId="7447F16F">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年平均质量浓度</w:t>
                  </w:r>
                </w:p>
              </w:tc>
              <w:tc>
                <w:tcPr>
                  <w:tcW w:w="1150" w:type="dxa"/>
                  <w:noWrap w:val="0"/>
                  <w:vAlign w:val="center"/>
                </w:tcPr>
                <w:p w14:paraId="2BA8EB87">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eastAsia="宋体"/>
                      <w:color w:val="000000"/>
                      <w:kern w:val="2"/>
                      <w:sz w:val="21"/>
                      <w:szCs w:val="21"/>
                      <w:lang w:val="en-US" w:eastAsia="zh-CN"/>
                    </w:rPr>
                  </w:pPr>
                  <w:r>
                    <w:rPr>
                      <w:rFonts w:hint="eastAsia" w:ascii="Times New Roman" w:hAnsi="Times New Roman" w:eastAsia="宋体" w:cs="Times New Roman"/>
                      <w:color w:val="auto"/>
                      <w:sz w:val="21"/>
                      <w:szCs w:val="21"/>
                      <w:highlight w:val="none"/>
                      <w:u w:val="none" w:color="auto"/>
                      <w:lang w:val="en-US" w:eastAsia="zh-CN"/>
                    </w:rPr>
                    <w:t>9</w:t>
                  </w:r>
                </w:p>
              </w:tc>
              <w:tc>
                <w:tcPr>
                  <w:tcW w:w="886" w:type="dxa"/>
                  <w:noWrap w:val="0"/>
                  <w:vAlign w:val="center"/>
                </w:tcPr>
                <w:p w14:paraId="410E039D">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auto"/>
                      <w:sz w:val="21"/>
                      <w:szCs w:val="21"/>
                      <w:highlight w:val="none"/>
                      <w:u w:val="none" w:color="auto"/>
                    </w:rPr>
                    <w:t>60</w:t>
                  </w:r>
                </w:p>
              </w:tc>
              <w:tc>
                <w:tcPr>
                  <w:tcW w:w="1243" w:type="dxa"/>
                  <w:noWrap w:val="0"/>
                  <w:vAlign w:val="center"/>
                </w:tcPr>
                <w:p w14:paraId="2F1C43AA">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auto"/>
                      <w:sz w:val="21"/>
                      <w:szCs w:val="21"/>
                      <w:highlight w:val="none"/>
                      <w:u w:val="none" w:color="auto"/>
                      <w:lang w:val="en-US" w:eastAsia="zh-CN"/>
                    </w:rPr>
                    <w:t xml:space="preserve">15.0 </w:t>
                  </w:r>
                </w:p>
              </w:tc>
              <w:tc>
                <w:tcPr>
                  <w:tcW w:w="1641" w:type="dxa"/>
                  <w:noWrap w:val="0"/>
                  <w:vAlign w:val="center"/>
                </w:tcPr>
                <w:p w14:paraId="1DD43041">
                  <w:pPr>
                    <w:pStyle w:val="24"/>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eastAsia="宋体"/>
                      <w:color w:val="000000"/>
                      <w:kern w:val="2"/>
                      <w:sz w:val="21"/>
                      <w:szCs w:val="21"/>
                    </w:rPr>
                    <w:t>达标</w:t>
                  </w:r>
                </w:p>
              </w:tc>
            </w:tr>
            <w:tr w14:paraId="09DF41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dxa"/>
                  <w:noWrap w:val="0"/>
                  <w:vAlign w:val="center"/>
                </w:tcPr>
                <w:p w14:paraId="2880B11B">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NO</w:t>
                  </w:r>
                  <w:r>
                    <w:rPr>
                      <w:rFonts w:hint="default" w:ascii="Times New Roman" w:hAnsi="Times New Roman" w:cs="Times New Roman"/>
                      <w:color w:val="auto"/>
                      <w:sz w:val="21"/>
                      <w:szCs w:val="21"/>
                      <w:highlight w:val="none"/>
                      <w:u w:val="none" w:color="auto"/>
                      <w:vertAlign w:val="subscript"/>
                    </w:rPr>
                    <w:t>2</w:t>
                  </w:r>
                </w:p>
              </w:tc>
              <w:tc>
                <w:tcPr>
                  <w:tcW w:w="2247" w:type="dxa"/>
                  <w:noWrap w:val="0"/>
                  <w:vAlign w:val="center"/>
                </w:tcPr>
                <w:p w14:paraId="23EF47B3">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年平均质量浓度</w:t>
                  </w:r>
                </w:p>
              </w:tc>
              <w:tc>
                <w:tcPr>
                  <w:tcW w:w="1150" w:type="dxa"/>
                  <w:noWrap w:val="0"/>
                  <w:vAlign w:val="center"/>
                </w:tcPr>
                <w:p w14:paraId="584766B2">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eastAsia="宋体"/>
                      <w:color w:val="000000"/>
                      <w:kern w:val="2"/>
                      <w:sz w:val="21"/>
                      <w:szCs w:val="21"/>
                      <w:lang w:val="en-US" w:eastAsia="zh-CN"/>
                    </w:rPr>
                  </w:pPr>
                  <w:r>
                    <w:rPr>
                      <w:rFonts w:hint="eastAsia" w:ascii="Times New Roman" w:hAnsi="Times New Roman" w:eastAsia="宋体" w:cs="Times New Roman"/>
                      <w:color w:val="auto"/>
                      <w:sz w:val="21"/>
                      <w:szCs w:val="21"/>
                      <w:highlight w:val="none"/>
                      <w:u w:val="none" w:color="auto"/>
                      <w:lang w:val="en-US" w:eastAsia="zh-CN"/>
                    </w:rPr>
                    <w:t>12</w:t>
                  </w:r>
                </w:p>
              </w:tc>
              <w:tc>
                <w:tcPr>
                  <w:tcW w:w="886" w:type="dxa"/>
                  <w:noWrap w:val="0"/>
                  <w:vAlign w:val="center"/>
                </w:tcPr>
                <w:p w14:paraId="29636BAC">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auto"/>
                      <w:sz w:val="21"/>
                      <w:szCs w:val="21"/>
                      <w:highlight w:val="none"/>
                      <w:u w:val="none" w:color="auto"/>
                    </w:rPr>
                    <w:t>40</w:t>
                  </w:r>
                </w:p>
              </w:tc>
              <w:tc>
                <w:tcPr>
                  <w:tcW w:w="1243" w:type="dxa"/>
                  <w:noWrap w:val="0"/>
                  <w:vAlign w:val="center"/>
                </w:tcPr>
                <w:p w14:paraId="61523C4D">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auto"/>
                      <w:sz w:val="21"/>
                      <w:szCs w:val="21"/>
                      <w:highlight w:val="none"/>
                      <w:u w:val="none" w:color="auto"/>
                      <w:lang w:val="en-US" w:eastAsia="zh-CN"/>
                    </w:rPr>
                    <w:t xml:space="preserve">30.0 </w:t>
                  </w:r>
                </w:p>
              </w:tc>
              <w:tc>
                <w:tcPr>
                  <w:tcW w:w="1641" w:type="dxa"/>
                  <w:noWrap w:val="0"/>
                  <w:vAlign w:val="center"/>
                </w:tcPr>
                <w:p w14:paraId="3B917613">
                  <w:pPr>
                    <w:pStyle w:val="24"/>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eastAsia="宋体"/>
                      <w:color w:val="000000"/>
                      <w:kern w:val="2"/>
                      <w:sz w:val="21"/>
                      <w:szCs w:val="21"/>
                    </w:rPr>
                    <w:t>达标</w:t>
                  </w:r>
                </w:p>
              </w:tc>
            </w:tr>
            <w:tr w14:paraId="174E0C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dxa"/>
                  <w:noWrap w:val="0"/>
                  <w:vAlign w:val="center"/>
                </w:tcPr>
                <w:p w14:paraId="1C1EDE10">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PM</w:t>
                  </w:r>
                  <w:r>
                    <w:rPr>
                      <w:rFonts w:hint="default" w:ascii="Times New Roman" w:hAnsi="Times New Roman" w:cs="Times New Roman"/>
                      <w:color w:val="auto"/>
                      <w:sz w:val="21"/>
                      <w:szCs w:val="21"/>
                      <w:highlight w:val="none"/>
                      <w:u w:val="none" w:color="auto"/>
                      <w:vertAlign w:val="subscript"/>
                    </w:rPr>
                    <w:t>10</w:t>
                  </w:r>
                </w:p>
              </w:tc>
              <w:tc>
                <w:tcPr>
                  <w:tcW w:w="2247" w:type="dxa"/>
                  <w:noWrap w:val="0"/>
                  <w:vAlign w:val="center"/>
                </w:tcPr>
                <w:p w14:paraId="3C3978E1">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年平均质量浓度</w:t>
                  </w:r>
                </w:p>
              </w:tc>
              <w:tc>
                <w:tcPr>
                  <w:tcW w:w="1150" w:type="dxa"/>
                  <w:noWrap w:val="0"/>
                  <w:vAlign w:val="center"/>
                </w:tcPr>
                <w:p w14:paraId="2188F00A">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eastAsia="宋体"/>
                      <w:color w:val="000000"/>
                      <w:kern w:val="2"/>
                      <w:sz w:val="21"/>
                      <w:szCs w:val="21"/>
                      <w:lang w:val="en-US" w:eastAsia="zh-CN"/>
                    </w:rPr>
                  </w:pPr>
                  <w:r>
                    <w:rPr>
                      <w:rFonts w:hint="eastAsia" w:ascii="Times New Roman" w:hAnsi="Times New Roman" w:eastAsia="宋体" w:cs="Times New Roman"/>
                      <w:color w:val="auto"/>
                      <w:sz w:val="21"/>
                      <w:szCs w:val="21"/>
                      <w:highlight w:val="none"/>
                      <w:u w:val="none" w:color="auto"/>
                      <w:lang w:val="en-US" w:eastAsia="zh-CN"/>
                    </w:rPr>
                    <w:t>42</w:t>
                  </w:r>
                </w:p>
              </w:tc>
              <w:tc>
                <w:tcPr>
                  <w:tcW w:w="886" w:type="dxa"/>
                  <w:noWrap w:val="0"/>
                  <w:vAlign w:val="center"/>
                </w:tcPr>
                <w:p w14:paraId="2885114C">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color w:val="auto"/>
                      <w:sz w:val="21"/>
                      <w:szCs w:val="21"/>
                      <w:highlight w:val="none"/>
                      <w:u w:val="none" w:color="auto"/>
                      <w:lang w:val="en-US" w:eastAsia="zh-CN"/>
                    </w:rPr>
                    <w:t>6</w:t>
                  </w:r>
                  <w:r>
                    <w:rPr>
                      <w:rFonts w:hint="eastAsia" w:ascii="Times New Roman" w:hAnsi="Times New Roman" w:eastAsia="宋体" w:cs="Times New Roman"/>
                      <w:color w:val="auto"/>
                      <w:sz w:val="21"/>
                      <w:szCs w:val="21"/>
                      <w:highlight w:val="none"/>
                      <w:u w:val="none" w:color="auto"/>
                    </w:rPr>
                    <w:t>0</w:t>
                  </w:r>
                </w:p>
              </w:tc>
              <w:tc>
                <w:tcPr>
                  <w:tcW w:w="1243" w:type="dxa"/>
                  <w:noWrap w:val="0"/>
                  <w:vAlign w:val="center"/>
                </w:tcPr>
                <w:p w14:paraId="77B79273">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color w:val="auto"/>
                      <w:sz w:val="21"/>
                      <w:szCs w:val="21"/>
                      <w:highlight w:val="none"/>
                      <w:u w:val="none" w:color="auto"/>
                      <w:lang w:val="en-US" w:eastAsia="zh-CN"/>
                    </w:rPr>
                    <w:t>7</w:t>
                  </w:r>
                  <w:r>
                    <w:rPr>
                      <w:rFonts w:hint="eastAsia" w:ascii="Times New Roman" w:hAnsi="Times New Roman" w:eastAsia="宋体" w:cs="Times New Roman"/>
                      <w:color w:val="auto"/>
                      <w:sz w:val="21"/>
                      <w:szCs w:val="21"/>
                      <w:highlight w:val="none"/>
                      <w:u w:val="none" w:color="auto"/>
                      <w:lang w:val="en-US" w:eastAsia="zh-CN"/>
                    </w:rPr>
                    <w:t xml:space="preserve">0.0 </w:t>
                  </w:r>
                </w:p>
              </w:tc>
              <w:tc>
                <w:tcPr>
                  <w:tcW w:w="1641" w:type="dxa"/>
                  <w:noWrap w:val="0"/>
                  <w:vAlign w:val="center"/>
                </w:tcPr>
                <w:p w14:paraId="3747FF46">
                  <w:pPr>
                    <w:pStyle w:val="24"/>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eastAsia="宋体"/>
                      <w:color w:val="000000"/>
                      <w:kern w:val="2"/>
                      <w:sz w:val="21"/>
                      <w:szCs w:val="21"/>
                    </w:rPr>
                    <w:t>达标</w:t>
                  </w:r>
                </w:p>
              </w:tc>
            </w:tr>
            <w:tr w14:paraId="09B044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dxa"/>
                  <w:noWrap w:val="0"/>
                  <w:vAlign w:val="center"/>
                </w:tcPr>
                <w:p w14:paraId="551BAACB">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PM</w:t>
                  </w:r>
                  <w:r>
                    <w:rPr>
                      <w:rFonts w:hint="default" w:ascii="Times New Roman" w:hAnsi="Times New Roman" w:cs="Times New Roman"/>
                      <w:color w:val="auto"/>
                      <w:sz w:val="21"/>
                      <w:szCs w:val="21"/>
                      <w:highlight w:val="none"/>
                      <w:u w:val="none" w:color="auto"/>
                      <w:vertAlign w:val="subscript"/>
                    </w:rPr>
                    <w:t>2.5</w:t>
                  </w:r>
                </w:p>
              </w:tc>
              <w:tc>
                <w:tcPr>
                  <w:tcW w:w="2247" w:type="dxa"/>
                  <w:noWrap w:val="0"/>
                  <w:vAlign w:val="center"/>
                </w:tcPr>
                <w:p w14:paraId="28D969FA">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年平均质量浓度</w:t>
                  </w:r>
                </w:p>
              </w:tc>
              <w:tc>
                <w:tcPr>
                  <w:tcW w:w="1150" w:type="dxa"/>
                  <w:noWrap w:val="0"/>
                  <w:vAlign w:val="center"/>
                </w:tcPr>
                <w:p w14:paraId="299D4BA9">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auto"/>
                      <w:sz w:val="21"/>
                      <w:szCs w:val="21"/>
                      <w:highlight w:val="none"/>
                      <w:u w:val="none" w:color="auto"/>
                      <w:lang w:val="en-US" w:eastAsia="zh-CN"/>
                    </w:rPr>
                    <w:t>30</w:t>
                  </w:r>
                </w:p>
              </w:tc>
              <w:tc>
                <w:tcPr>
                  <w:tcW w:w="886" w:type="dxa"/>
                  <w:noWrap w:val="0"/>
                  <w:vAlign w:val="center"/>
                </w:tcPr>
                <w:p w14:paraId="4A07D233">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auto"/>
                      <w:sz w:val="21"/>
                      <w:szCs w:val="21"/>
                      <w:highlight w:val="none"/>
                      <w:u w:val="none" w:color="auto"/>
                    </w:rPr>
                    <w:t>3</w:t>
                  </w:r>
                  <w:r>
                    <w:rPr>
                      <w:rFonts w:hint="eastAsia" w:cs="Times New Roman"/>
                      <w:color w:val="auto"/>
                      <w:sz w:val="21"/>
                      <w:szCs w:val="21"/>
                      <w:highlight w:val="none"/>
                      <w:u w:val="none" w:color="auto"/>
                      <w:lang w:val="en-US" w:eastAsia="zh-CN"/>
                    </w:rPr>
                    <w:t>0</w:t>
                  </w:r>
                </w:p>
              </w:tc>
              <w:tc>
                <w:tcPr>
                  <w:tcW w:w="1243" w:type="dxa"/>
                  <w:noWrap w:val="0"/>
                  <w:vAlign w:val="center"/>
                </w:tcPr>
                <w:p w14:paraId="74103375">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color w:val="auto"/>
                      <w:sz w:val="21"/>
                      <w:szCs w:val="21"/>
                      <w:highlight w:val="none"/>
                      <w:u w:val="none" w:color="auto"/>
                      <w:lang w:val="en-US" w:eastAsia="zh-CN"/>
                    </w:rPr>
                    <w:t>100</w:t>
                  </w:r>
                </w:p>
              </w:tc>
              <w:tc>
                <w:tcPr>
                  <w:tcW w:w="1641" w:type="dxa"/>
                  <w:noWrap w:val="0"/>
                  <w:vAlign w:val="center"/>
                </w:tcPr>
                <w:p w14:paraId="5744FD8E">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达标</w:t>
                  </w:r>
                </w:p>
              </w:tc>
            </w:tr>
            <w:tr w14:paraId="34A4BC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dxa"/>
                  <w:noWrap w:val="0"/>
                  <w:vAlign w:val="center"/>
                </w:tcPr>
                <w:p w14:paraId="2A97B812">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CO</w:t>
                  </w:r>
                </w:p>
              </w:tc>
              <w:tc>
                <w:tcPr>
                  <w:tcW w:w="2247" w:type="dxa"/>
                  <w:noWrap w:val="0"/>
                  <w:vAlign w:val="center"/>
                </w:tcPr>
                <w:p w14:paraId="4E941128">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95%日平均质量浓度</w:t>
                  </w:r>
                </w:p>
              </w:tc>
              <w:tc>
                <w:tcPr>
                  <w:tcW w:w="1150" w:type="dxa"/>
                  <w:noWrap w:val="0"/>
                  <w:vAlign w:val="center"/>
                </w:tcPr>
                <w:p w14:paraId="2B12EB6A">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auto"/>
                      <w:sz w:val="21"/>
                      <w:szCs w:val="21"/>
                      <w:highlight w:val="none"/>
                      <w:u w:val="none" w:color="auto"/>
                      <w:lang w:val="en-US" w:eastAsia="zh-CN"/>
                    </w:rPr>
                    <w:t>1.</w:t>
                  </w:r>
                  <w:r>
                    <w:rPr>
                      <w:rFonts w:hint="eastAsia" w:ascii="Times New Roman" w:hAnsi="Times New Roman" w:eastAsia="宋体" w:cs="Times New Roman"/>
                      <w:color w:val="auto"/>
                      <w:sz w:val="21"/>
                      <w:szCs w:val="21"/>
                      <w:highlight w:val="none"/>
                      <w:u w:val="none" w:color="auto"/>
                      <w:lang w:val="en-US" w:eastAsia="zh-CN"/>
                    </w:rPr>
                    <w:t>0</w:t>
                  </w:r>
                </w:p>
              </w:tc>
              <w:tc>
                <w:tcPr>
                  <w:tcW w:w="886" w:type="dxa"/>
                  <w:noWrap w:val="0"/>
                  <w:vAlign w:val="center"/>
                </w:tcPr>
                <w:p w14:paraId="1A360651">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auto"/>
                      <w:sz w:val="21"/>
                      <w:szCs w:val="21"/>
                      <w:highlight w:val="none"/>
                      <w:u w:val="none" w:color="auto"/>
                    </w:rPr>
                    <w:t>4</w:t>
                  </w:r>
                </w:p>
              </w:tc>
              <w:tc>
                <w:tcPr>
                  <w:tcW w:w="1243" w:type="dxa"/>
                  <w:noWrap w:val="0"/>
                  <w:vAlign w:val="center"/>
                </w:tcPr>
                <w:p w14:paraId="554DFFA3">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auto"/>
                      <w:sz w:val="21"/>
                      <w:szCs w:val="21"/>
                      <w:highlight w:val="none"/>
                      <w:u w:val="none" w:color="auto"/>
                      <w:lang w:val="en-US" w:eastAsia="zh-CN"/>
                    </w:rPr>
                    <w:t xml:space="preserve">25.0 </w:t>
                  </w:r>
                </w:p>
              </w:tc>
              <w:tc>
                <w:tcPr>
                  <w:tcW w:w="1641" w:type="dxa"/>
                  <w:noWrap w:val="0"/>
                  <w:vAlign w:val="center"/>
                </w:tcPr>
                <w:p w14:paraId="4260FDFF">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达标</w:t>
                  </w:r>
                </w:p>
              </w:tc>
            </w:tr>
            <w:tr w14:paraId="3382B4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dxa"/>
                  <w:noWrap w:val="0"/>
                  <w:vAlign w:val="center"/>
                </w:tcPr>
                <w:p w14:paraId="0E703305">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O</w:t>
                  </w:r>
                  <w:r>
                    <w:rPr>
                      <w:rFonts w:hint="default" w:ascii="Times New Roman" w:hAnsi="Times New Roman" w:cs="Times New Roman"/>
                      <w:color w:val="auto"/>
                      <w:sz w:val="21"/>
                      <w:szCs w:val="21"/>
                      <w:highlight w:val="none"/>
                      <w:u w:val="none" w:color="auto"/>
                      <w:vertAlign w:val="subscript"/>
                    </w:rPr>
                    <w:t>3</w:t>
                  </w:r>
                </w:p>
              </w:tc>
              <w:tc>
                <w:tcPr>
                  <w:tcW w:w="2247" w:type="dxa"/>
                  <w:noWrap w:val="0"/>
                  <w:vAlign w:val="center"/>
                </w:tcPr>
                <w:p w14:paraId="30EDE046">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90%8h平均质量浓度</w:t>
                  </w:r>
                </w:p>
              </w:tc>
              <w:tc>
                <w:tcPr>
                  <w:tcW w:w="1150" w:type="dxa"/>
                  <w:noWrap w:val="0"/>
                  <w:vAlign w:val="center"/>
                </w:tcPr>
                <w:p w14:paraId="3B04B642">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auto"/>
                      <w:sz w:val="21"/>
                      <w:szCs w:val="21"/>
                      <w:highlight w:val="none"/>
                      <w:u w:val="none" w:color="auto"/>
                      <w:lang w:val="en-US" w:eastAsia="zh-CN"/>
                    </w:rPr>
                    <w:t>129</w:t>
                  </w:r>
                </w:p>
              </w:tc>
              <w:tc>
                <w:tcPr>
                  <w:tcW w:w="886" w:type="dxa"/>
                  <w:noWrap w:val="0"/>
                  <w:vAlign w:val="center"/>
                </w:tcPr>
                <w:p w14:paraId="182A147C">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auto"/>
                      <w:sz w:val="21"/>
                      <w:szCs w:val="21"/>
                      <w:highlight w:val="none"/>
                      <w:u w:val="none" w:color="auto"/>
                    </w:rPr>
                    <w:t>160</w:t>
                  </w:r>
                </w:p>
              </w:tc>
              <w:tc>
                <w:tcPr>
                  <w:tcW w:w="1243" w:type="dxa"/>
                  <w:noWrap w:val="0"/>
                  <w:vAlign w:val="center"/>
                </w:tcPr>
                <w:p w14:paraId="30DC360B">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auto"/>
                      <w:sz w:val="21"/>
                      <w:szCs w:val="21"/>
                      <w:highlight w:val="none"/>
                      <w:u w:val="none" w:color="auto"/>
                      <w:lang w:val="en-US" w:eastAsia="zh-CN"/>
                    </w:rPr>
                    <w:t xml:space="preserve">80.6 </w:t>
                  </w:r>
                </w:p>
              </w:tc>
              <w:tc>
                <w:tcPr>
                  <w:tcW w:w="1641" w:type="dxa"/>
                  <w:noWrap w:val="0"/>
                  <w:vAlign w:val="center"/>
                </w:tcPr>
                <w:p w14:paraId="3F28849E">
                  <w:pPr>
                    <w:pStyle w:val="24"/>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eastAsia="宋体"/>
                      <w:color w:val="000000"/>
                      <w:kern w:val="2"/>
                      <w:sz w:val="21"/>
                      <w:szCs w:val="21"/>
                    </w:rPr>
                    <w:t>达标</w:t>
                  </w:r>
                </w:p>
              </w:tc>
            </w:tr>
          </w:tbl>
          <w:p w14:paraId="4EEB76BF">
            <w:pPr>
              <w:spacing w:line="480" w:lineRule="exact"/>
              <w:ind w:firstLine="480" w:firstLineChars="200"/>
              <w:rPr>
                <w:rFonts w:hint="default" w:ascii="Times New Roman" w:hAnsi="Times New Roman" w:cs="Times New Roman"/>
                <w:color w:val="auto"/>
                <w:sz w:val="24"/>
                <w:highlight w:val="none"/>
                <w:u w:val="none" w:color="auto"/>
                <w:lang w:eastAsia="zh-CN"/>
              </w:rPr>
            </w:pPr>
            <w:r>
              <w:rPr>
                <w:rFonts w:hint="eastAsia"/>
                <w:color w:val="000000"/>
                <w:sz w:val="24"/>
              </w:rPr>
              <w:t>环境空气质量总结论：</w:t>
            </w:r>
            <w:r>
              <w:rPr>
                <w:rFonts w:hint="default" w:ascii="Times New Roman" w:hAnsi="Times New Roman" w:cs="Times New Roman"/>
                <w:color w:val="auto"/>
                <w:sz w:val="24"/>
                <w:highlight w:val="none"/>
                <w:u w:val="none" w:color="auto"/>
                <w:lang w:eastAsia="zh-CN"/>
              </w:rPr>
              <w:t>202</w:t>
            </w:r>
            <w:r>
              <w:rPr>
                <w:rFonts w:hint="eastAsia" w:cs="Times New Roman"/>
                <w:color w:val="auto"/>
                <w:sz w:val="24"/>
                <w:highlight w:val="none"/>
                <w:u w:val="none" w:color="auto"/>
                <w:lang w:val="en-US" w:eastAsia="zh-CN"/>
              </w:rPr>
              <w:t>4</w:t>
            </w:r>
            <w:r>
              <w:rPr>
                <w:rFonts w:hint="default" w:ascii="Times New Roman" w:hAnsi="Times New Roman" w:cs="Times New Roman"/>
                <w:color w:val="auto"/>
                <w:sz w:val="24"/>
                <w:highlight w:val="none"/>
                <w:u w:val="none" w:color="auto"/>
                <w:lang w:eastAsia="zh-CN"/>
              </w:rPr>
              <w:t>年</w:t>
            </w:r>
            <w:r>
              <w:rPr>
                <w:rFonts w:hint="default" w:ascii="Times New Roman" w:hAnsi="Times New Roman" w:cs="Times New Roman"/>
                <w:color w:val="auto"/>
                <w:sz w:val="24"/>
                <w:highlight w:val="none"/>
                <w:u w:val="none" w:color="auto"/>
              </w:rPr>
              <w:t>全</w:t>
            </w:r>
            <w:r>
              <w:rPr>
                <w:rFonts w:hint="eastAsia" w:ascii="Times New Roman" w:hAnsi="Times New Roman" w:cs="Times New Roman"/>
                <w:color w:val="auto"/>
                <w:sz w:val="24"/>
                <w:highlight w:val="none"/>
                <w:u w:val="none" w:color="auto"/>
                <w:lang w:val="en-US" w:eastAsia="zh-CN"/>
              </w:rPr>
              <w:t>区</w:t>
            </w:r>
            <w:r>
              <w:rPr>
                <w:rFonts w:hint="default" w:ascii="Times New Roman" w:hAnsi="Times New Roman" w:cs="Times New Roman"/>
                <w:color w:val="auto"/>
                <w:sz w:val="24"/>
                <w:highlight w:val="none"/>
                <w:u w:val="none" w:color="auto"/>
              </w:rPr>
              <w:t>SO</w:t>
            </w:r>
            <w:r>
              <w:rPr>
                <w:rFonts w:hint="default" w:ascii="Times New Roman" w:hAnsi="Times New Roman" w:cs="Times New Roman"/>
                <w:color w:val="auto"/>
                <w:sz w:val="24"/>
                <w:highlight w:val="none"/>
                <w:u w:val="none" w:color="auto"/>
                <w:vertAlign w:val="subscript"/>
              </w:rPr>
              <w:t>2</w:t>
            </w:r>
            <w:r>
              <w:rPr>
                <w:rFonts w:hint="default" w:ascii="Times New Roman" w:hAnsi="Times New Roman" w:cs="Times New Roman"/>
                <w:color w:val="auto"/>
                <w:sz w:val="24"/>
                <w:highlight w:val="none"/>
                <w:u w:val="none" w:color="auto"/>
              </w:rPr>
              <w:t>、NO</w:t>
            </w:r>
            <w:r>
              <w:rPr>
                <w:rFonts w:hint="default" w:ascii="Times New Roman" w:hAnsi="Times New Roman" w:cs="Times New Roman"/>
                <w:color w:val="auto"/>
                <w:sz w:val="24"/>
                <w:highlight w:val="none"/>
                <w:u w:val="none" w:color="auto"/>
                <w:vertAlign w:val="subscript"/>
              </w:rPr>
              <w:t>2</w:t>
            </w:r>
            <w:r>
              <w:rPr>
                <w:rFonts w:hint="default" w:ascii="Times New Roman" w:hAnsi="Times New Roman" w:cs="Times New Roman"/>
                <w:color w:val="auto"/>
                <w:sz w:val="24"/>
                <w:highlight w:val="none"/>
                <w:u w:val="none" w:color="auto"/>
              </w:rPr>
              <w:t>、CO、O</w:t>
            </w:r>
            <w:r>
              <w:rPr>
                <w:rFonts w:hint="default" w:ascii="Times New Roman" w:hAnsi="Times New Roman" w:cs="Times New Roman"/>
                <w:color w:val="auto"/>
                <w:sz w:val="24"/>
                <w:highlight w:val="none"/>
                <w:u w:val="none" w:color="auto"/>
                <w:vertAlign w:val="subscript"/>
              </w:rPr>
              <w:t>3</w:t>
            </w:r>
            <w:r>
              <w:rPr>
                <w:rFonts w:hint="default" w:ascii="Times New Roman" w:hAnsi="Times New Roman" w:cs="Times New Roman"/>
                <w:color w:val="auto"/>
                <w:sz w:val="24"/>
                <w:highlight w:val="none"/>
                <w:u w:val="none" w:color="auto"/>
              </w:rPr>
              <w:t>、PM</w:t>
            </w:r>
            <w:r>
              <w:rPr>
                <w:rFonts w:hint="default" w:ascii="Times New Roman" w:hAnsi="Times New Roman" w:cs="Times New Roman"/>
                <w:color w:val="auto"/>
                <w:sz w:val="24"/>
                <w:highlight w:val="none"/>
                <w:u w:val="none" w:color="auto"/>
                <w:vertAlign w:val="subscript"/>
              </w:rPr>
              <w:t>10</w:t>
            </w:r>
            <w:r>
              <w:rPr>
                <w:rFonts w:hint="default" w:ascii="Times New Roman" w:hAnsi="Times New Roman" w:cs="Times New Roman"/>
                <w:color w:val="auto"/>
                <w:sz w:val="24"/>
                <w:highlight w:val="none"/>
                <w:u w:val="none" w:color="auto"/>
              </w:rPr>
              <w:t>、PM</w:t>
            </w:r>
            <w:r>
              <w:rPr>
                <w:rFonts w:hint="default" w:ascii="Times New Roman" w:hAnsi="Times New Roman" w:cs="Times New Roman"/>
                <w:color w:val="auto"/>
                <w:sz w:val="24"/>
                <w:highlight w:val="none"/>
                <w:u w:val="none" w:color="auto"/>
                <w:vertAlign w:val="subscript"/>
              </w:rPr>
              <w:t>2.5</w:t>
            </w:r>
            <w:r>
              <w:rPr>
                <w:rFonts w:hint="default" w:ascii="Times New Roman" w:hAnsi="Times New Roman" w:cs="Times New Roman"/>
                <w:color w:val="auto"/>
                <w:sz w:val="24"/>
                <w:highlight w:val="none"/>
                <w:u w:val="none" w:color="auto"/>
              </w:rPr>
              <w:t>年平均质量浓年平均质量浓度满足《环境空气质量标准》</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GB3095-2012</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lang w:val="en-US" w:eastAsia="zh-CN"/>
              </w:rPr>
              <w:t>及其修改单中</w:t>
            </w:r>
            <w:r>
              <w:rPr>
                <w:rFonts w:hint="default" w:ascii="Times New Roman" w:hAnsi="Times New Roman" w:cs="Times New Roman"/>
                <w:color w:val="auto"/>
                <w:sz w:val="24"/>
                <w:highlight w:val="none"/>
                <w:u w:val="none" w:color="auto"/>
              </w:rPr>
              <w:t>二级标准要求，</w:t>
            </w:r>
            <w:r>
              <w:rPr>
                <w:rFonts w:hint="eastAsia" w:cs="Times New Roman"/>
                <w:color w:val="auto"/>
                <w:sz w:val="24"/>
                <w:highlight w:val="none"/>
                <w:u w:val="none" w:color="auto"/>
                <w:lang w:val="en-US" w:eastAsia="zh-CN"/>
              </w:rPr>
              <w:t>同时也</w:t>
            </w:r>
            <w:r>
              <w:rPr>
                <w:rFonts w:hint="default" w:ascii="Times New Roman" w:hAnsi="Times New Roman" w:cs="Times New Roman"/>
                <w:color w:val="auto"/>
                <w:sz w:val="24"/>
                <w:highlight w:val="none"/>
                <w:u w:val="none" w:color="auto"/>
              </w:rPr>
              <w:t>满足《环境空气质量标准》</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GB3095-20</w:t>
            </w:r>
            <w:r>
              <w:rPr>
                <w:rFonts w:hint="eastAsia" w:cs="Times New Roman"/>
                <w:color w:val="auto"/>
                <w:sz w:val="24"/>
                <w:highlight w:val="none"/>
                <w:u w:val="none" w:color="auto"/>
                <w:lang w:val="en-US" w:eastAsia="zh-CN"/>
              </w:rPr>
              <w:t>26</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lang w:val="en-US" w:eastAsia="zh-CN"/>
              </w:rPr>
              <w:t>中</w:t>
            </w:r>
            <w:r>
              <w:rPr>
                <w:rFonts w:hint="default" w:ascii="Times New Roman" w:hAnsi="Times New Roman" w:cs="Times New Roman"/>
                <w:color w:val="auto"/>
                <w:sz w:val="24"/>
                <w:highlight w:val="none"/>
                <w:u w:val="none" w:color="auto"/>
              </w:rPr>
              <w:t>二级标准</w:t>
            </w:r>
            <w:r>
              <w:rPr>
                <w:rFonts w:hint="eastAsia" w:cs="Times New Roman"/>
                <w:color w:val="auto"/>
                <w:sz w:val="24"/>
                <w:highlight w:val="none"/>
                <w:u w:val="none" w:color="auto"/>
                <w:lang w:val="en-US" w:eastAsia="zh-CN"/>
              </w:rPr>
              <w:t>过渡阶段</w:t>
            </w:r>
            <w:r>
              <w:rPr>
                <w:rFonts w:hint="default" w:ascii="Times New Roman" w:hAnsi="Times New Roman" w:cs="Times New Roman"/>
                <w:color w:val="auto"/>
                <w:sz w:val="24"/>
                <w:highlight w:val="none"/>
                <w:u w:val="none" w:color="auto"/>
              </w:rPr>
              <w:t>要求</w:t>
            </w:r>
            <w:r>
              <w:rPr>
                <w:rFonts w:hint="eastAsia"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因此，可判定</w:t>
            </w:r>
            <w:r>
              <w:rPr>
                <w:rFonts w:hint="eastAsia" w:cs="Times New Roman"/>
                <w:color w:val="auto"/>
                <w:sz w:val="24"/>
                <w:highlight w:val="none"/>
                <w:u w:val="none" w:color="auto"/>
                <w:lang w:val="en-US" w:eastAsia="zh-CN"/>
              </w:rPr>
              <w:t>祁阳市</w:t>
            </w:r>
            <w:r>
              <w:rPr>
                <w:rFonts w:hint="default" w:ascii="Times New Roman" w:hAnsi="Times New Roman" w:cs="Times New Roman"/>
                <w:color w:val="auto"/>
                <w:sz w:val="24"/>
                <w:highlight w:val="none"/>
                <w:u w:val="none" w:color="auto"/>
              </w:rPr>
              <w:t>大气环境属于达标区</w:t>
            </w:r>
            <w:r>
              <w:rPr>
                <w:rFonts w:hint="default" w:ascii="Times New Roman" w:hAnsi="Times New Roman" w:cs="Times New Roman"/>
                <w:color w:val="auto"/>
                <w:sz w:val="24"/>
                <w:highlight w:val="none"/>
                <w:u w:val="none" w:color="auto"/>
                <w:lang w:eastAsia="zh-CN"/>
              </w:rPr>
              <w:t>。</w:t>
            </w:r>
          </w:p>
          <w:p w14:paraId="6257C352">
            <w:pPr>
              <w:spacing w:line="480" w:lineRule="exact"/>
              <w:ind w:firstLine="480" w:firstLineChars="200"/>
              <w:rPr>
                <w:rFonts w:hint="default" w:ascii="Times New Roman" w:hAnsi="Times New Roman" w:cs="Times New Roman"/>
                <w:color w:val="auto"/>
                <w:sz w:val="24"/>
                <w:highlight w:val="none"/>
                <w:u w:val="none" w:color="auto"/>
                <w:lang w:eastAsia="zh-CN"/>
              </w:rPr>
            </w:pPr>
            <w:r>
              <w:rPr>
                <w:rFonts w:hint="eastAsia" w:cs="Times New Roman"/>
                <w:color w:val="auto"/>
                <w:sz w:val="24"/>
                <w:highlight w:val="none"/>
                <w:u w:val="none" w:color="auto"/>
                <w:lang w:eastAsia="zh-CN"/>
              </w:rPr>
              <w:t>（</w:t>
            </w:r>
            <w:r>
              <w:rPr>
                <w:rFonts w:hint="eastAsia" w:cs="Times New Roman"/>
                <w:color w:val="auto"/>
                <w:sz w:val="24"/>
                <w:highlight w:val="none"/>
                <w:u w:val="none" w:color="auto"/>
                <w:lang w:val="en-US" w:eastAsia="zh-CN"/>
              </w:rPr>
              <w:t>2</w:t>
            </w:r>
            <w:r>
              <w:rPr>
                <w:rFonts w:hint="eastAsia"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lang w:eastAsia="zh-CN"/>
              </w:rPr>
              <w:t>特殊污染物</w:t>
            </w:r>
          </w:p>
          <w:p w14:paraId="62BF99C5">
            <w:pPr>
              <w:spacing w:line="480" w:lineRule="exact"/>
              <w:ind w:firstLine="480" w:firstLineChars="200"/>
              <w:rPr>
                <w:rFonts w:hint="default" w:ascii="Times New Roman" w:hAnsi="Times New Roman" w:cs="Times New Roman"/>
                <w:color w:val="auto"/>
                <w:sz w:val="24"/>
                <w:highlight w:val="none"/>
                <w:u w:val="none" w:color="auto"/>
                <w:lang w:val="en-US" w:eastAsia="zh-CN"/>
              </w:rPr>
            </w:pPr>
            <w:r>
              <w:rPr>
                <w:rFonts w:hint="default" w:ascii="Times New Roman" w:hAnsi="Times New Roman" w:cs="Times New Roman"/>
                <w:color w:val="auto"/>
                <w:sz w:val="24"/>
                <w:highlight w:val="none"/>
                <w:u w:val="none" w:color="auto"/>
                <w:lang w:eastAsia="zh-CN"/>
              </w:rPr>
              <w:t>为了解区域环境空气质量现状情况，委托</w:t>
            </w:r>
            <w:r>
              <w:rPr>
                <w:rFonts w:hint="eastAsia" w:ascii="Times New Roman" w:hAnsi="Times New Roman" w:eastAsia="宋体" w:cs="Times New Roman"/>
                <w:bCs/>
                <w:color w:val="auto"/>
                <w:sz w:val="24"/>
                <w:highlight w:val="none"/>
                <w:lang w:val="en-US" w:eastAsia="zh-CN"/>
              </w:rPr>
              <w:t>湖南</w:t>
            </w:r>
            <w:r>
              <w:rPr>
                <w:rFonts w:hint="eastAsia" w:cs="Times New Roman"/>
                <w:bCs/>
                <w:color w:val="auto"/>
                <w:sz w:val="24"/>
                <w:highlight w:val="none"/>
                <w:lang w:val="en-US" w:eastAsia="zh-CN"/>
              </w:rPr>
              <w:t>瑞鉴</w:t>
            </w:r>
            <w:r>
              <w:rPr>
                <w:rFonts w:hint="eastAsia" w:ascii="Times New Roman" w:hAnsi="Times New Roman" w:eastAsia="宋体" w:cs="Times New Roman"/>
                <w:bCs/>
                <w:color w:val="auto"/>
                <w:sz w:val="24"/>
                <w:highlight w:val="none"/>
                <w:lang w:val="en-US" w:eastAsia="zh-CN"/>
              </w:rPr>
              <w:t>检测有限公司</w:t>
            </w:r>
            <w:r>
              <w:rPr>
                <w:rFonts w:hint="default" w:ascii="Times New Roman" w:hAnsi="Times New Roman" w:cs="Times New Roman"/>
                <w:color w:val="auto"/>
                <w:sz w:val="24"/>
                <w:highlight w:val="none"/>
                <w:u w:val="none" w:color="auto"/>
                <w:lang w:eastAsia="zh-CN"/>
              </w:rPr>
              <w:t>于202</w:t>
            </w:r>
            <w:r>
              <w:rPr>
                <w:rFonts w:hint="eastAsia" w:cs="Times New Roman"/>
                <w:color w:val="auto"/>
                <w:sz w:val="24"/>
                <w:highlight w:val="none"/>
                <w:u w:val="none" w:color="auto"/>
                <w:lang w:val="en-US" w:eastAsia="zh-CN"/>
              </w:rPr>
              <w:t>6</w:t>
            </w:r>
            <w:r>
              <w:rPr>
                <w:rFonts w:hint="default" w:ascii="Times New Roman" w:hAnsi="Times New Roman" w:cs="Times New Roman"/>
                <w:color w:val="auto"/>
                <w:sz w:val="24"/>
                <w:highlight w:val="none"/>
                <w:u w:val="none" w:color="auto"/>
                <w:lang w:eastAsia="zh-CN"/>
              </w:rPr>
              <w:t>年</w:t>
            </w:r>
            <w:r>
              <w:rPr>
                <w:rFonts w:hint="eastAsia" w:cs="Times New Roman"/>
                <w:color w:val="auto"/>
                <w:sz w:val="24"/>
                <w:highlight w:val="none"/>
                <w:u w:val="none" w:color="auto"/>
                <w:lang w:val="en-US" w:eastAsia="zh-CN"/>
              </w:rPr>
              <w:t>2</w:t>
            </w:r>
            <w:r>
              <w:rPr>
                <w:rFonts w:hint="default" w:ascii="Times New Roman" w:hAnsi="Times New Roman" w:cs="Times New Roman"/>
                <w:color w:val="auto"/>
                <w:sz w:val="24"/>
                <w:highlight w:val="none"/>
                <w:u w:val="none" w:color="auto"/>
                <w:lang w:eastAsia="zh-CN"/>
              </w:rPr>
              <w:t>月</w:t>
            </w:r>
            <w:r>
              <w:rPr>
                <w:rFonts w:hint="eastAsia" w:cs="Times New Roman"/>
                <w:color w:val="auto"/>
                <w:sz w:val="24"/>
                <w:highlight w:val="none"/>
                <w:u w:val="none" w:color="auto"/>
                <w:lang w:val="en-US" w:eastAsia="zh-CN"/>
              </w:rPr>
              <w:t>25</w:t>
            </w:r>
            <w:r>
              <w:rPr>
                <w:rFonts w:hint="eastAsia" w:ascii="Times New Roman" w:hAnsi="Times New Roman" w:cs="Times New Roman"/>
                <w:color w:val="auto"/>
                <w:sz w:val="24"/>
                <w:highlight w:val="none"/>
                <w:u w:val="none" w:color="auto"/>
                <w:lang w:val="en-US" w:eastAsia="zh-CN"/>
              </w:rPr>
              <w:t>~</w:t>
            </w:r>
            <w:r>
              <w:rPr>
                <w:rFonts w:hint="eastAsia" w:cs="Times New Roman"/>
                <w:color w:val="auto"/>
                <w:sz w:val="24"/>
                <w:highlight w:val="none"/>
                <w:u w:val="none" w:color="auto"/>
                <w:lang w:val="en-US" w:eastAsia="zh-CN"/>
              </w:rPr>
              <w:t>3月3</w:t>
            </w:r>
            <w:r>
              <w:rPr>
                <w:rFonts w:hint="eastAsia" w:ascii="Times New Roman" w:hAnsi="Times New Roman" w:cs="Times New Roman"/>
                <w:color w:val="auto"/>
                <w:sz w:val="24"/>
                <w:highlight w:val="none"/>
                <w:u w:val="none" w:color="auto"/>
                <w:lang w:val="en-US" w:eastAsia="zh-CN"/>
              </w:rPr>
              <w:t>日</w:t>
            </w:r>
            <w:r>
              <w:rPr>
                <w:rFonts w:hint="default" w:ascii="Times New Roman" w:hAnsi="Times New Roman" w:cs="Times New Roman"/>
                <w:color w:val="auto"/>
                <w:sz w:val="24"/>
                <w:highlight w:val="none"/>
                <w:u w:val="none" w:color="auto"/>
                <w:lang w:eastAsia="zh-CN"/>
              </w:rPr>
              <w:t>对区域环境空气</w:t>
            </w:r>
            <w:r>
              <w:rPr>
                <w:rFonts w:hint="eastAsia" w:ascii="Times New Roman" w:hAnsi="Times New Roman" w:cs="Times New Roman"/>
                <w:color w:val="auto"/>
                <w:sz w:val="24"/>
                <w:highlight w:val="none"/>
                <w:u w:val="none" w:color="auto"/>
                <w:lang w:val="en-US" w:eastAsia="zh-CN"/>
              </w:rPr>
              <w:t>TSP</w:t>
            </w:r>
            <w:r>
              <w:rPr>
                <w:rFonts w:hint="default" w:ascii="Times New Roman" w:hAnsi="Times New Roman" w:cs="Times New Roman"/>
                <w:color w:val="auto"/>
                <w:sz w:val="24"/>
                <w:highlight w:val="none"/>
                <w:u w:val="none" w:color="auto"/>
                <w:lang w:eastAsia="zh-CN"/>
              </w:rPr>
              <w:t>进行补充监测。</w:t>
            </w:r>
            <w:r>
              <w:rPr>
                <w:rFonts w:hint="eastAsia" w:ascii="Times New Roman" w:hAnsi="Times New Roman" w:cs="Times New Roman"/>
                <w:color w:val="auto"/>
                <w:sz w:val="24"/>
                <w:highlight w:val="none"/>
                <w:u w:val="none" w:color="auto"/>
                <w:lang w:val="en-US" w:eastAsia="zh-CN"/>
              </w:rPr>
              <w:t>TSP监测日均浓度，连续监测</w:t>
            </w:r>
            <w:r>
              <w:rPr>
                <w:rFonts w:hint="eastAsia" w:cs="Times New Roman"/>
                <w:color w:val="auto"/>
                <w:sz w:val="24"/>
                <w:highlight w:val="none"/>
                <w:u w:val="none" w:color="auto"/>
                <w:lang w:val="en-US" w:eastAsia="zh-CN"/>
              </w:rPr>
              <w:t>7</w:t>
            </w:r>
            <w:r>
              <w:rPr>
                <w:rFonts w:hint="eastAsia" w:ascii="Times New Roman" w:hAnsi="Times New Roman" w:cs="Times New Roman"/>
                <w:color w:val="auto"/>
                <w:sz w:val="24"/>
                <w:highlight w:val="none"/>
                <w:u w:val="none" w:color="auto"/>
                <w:lang w:val="en-US" w:eastAsia="zh-CN"/>
              </w:rPr>
              <w:t>天。</w:t>
            </w:r>
          </w:p>
          <w:p w14:paraId="148D2F2F">
            <w:pPr>
              <w:spacing w:line="480" w:lineRule="exact"/>
              <w:ind w:firstLine="480" w:firstLineChars="200"/>
              <w:rPr>
                <w:rFonts w:hint="default" w:ascii="Times New Roman" w:hAnsi="Times New Roman" w:cs="Times New Roman"/>
                <w:color w:val="auto"/>
                <w:sz w:val="24"/>
                <w:highlight w:val="none"/>
                <w:u w:val="none" w:color="auto"/>
                <w:lang w:val="en-US" w:eastAsia="zh-CN"/>
              </w:rPr>
            </w:pPr>
            <w:r>
              <w:rPr>
                <w:rFonts w:hint="default" w:ascii="Times New Roman" w:hAnsi="Times New Roman" w:cs="Times New Roman"/>
                <w:color w:val="auto"/>
                <w:sz w:val="24"/>
                <w:highlight w:val="none"/>
                <w:u w:val="none" w:color="auto"/>
                <w:lang w:val="en-US" w:eastAsia="zh-CN"/>
              </w:rPr>
              <w:t>环境空气质量现状监测点位及评价结果见下表，</w:t>
            </w:r>
            <w:r>
              <w:rPr>
                <w:rFonts w:hint="eastAsia" w:ascii="Times New Roman" w:hAnsi="Times New Roman" w:cs="Times New Roman"/>
                <w:color w:val="auto"/>
                <w:sz w:val="24"/>
                <w:highlight w:val="none"/>
                <w:u w:val="none" w:color="auto"/>
                <w:lang w:val="en-US" w:eastAsia="zh-CN"/>
              </w:rPr>
              <w:t>TSP</w:t>
            </w:r>
            <w:r>
              <w:rPr>
                <w:rFonts w:hint="default" w:ascii="Times New Roman" w:hAnsi="Times New Roman" w:cs="Times New Roman"/>
                <w:color w:val="auto"/>
                <w:sz w:val="24"/>
                <w:highlight w:val="none"/>
                <w:u w:val="none" w:color="auto"/>
                <w:lang w:val="en-US" w:eastAsia="zh-CN"/>
              </w:rPr>
              <w:t>各监测点位24小时平均值均能满足《环境空气环境质量标准》（GB 3095-2012）二级标准，区域环境空气质量现状较好。</w:t>
            </w:r>
          </w:p>
          <w:p w14:paraId="17A6F4F4">
            <w:pPr>
              <w:pStyle w:val="16"/>
              <w:keepNext w:val="0"/>
              <w:keepLines w:val="0"/>
              <w:suppressLineNumbers w:val="0"/>
              <w:bidi w:val="0"/>
              <w:spacing w:before="0" w:beforeAutospacing="0" w:after="0" w:afterAutospacing="0"/>
              <w:ind w:left="0" w:right="0"/>
              <w:rPr>
                <w:rFonts w:hint="default" w:ascii="Times New Roman" w:hAnsi="Times New Roman" w:eastAsia="宋体" w:cs="Times New Roman"/>
                <w:b/>
                <w:bCs/>
                <w:color w:val="auto"/>
                <w:spacing w:val="0"/>
                <w:kern w:val="0"/>
                <w:sz w:val="21"/>
                <w:szCs w:val="21"/>
                <w:u w:val="none" w:color="auto"/>
                <w:lang w:val="en-US" w:eastAsia="zh-CN" w:bidi="ar-SA"/>
              </w:rPr>
            </w:pPr>
            <w:r>
              <w:rPr>
                <w:rFonts w:hint="default" w:ascii="Times New Roman" w:hAnsi="Times New Roman" w:eastAsia="宋体" w:cs="Times New Roman"/>
                <w:b/>
                <w:bCs/>
                <w:color w:val="auto"/>
                <w:spacing w:val="0"/>
                <w:kern w:val="0"/>
                <w:sz w:val="21"/>
                <w:szCs w:val="21"/>
                <w:u w:val="none" w:color="auto"/>
                <w:lang w:val="en-US" w:eastAsia="zh-CN" w:bidi="ar-SA"/>
              </w:rPr>
              <w:t>表</w:t>
            </w:r>
            <w:r>
              <w:rPr>
                <w:rFonts w:hint="eastAsia" w:ascii="Times New Roman" w:hAnsi="Times New Roman" w:eastAsia="宋体" w:cs="Times New Roman"/>
                <w:b/>
                <w:bCs/>
                <w:color w:val="auto"/>
                <w:spacing w:val="0"/>
                <w:kern w:val="0"/>
                <w:sz w:val="21"/>
                <w:szCs w:val="21"/>
                <w:u w:val="none" w:color="auto"/>
                <w:lang w:val="en-US" w:eastAsia="zh-CN" w:bidi="ar-SA"/>
              </w:rPr>
              <w:t>3</w:t>
            </w:r>
            <w:r>
              <w:rPr>
                <w:rFonts w:hint="eastAsia" w:ascii="Times New Roman" w:hAnsi="Times New Roman" w:cs="Times New Roman"/>
                <w:b/>
                <w:bCs/>
                <w:color w:val="auto"/>
                <w:spacing w:val="0"/>
                <w:kern w:val="0"/>
                <w:sz w:val="21"/>
                <w:szCs w:val="21"/>
                <w:u w:val="none" w:color="auto"/>
                <w:lang w:val="en-US" w:eastAsia="zh-CN" w:bidi="ar-SA"/>
              </w:rPr>
              <w:t>-</w:t>
            </w:r>
            <w:r>
              <w:rPr>
                <w:rFonts w:hint="eastAsia" w:ascii="Times New Roman" w:hAnsi="Times New Roman" w:eastAsia="宋体" w:cs="Times New Roman"/>
                <w:b/>
                <w:bCs/>
                <w:color w:val="auto"/>
                <w:spacing w:val="0"/>
                <w:kern w:val="0"/>
                <w:sz w:val="21"/>
                <w:szCs w:val="21"/>
                <w:u w:val="none" w:color="auto"/>
                <w:lang w:val="en-US" w:eastAsia="zh-CN" w:bidi="ar-SA"/>
              </w:rPr>
              <w:t>2</w:t>
            </w:r>
            <w:r>
              <w:rPr>
                <w:rFonts w:hint="eastAsia" w:ascii="Times New Roman" w:hAnsi="Times New Roman" w:cs="Times New Roman"/>
                <w:b/>
                <w:bCs/>
                <w:color w:val="auto"/>
                <w:spacing w:val="0"/>
                <w:kern w:val="0"/>
                <w:sz w:val="21"/>
                <w:szCs w:val="21"/>
                <w:u w:val="none" w:color="auto"/>
                <w:lang w:val="en-US" w:eastAsia="zh-CN" w:bidi="ar-SA"/>
              </w:rPr>
              <w:t xml:space="preserve"> </w:t>
            </w:r>
            <w:r>
              <w:rPr>
                <w:rFonts w:hint="default" w:ascii="Times New Roman" w:hAnsi="Times New Roman" w:eastAsia="宋体" w:cs="Times New Roman"/>
                <w:b/>
                <w:bCs/>
                <w:color w:val="auto"/>
                <w:spacing w:val="0"/>
                <w:kern w:val="0"/>
                <w:sz w:val="21"/>
                <w:szCs w:val="21"/>
                <w:u w:val="none" w:color="auto"/>
                <w:lang w:val="en-US" w:eastAsia="zh-CN" w:bidi="ar-SA"/>
              </w:rPr>
              <w:t>环境空气TSP现状监测点位评价结果表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000000" w:sz="6" w:space="0"/>
                <w:insideV w:val="single" w:color="000000" w:sz="4" w:space="0"/>
              </w:tblBorders>
              <w:tblLayout w:type="autofit"/>
              <w:tblCellMar>
                <w:top w:w="0" w:type="dxa"/>
                <w:left w:w="0" w:type="dxa"/>
                <w:bottom w:w="0" w:type="dxa"/>
                <w:right w:w="0" w:type="dxa"/>
              </w:tblCellMar>
            </w:tblPr>
            <w:tblGrid>
              <w:gridCol w:w="1561"/>
              <w:gridCol w:w="1439"/>
              <w:gridCol w:w="1279"/>
              <w:gridCol w:w="1279"/>
              <w:gridCol w:w="1810"/>
              <w:gridCol w:w="1151"/>
            </w:tblGrid>
            <w:tr w14:paraId="67290921">
              <w:tblPrEx>
                <w:tblBorders>
                  <w:top w:val="single" w:color="auto" w:sz="4" w:space="0"/>
                  <w:left w:val="single" w:color="auto" w:sz="4" w:space="0"/>
                  <w:bottom w:val="single" w:color="auto" w:sz="4" w:space="0"/>
                  <w:right w:val="single" w:color="auto" w:sz="4" w:space="0"/>
                  <w:insideH w:val="single" w:color="000000" w:sz="6" w:space="0"/>
                  <w:insideV w:val="single" w:color="000000" w:sz="4" w:space="0"/>
                </w:tblBorders>
                <w:tblCellMar>
                  <w:top w:w="0" w:type="dxa"/>
                  <w:left w:w="0" w:type="dxa"/>
                  <w:bottom w:w="0" w:type="dxa"/>
                  <w:right w:w="0" w:type="dxa"/>
                </w:tblCellMar>
              </w:tblPrEx>
              <w:trPr>
                <w:trHeight w:val="454" w:hRule="atLeast"/>
                <w:jc w:val="center"/>
              </w:trPr>
              <w:tc>
                <w:tcPr>
                  <w:tcW w:w="916" w:type="pct"/>
                  <w:tcBorders>
                    <w:tl2br w:val="nil"/>
                    <w:tr2bl w:val="nil"/>
                  </w:tcBorders>
                  <w:vAlign w:val="center"/>
                </w:tcPr>
                <w:p w14:paraId="16A2D118">
                  <w:pPr>
                    <w:pStyle w:val="105"/>
                    <w:widowControl w:val="0"/>
                    <w:kinsoku/>
                    <w:autoSpaceDE/>
                    <w:autoSpaceDN/>
                    <w:adjustRightInd/>
                    <w:snapToGrid/>
                    <w:jc w:val="center"/>
                    <w:textAlignment w:val="auto"/>
                    <w:rPr>
                      <w:rFonts w:eastAsia="宋体"/>
                      <w:b/>
                      <w:bCs/>
                      <w:sz w:val="21"/>
                      <w:szCs w:val="21"/>
                      <w:u w:val="none"/>
                    </w:rPr>
                  </w:pPr>
                  <w:r>
                    <w:rPr>
                      <w:rFonts w:eastAsia="宋体"/>
                      <w:b/>
                      <w:bCs/>
                      <w:sz w:val="21"/>
                      <w:szCs w:val="21"/>
                      <w:u w:val="none"/>
                    </w:rPr>
                    <w:t>采样点位</w:t>
                  </w:r>
                </w:p>
              </w:tc>
              <w:tc>
                <w:tcPr>
                  <w:tcW w:w="844" w:type="pct"/>
                  <w:tcBorders>
                    <w:tl2br w:val="nil"/>
                    <w:tr2bl w:val="nil"/>
                  </w:tcBorders>
                  <w:vAlign w:val="center"/>
                </w:tcPr>
                <w:p w14:paraId="36513EE3">
                  <w:pPr>
                    <w:pStyle w:val="105"/>
                    <w:widowControl w:val="0"/>
                    <w:kinsoku/>
                    <w:autoSpaceDE/>
                    <w:autoSpaceDN/>
                    <w:adjustRightInd/>
                    <w:snapToGrid/>
                    <w:jc w:val="center"/>
                    <w:textAlignment w:val="auto"/>
                    <w:rPr>
                      <w:rFonts w:eastAsia="宋体"/>
                      <w:b/>
                      <w:bCs/>
                      <w:sz w:val="21"/>
                      <w:szCs w:val="21"/>
                      <w:u w:val="none"/>
                    </w:rPr>
                  </w:pPr>
                  <w:r>
                    <w:rPr>
                      <w:rFonts w:eastAsia="宋体"/>
                      <w:b/>
                      <w:bCs/>
                      <w:sz w:val="21"/>
                      <w:szCs w:val="21"/>
                      <w:u w:val="none"/>
                    </w:rPr>
                    <w:t>检测项目</w:t>
                  </w:r>
                </w:p>
              </w:tc>
              <w:tc>
                <w:tcPr>
                  <w:tcW w:w="750" w:type="pct"/>
                  <w:tcBorders>
                    <w:tl2br w:val="nil"/>
                    <w:tr2bl w:val="nil"/>
                  </w:tcBorders>
                  <w:vAlign w:val="center"/>
                </w:tcPr>
                <w:p w14:paraId="6EAEF616">
                  <w:pPr>
                    <w:pStyle w:val="105"/>
                    <w:widowControl w:val="0"/>
                    <w:kinsoku/>
                    <w:autoSpaceDE/>
                    <w:autoSpaceDN/>
                    <w:adjustRightInd/>
                    <w:snapToGrid/>
                    <w:jc w:val="center"/>
                    <w:textAlignment w:val="auto"/>
                    <w:rPr>
                      <w:rFonts w:hint="default" w:eastAsia="宋体"/>
                      <w:b/>
                      <w:bCs/>
                      <w:sz w:val="21"/>
                      <w:szCs w:val="21"/>
                      <w:u w:val="none"/>
                      <w:lang w:val="en-US" w:eastAsia="zh-CN"/>
                    </w:rPr>
                  </w:pPr>
                  <w:r>
                    <w:rPr>
                      <w:rFonts w:hint="eastAsia" w:eastAsia="宋体"/>
                      <w:b/>
                      <w:bCs/>
                      <w:sz w:val="21"/>
                      <w:szCs w:val="21"/>
                      <w:u w:val="none"/>
                      <w:lang w:val="en-US" w:eastAsia="zh-CN"/>
                    </w:rPr>
                    <w:t>监测日期</w:t>
                  </w:r>
                </w:p>
              </w:tc>
              <w:tc>
                <w:tcPr>
                  <w:tcW w:w="750" w:type="pct"/>
                  <w:tcBorders>
                    <w:tl2br w:val="nil"/>
                    <w:tr2bl w:val="nil"/>
                  </w:tcBorders>
                  <w:vAlign w:val="center"/>
                </w:tcPr>
                <w:p w14:paraId="0BDBE9C7">
                  <w:pPr>
                    <w:pStyle w:val="251"/>
                    <w:widowControl w:val="0"/>
                    <w:jc w:val="center"/>
                    <w:rPr>
                      <w:rFonts w:ascii="Times New Roman" w:hAnsi="Times New Roman" w:eastAsia="宋体" w:cs="Times New Roman"/>
                      <w:b/>
                      <w:bCs/>
                      <w:sz w:val="21"/>
                      <w:szCs w:val="21"/>
                      <w:u w:val="none"/>
                    </w:rPr>
                  </w:pPr>
                  <w:r>
                    <w:rPr>
                      <w:rFonts w:hint="eastAsia" w:ascii="Times New Roman" w:hAnsi="Times New Roman" w:eastAsia="宋体" w:cs="Times New Roman"/>
                      <w:b/>
                      <w:bCs/>
                      <w:sz w:val="21"/>
                      <w:szCs w:val="21"/>
                      <w:u w:val="none"/>
                    </w:rPr>
                    <w:t>监测结果</w:t>
                  </w:r>
                </w:p>
              </w:tc>
              <w:tc>
                <w:tcPr>
                  <w:tcW w:w="1062" w:type="pct"/>
                  <w:tcBorders>
                    <w:tl2br w:val="nil"/>
                    <w:tr2bl w:val="nil"/>
                  </w:tcBorders>
                  <w:vAlign w:val="center"/>
                </w:tcPr>
                <w:p w14:paraId="03863FA8">
                  <w:pPr>
                    <w:pStyle w:val="105"/>
                    <w:widowControl w:val="0"/>
                    <w:kinsoku/>
                    <w:autoSpaceDE/>
                    <w:autoSpaceDN/>
                    <w:adjustRightInd/>
                    <w:snapToGrid/>
                    <w:jc w:val="center"/>
                    <w:textAlignment w:val="auto"/>
                    <w:rPr>
                      <w:rFonts w:eastAsia="宋体"/>
                      <w:b/>
                      <w:bCs/>
                      <w:sz w:val="21"/>
                      <w:szCs w:val="21"/>
                      <w:u w:val="none"/>
                    </w:rPr>
                  </w:pPr>
                  <w:r>
                    <w:rPr>
                      <w:rFonts w:eastAsia="宋体"/>
                      <w:b/>
                      <w:bCs/>
                      <w:sz w:val="21"/>
                      <w:szCs w:val="21"/>
                      <w:u w:val="none"/>
                    </w:rPr>
                    <w:t>标准值（</w:t>
                  </w:r>
                  <w:r>
                    <w:rPr>
                      <w:rFonts w:hint="eastAsia" w:eastAsia="宋体"/>
                      <w:b/>
                      <w:bCs/>
                      <w:sz w:val="21"/>
                      <w:szCs w:val="21"/>
                      <w:u w:val="none"/>
                    </w:rPr>
                    <w:t>mg/cm</w:t>
                  </w:r>
                  <w:r>
                    <w:rPr>
                      <w:rFonts w:hint="eastAsia" w:eastAsia="宋体"/>
                      <w:b/>
                      <w:bCs/>
                      <w:sz w:val="21"/>
                      <w:szCs w:val="21"/>
                      <w:u w:val="none"/>
                      <w:vertAlign w:val="superscript"/>
                    </w:rPr>
                    <w:t>3</w:t>
                  </w:r>
                  <w:r>
                    <w:rPr>
                      <w:rFonts w:hint="eastAsia" w:eastAsia="宋体"/>
                      <w:b/>
                      <w:bCs/>
                      <w:sz w:val="21"/>
                      <w:szCs w:val="21"/>
                      <w:u w:val="none"/>
                    </w:rPr>
                    <w:t>）</w:t>
                  </w:r>
                </w:p>
              </w:tc>
              <w:tc>
                <w:tcPr>
                  <w:tcW w:w="675" w:type="pct"/>
                  <w:tcBorders>
                    <w:tl2br w:val="nil"/>
                    <w:tr2bl w:val="nil"/>
                  </w:tcBorders>
                  <w:vAlign w:val="center"/>
                </w:tcPr>
                <w:p w14:paraId="4FD80A6A">
                  <w:pPr>
                    <w:pStyle w:val="105"/>
                    <w:widowControl w:val="0"/>
                    <w:kinsoku/>
                    <w:autoSpaceDE/>
                    <w:autoSpaceDN/>
                    <w:adjustRightInd/>
                    <w:snapToGrid/>
                    <w:jc w:val="center"/>
                    <w:textAlignment w:val="auto"/>
                    <w:rPr>
                      <w:rFonts w:eastAsia="宋体"/>
                      <w:b/>
                      <w:bCs/>
                      <w:sz w:val="21"/>
                      <w:szCs w:val="21"/>
                      <w:u w:val="none"/>
                    </w:rPr>
                  </w:pPr>
                  <w:r>
                    <w:rPr>
                      <w:rFonts w:hint="eastAsia" w:eastAsia="宋体"/>
                      <w:b/>
                      <w:bCs/>
                      <w:sz w:val="21"/>
                      <w:szCs w:val="21"/>
                      <w:u w:val="none"/>
                    </w:rPr>
                    <w:t>最大标准指数</w:t>
                  </w:r>
                </w:p>
              </w:tc>
            </w:tr>
            <w:tr w14:paraId="5EF4F963">
              <w:tblPrEx>
                <w:tblBorders>
                  <w:top w:val="single" w:color="auto" w:sz="4" w:space="0"/>
                  <w:left w:val="single" w:color="auto" w:sz="4" w:space="0"/>
                  <w:bottom w:val="single" w:color="auto" w:sz="4" w:space="0"/>
                  <w:right w:val="single" w:color="auto" w:sz="4" w:space="0"/>
                  <w:insideH w:val="single" w:color="000000" w:sz="6" w:space="0"/>
                  <w:insideV w:val="single" w:color="000000" w:sz="4" w:space="0"/>
                </w:tblBorders>
                <w:tblCellMar>
                  <w:top w:w="0" w:type="dxa"/>
                  <w:left w:w="0" w:type="dxa"/>
                  <w:bottom w:w="0" w:type="dxa"/>
                  <w:right w:w="0" w:type="dxa"/>
                </w:tblCellMar>
              </w:tblPrEx>
              <w:trPr>
                <w:trHeight w:val="454" w:hRule="atLeast"/>
                <w:jc w:val="center"/>
              </w:trPr>
              <w:tc>
                <w:tcPr>
                  <w:tcW w:w="916" w:type="pct"/>
                  <w:tcBorders>
                    <w:tl2br w:val="nil"/>
                    <w:tr2bl w:val="nil"/>
                  </w:tcBorders>
                  <w:vAlign w:val="center"/>
                </w:tcPr>
                <w:p w14:paraId="2F7A28D5">
                  <w:pPr>
                    <w:widowControl w:val="0"/>
                    <w:kinsoku/>
                    <w:autoSpaceDE/>
                    <w:autoSpaceDN/>
                    <w:jc w:val="center"/>
                    <w:textAlignment w:val="auto"/>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rPr>
                    <w:t>G1</w:t>
                  </w:r>
                  <w:r>
                    <w:rPr>
                      <w:rFonts w:hint="eastAsia" w:ascii="Times New Roman" w:hAnsi="Times New Roman" w:eastAsia="宋体" w:cs="Times New Roman"/>
                      <w:color w:val="auto"/>
                      <w:sz w:val="21"/>
                      <w:szCs w:val="21"/>
                      <w:u w:val="none"/>
                    </w:rPr>
                    <w:t>西南侧220m处居民点</w:t>
                  </w:r>
                </w:p>
              </w:tc>
              <w:tc>
                <w:tcPr>
                  <w:tcW w:w="844" w:type="pct"/>
                  <w:tcBorders>
                    <w:tl2br w:val="nil"/>
                    <w:tr2bl w:val="nil"/>
                  </w:tcBorders>
                  <w:vAlign w:val="center"/>
                </w:tcPr>
                <w:p w14:paraId="2C963884">
                  <w:pPr>
                    <w:pStyle w:val="251"/>
                    <w:widowControl w:val="0"/>
                    <w:jc w:val="center"/>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TSP</w:t>
                  </w:r>
                </w:p>
              </w:tc>
              <w:tc>
                <w:tcPr>
                  <w:tcW w:w="750" w:type="pct"/>
                  <w:tcBorders>
                    <w:tl2br w:val="nil"/>
                    <w:tr2bl w:val="nil"/>
                  </w:tcBorders>
                  <w:vAlign w:val="center"/>
                </w:tcPr>
                <w:p w14:paraId="6623929E">
                  <w:pPr>
                    <w:pStyle w:val="251"/>
                    <w:widowControl w:val="0"/>
                    <w:jc w:val="center"/>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2026.2.25~3.3</w:t>
                  </w:r>
                </w:p>
              </w:tc>
              <w:tc>
                <w:tcPr>
                  <w:tcW w:w="750" w:type="pct"/>
                  <w:tcBorders>
                    <w:tl2br w:val="nil"/>
                    <w:tr2bl w:val="nil"/>
                  </w:tcBorders>
                  <w:vAlign w:val="center"/>
                </w:tcPr>
                <w:p w14:paraId="2D4EA240">
                  <w:pPr>
                    <w:pStyle w:val="251"/>
                    <w:widowControl w:val="0"/>
                    <w:jc w:val="center"/>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0.068~0.087</w:t>
                  </w:r>
                </w:p>
              </w:tc>
              <w:tc>
                <w:tcPr>
                  <w:tcW w:w="1062" w:type="pct"/>
                  <w:tcBorders>
                    <w:tl2br w:val="nil"/>
                    <w:tr2bl w:val="nil"/>
                  </w:tcBorders>
                  <w:vAlign w:val="center"/>
                </w:tcPr>
                <w:p w14:paraId="6BA0B849">
                  <w:pPr>
                    <w:pStyle w:val="251"/>
                    <w:widowControl w:val="0"/>
                    <w:jc w:val="center"/>
                    <w:rPr>
                      <w:rFonts w:hint="eastAsia" w:ascii="Times New Roman" w:hAnsi="Times New Roman" w:eastAsia="宋体" w:cs="Times New Roman"/>
                      <w:sz w:val="21"/>
                      <w:szCs w:val="21"/>
                      <w:u w:val="none"/>
                      <w:lang w:eastAsia="zh-CN"/>
                    </w:rPr>
                  </w:pPr>
                  <w:r>
                    <w:rPr>
                      <w:rFonts w:hint="eastAsia" w:ascii="Times New Roman" w:hAnsi="Times New Roman" w:eastAsia="宋体" w:cs="Times New Roman"/>
                      <w:sz w:val="21"/>
                      <w:szCs w:val="21"/>
                      <w:u w:val="none"/>
                    </w:rPr>
                    <w:t>0.</w:t>
                  </w:r>
                  <w:r>
                    <w:rPr>
                      <w:rFonts w:hint="eastAsia" w:ascii="Times New Roman" w:hAnsi="Times New Roman" w:eastAsia="宋体" w:cs="Times New Roman"/>
                      <w:sz w:val="21"/>
                      <w:szCs w:val="21"/>
                      <w:u w:val="none"/>
                      <w:lang w:val="en-US" w:eastAsia="zh-CN"/>
                    </w:rPr>
                    <w:t>3</w:t>
                  </w:r>
                </w:p>
              </w:tc>
              <w:tc>
                <w:tcPr>
                  <w:tcW w:w="675" w:type="pct"/>
                  <w:tcBorders>
                    <w:tl2br w:val="nil"/>
                    <w:tr2bl w:val="nil"/>
                  </w:tcBorders>
                  <w:vAlign w:val="center"/>
                </w:tcPr>
                <w:p w14:paraId="7495F220">
                  <w:pPr>
                    <w:pStyle w:val="105"/>
                    <w:widowControl w:val="0"/>
                    <w:kinsoku/>
                    <w:autoSpaceDE/>
                    <w:autoSpaceDN/>
                    <w:adjustRightInd/>
                    <w:snapToGrid/>
                    <w:jc w:val="center"/>
                    <w:textAlignment w:val="auto"/>
                    <w:rPr>
                      <w:rFonts w:hint="default" w:eastAsia="宋体"/>
                      <w:sz w:val="21"/>
                      <w:szCs w:val="21"/>
                      <w:u w:val="none"/>
                      <w:lang w:val="en-US" w:eastAsia="zh-CN"/>
                    </w:rPr>
                  </w:pPr>
                  <w:r>
                    <w:rPr>
                      <w:rFonts w:hint="eastAsia" w:eastAsia="宋体"/>
                      <w:sz w:val="21"/>
                      <w:szCs w:val="21"/>
                      <w:u w:val="none"/>
                      <w:lang w:val="en-US" w:eastAsia="zh-CN"/>
                    </w:rPr>
                    <w:t>0.29</w:t>
                  </w:r>
                </w:p>
              </w:tc>
            </w:tr>
          </w:tbl>
          <w:p w14:paraId="2E45D174">
            <w:pPr>
              <w:adjustRightInd w:val="0"/>
              <w:snapToGrid w:val="0"/>
              <w:spacing w:line="480" w:lineRule="exact"/>
              <w:ind w:firstLine="482" w:firstLineChars="200"/>
              <w:rPr>
                <w:b/>
                <w:color w:val="000000"/>
                <w:sz w:val="24"/>
              </w:rPr>
            </w:pPr>
            <w:r>
              <w:rPr>
                <w:rFonts w:hint="eastAsia"/>
                <w:b/>
                <w:color w:val="000000"/>
                <w:sz w:val="24"/>
              </w:rPr>
              <w:t>3、地表水环境质量现状</w:t>
            </w:r>
          </w:p>
          <w:p w14:paraId="4231EEE0">
            <w:pPr>
              <w:spacing w:line="360" w:lineRule="auto"/>
              <w:ind w:firstLine="504"/>
              <w:rPr>
                <w:rFonts w:hint="eastAsia" w:ascii="Times New Roman" w:hAnsi="Times New Roman" w:eastAsia="宋体" w:cs="Times New Roman"/>
                <w:color w:val="auto"/>
                <w:spacing w:val="0"/>
                <w:kern w:val="0"/>
                <w:sz w:val="24"/>
                <w:szCs w:val="24"/>
                <w:u w:val="none" w:color="auto"/>
                <w:lang w:val="en-US" w:eastAsia="zh-CN"/>
              </w:rPr>
            </w:pPr>
            <w:r>
              <w:rPr>
                <w:rFonts w:hint="eastAsia" w:ascii="Times New Roman" w:hAnsi="Times New Roman" w:eastAsia="宋体" w:cs="Times New Roman"/>
                <w:color w:val="auto"/>
                <w:spacing w:val="0"/>
                <w:kern w:val="0"/>
                <w:sz w:val="24"/>
                <w:szCs w:val="24"/>
                <w:u w:val="none" w:color="auto"/>
                <w:lang w:val="en-US" w:eastAsia="zh-CN"/>
              </w:rPr>
              <w:t>为进一步了解本项目所在河段地表水环境质量现状，本次评价委托湖南瑞鉴检测有限公司于2026年2月28日~3月2日对本项目上游100m和下游 500m处断面进行了水质监测，监测结果如下：</w:t>
            </w:r>
          </w:p>
          <w:p w14:paraId="3275206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b/>
                <w:bCs/>
                <w:color w:val="auto"/>
                <w:spacing w:val="0"/>
                <w:kern w:val="0"/>
                <w:sz w:val="21"/>
                <w:szCs w:val="21"/>
                <w:u w:val="none" w:color="auto"/>
                <w:lang w:val="en-US" w:eastAsia="zh-CN"/>
              </w:rPr>
            </w:pPr>
            <w:r>
              <w:rPr>
                <w:rFonts w:hint="eastAsia" w:ascii="Times New Roman" w:hAnsi="Times New Roman" w:eastAsia="宋体" w:cs="Times New Roman"/>
                <w:b/>
                <w:bCs/>
                <w:color w:val="auto"/>
                <w:spacing w:val="0"/>
                <w:kern w:val="0"/>
                <w:sz w:val="21"/>
                <w:szCs w:val="21"/>
                <w:u w:val="none" w:color="auto"/>
                <w:lang w:val="en-US" w:eastAsia="zh-CN"/>
              </w:rPr>
              <w:t>表</w:t>
            </w:r>
            <w:r>
              <w:rPr>
                <w:rFonts w:hint="eastAsia" w:cs="Times New Roman"/>
                <w:b/>
                <w:bCs/>
                <w:color w:val="auto"/>
                <w:spacing w:val="0"/>
                <w:kern w:val="0"/>
                <w:sz w:val="21"/>
                <w:szCs w:val="21"/>
                <w:u w:val="none" w:color="auto"/>
                <w:lang w:val="en-US" w:eastAsia="zh-CN"/>
              </w:rPr>
              <w:t>3-3</w:t>
            </w:r>
            <w:r>
              <w:rPr>
                <w:rFonts w:hint="eastAsia" w:ascii="Times New Roman" w:hAnsi="Times New Roman" w:eastAsia="宋体" w:cs="Times New Roman"/>
                <w:b/>
                <w:bCs/>
                <w:color w:val="auto"/>
                <w:spacing w:val="0"/>
                <w:kern w:val="0"/>
                <w:sz w:val="21"/>
                <w:szCs w:val="21"/>
                <w:u w:val="none" w:color="auto"/>
                <w:lang w:val="en-US" w:eastAsia="zh-CN"/>
              </w:rPr>
              <w:t xml:space="preserve"> 地表水监测结果表</w:t>
            </w:r>
          </w:p>
          <w:tbl>
            <w:tblPr>
              <w:tblStyle w:val="45"/>
              <w:tblW w:w="4862" w:type="pct"/>
              <w:tblInd w:w="2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2057"/>
              <w:gridCol w:w="1282"/>
              <w:gridCol w:w="1273"/>
              <w:gridCol w:w="1287"/>
              <w:gridCol w:w="817"/>
              <w:gridCol w:w="805"/>
            </w:tblGrid>
            <w:tr w14:paraId="02F74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rPr>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1BC3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监测点位</w:t>
                  </w:r>
                </w:p>
              </w:tc>
              <w:tc>
                <w:tcPr>
                  <w:tcW w:w="1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5904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检测因子</w:t>
                  </w:r>
                </w:p>
              </w:tc>
              <w:tc>
                <w:tcPr>
                  <w:tcW w:w="23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09DF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采样时间及检测结果</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B643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标准</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限值</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819F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达标</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情况</w:t>
                  </w:r>
                </w:p>
              </w:tc>
            </w:tr>
            <w:tr w14:paraId="2B1A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6B6A2">
                  <w:pPr>
                    <w:jc w:val="center"/>
                    <w:rPr>
                      <w:rFonts w:hint="eastAsia" w:ascii="Times New Roman" w:hAnsi="Times New Roman" w:eastAsia="宋体" w:cs="Times New Roman"/>
                      <w:i w:val="0"/>
                      <w:iCs w:val="0"/>
                      <w:color w:val="000000"/>
                      <w:sz w:val="21"/>
                      <w:szCs w:val="21"/>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5D94E">
                  <w:pPr>
                    <w:jc w:val="center"/>
                    <w:rPr>
                      <w:rFonts w:hint="eastAsia" w:ascii="Times New Roman" w:hAnsi="Times New Roman" w:eastAsia="宋体" w:cs="Times New Roman"/>
                      <w:i w:val="0"/>
                      <w:iCs w:val="0"/>
                      <w:color w:val="000000"/>
                      <w:sz w:val="21"/>
                      <w:szCs w:val="21"/>
                      <w:u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407CF">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bidi="ar"/>
                    </w:rPr>
                    <w:t>202</w:t>
                  </w:r>
                  <w:r>
                    <w:rPr>
                      <w:rFonts w:hint="eastAsia" w:ascii="Times New Roman" w:hAnsi="Times New Roman" w:eastAsia="宋体" w:cs="Times New Roman"/>
                      <w:i w:val="0"/>
                      <w:iCs w:val="0"/>
                      <w:color w:val="000000"/>
                      <w:kern w:val="0"/>
                      <w:sz w:val="21"/>
                      <w:szCs w:val="21"/>
                      <w:u w:val="none"/>
                      <w:lang w:val="en-US" w:eastAsia="zh-CN" w:bidi="ar"/>
                    </w:rPr>
                    <w:t>6.2.28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991DB">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bidi="ar"/>
                    </w:rPr>
                    <w:t>202</w:t>
                  </w:r>
                  <w:r>
                    <w:rPr>
                      <w:rFonts w:hint="eastAsia" w:ascii="Times New Roman" w:hAnsi="Times New Roman" w:eastAsia="宋体" w:cs="Times New Roman"/>
                      <w:i w:val="0"/>
                      <w:iCs w:val="0"/>
                      <w:color w:val="000000"/>
                      <w:kern w:val="0"/>
                      <w:sz w:val="21"/>
                      <w:szCs w:val="21"/>
                      <w:u w:val="none"/>
                      <w:lang w:val="en-US" w:eastAsia="zh-CN" w:bidi="ar"/>
                    </w:rPr>
                    <w:t>6.3.1</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0C10">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rPr>
                  </w:pPr>
                  <w:r>
                    <w:rPr>
                      <w:rFonts w:ascii="Times New Roman" w:hAnsi="Times New Roman" w:eastAsia="宋体" w:cs="Times New Roman"/>
                      <w:i w:val="0"/>
                      <w:iCs w:val="0"/>
                      <w:color w:val="000000"/>
                      <w:kern w:val="0"/>
                      <w:sz w:val="21"/>
                      <w:szCs w:val="21"/>
                      <w:u w:val="none"/>
                      <w:lang w:val="en-US" w:eastAsia="zh-CN" w:bidi="ar"/>
                    </w:rPr>
                    <w:t>202</w:t>
                  </w:r>
                  <w:r>
                    <w:rPr>
                      <w:rFonts w:hint="eastAsia" w:ascii="Times New Roman" w:hAnsi="Times New Roman" w:eastAsia="宋体" w:cs="Times New Roman"/>
                      <w:i w:val="0"/>
                      <w:iCs w:val="0"/>
                      <w:color w:val="000000"/>
                      <w:kern w:val="0"/>
                      <w:sz w:val="21"/>
                      <w:szCs w:val="21"/>
                      <w:u w:val="none"/>
                      <w:lang w:val="en-US" w:eastAsia="zh-CN" w:bidi="ar"/>
                    </w:rPr>
                    <w:t>6.3.2</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14B9E">
                  <w:pPr>
                    <w:jc w:val="center"/>
                    <w:rPr>
                      <w:rFonts w:hint="eastAsia" w:ascii="Times New Roman" w:hAnsi="Times New Roman" w:eastAsia="宋体" w:cs="Times New Roman"/>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86AD9">
                  <w:pPr>
                    <w:jc w:val="center"/>
                    <w:rPr>
                      <w:rFonts w:hint="eastAsia" w:ascii="Times New Roman" w:hAnsi="Times New Roman" w:eastAsia="宋体" w:cs="Times New Roman"/>
                      <w:i w:val="0"/>
                      <w:iCs w:val="0"/>
                      <w:color w:val="000000"/>
                      <w:sz w:val="21"/>
                      <w:szCs w:val="21"/>
                      <w:u w:val="none"/>
                    </w:rPr>
                  </w:pPr>
                </w:p>
              </w:tc>
            </w:tr>
            <w:tr w14:paraId="4542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restart"/>
                  <w:tcBorders>
                    <w:top w:val="single" w:color="000000" w:sz="4" w:space="0"/>
                    <w:left w:val="single" w:color="000000" w:sz="4" w:space="0"/>
                    <w:right w:val="single" w:color="000000" w:sz="4" w:space="0"/>
                  </w:tcBorders>
                  <w:shd w:val="clear" w:color="auto" w:fill="auto"/>
                  <w:vAlign w:val="center"/>
                </w:tcPr>
                <w:p w14:paraId="48F4C03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 xml:space="preserve">W 1 </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水闸</w:t>
                  </w:r>
                  <w:r>
                    <w:rPr>
                      <w:rFonts w:hint="eastAsia" w:ascii="Times New Roman" w:hAnsi="Times New Roman" w:eastAsia="宋体" w:cs="Times New Roman"/>
                      <w:i w:val="0"/>
                      <w:iCs w:val="0"/>
                      <w:color w:val="000000"/>
                      <w:kern w:val="0"/>
                      <w:sz w:val="21"/>
                      <w:szCs w:val="21"/>
                      <w:u w:val="none"/>
                      <w:lang w:val="en-US" w:eastAsia="zh-CN" w:bidi="ar"/>
                    </w:rPr>
                    <w:t>项目上</w:t>
                  </w:r>
                  <w:r>
                    <w:rPr>
                      <w:rFonts w:ascii="Times New Roman" w:hAnsi="Times New Roman" w:eastAsia="宋体" w:cs="Times New Roman"/>
                      <w:i w:val="0"/>
                      <w:iCs w:val="0"/>
                      <w:color w:val="000000"/>
                      <w:kern w:val="0"/>
                      <w:sz w:val="21"/>
                      <w:szCs w:val="21"/>
                      <w:u w:val="none"/>
                      <w:lang w:val="en-US" w:eastAsia="zh-CN" w:bidi="ar"/>
                    </w:rPr>
                    <w:t>游</w:t>
                  </w:r>
                  <w:r>
                    <w:rPr>
                      <w:rFonts w:ascii="Times New Roman" w:hAnsi="Times New Roman" w:eastAsia="宋体" w:cs="Times New Roman"/>
                      <w:i w:val="0"/>
                      <w:iCs w:val="0"/>
                      <w:color w:val="000000"/>
                      <w:kern w:val="0"/>
                      <w:sz w:val="21"/>
                      <w:szCs w:val="21"/>
                      <w:u w:val="none"/>
                      <w:lang w:val="en-US" w:eastAsia="zh-CN" w:bidi="ar"/>
                    </w:rPr>
                    <w:br w:type="textWrapping"/>
                  </w:r>
                  <w:r>
                    <w:rPr>
                      <w:rFonts w:hint="eastAsia" w:ascii="Times New Roman" w:hAnsi="Times New Roman" w:eastAsia="宋体" w:cs="Times New Roman"/>
                      <w:i w:val="0"/>
                      <w:iCs w:val="0"/>
                      <w:color w:val="000000"/>
                      <w:kern w:val="0"/>
                      <w:sz w:val="21"/>
                      <w:szCs w:val="21"/>
                      <w:u w:val="none"/>
                      <w:lang w:val="en-US" w:eastAsia="zh-CN" w:bidi="ar"/>
                    </w:rPr>
                    <w:t>1</w:t>
                  </w:r>
                  <w:r>
                    <w:rPr>
                      <w:rFonts w:ascii="Times New Roman" w:hAnsi="Times New Roman" w:eastAsia="宋体" w:cs="Times New Roman"/>
                      <w:i w:val="0"/>
                      <w:iCs w:val="0"/>
                      <w:color w:val="000000"/>
                      <w:kern w:val="0"/>
                      <w:sz w:val="21"/>
                      <w:szCs w:val="21"/>
                      <w:u w:val="none"/>
                      <w:lang w:val="en-US" w:eastAsia="zh-CN" w:bidi="ar"/>
                    </w:rPr>
                    <w:t>00m</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0E4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pH(无量纲)</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6D85">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7.2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794F7">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7.3</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83A8">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7.2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6A34F">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6-9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1BE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达标</w:t>
                  </w:r>
                </w:p>
              </w:tc>
            </w:tr>
            <w:tr w14:paraId="16EB5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7966133B">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B285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水温(℃)</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98054">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13.7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5146">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13.5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05EE5">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13.4</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862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F73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w:t>
                  </w:r>
                </w:p>
              </w:tc>
            </w:tr>
            <w:tr w14:paraId="075E7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3CFCD197">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990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高锰酸盐指数</w:t>
                  </w:r>
                  <w:r>
                    <w:rPr>
                      <w:rFonts w:ascii="Times New Roman" w:hAnsi="Times New Roman" w:eastAsia="宋体" w:cs="Times New Roman"/>
                      <w:i w:val="0"/>
                      <w:iCs w:val="0"/>
                      <w:color w:val="000000"/>
                      <w:kern w:val="0"/>
                      <w:sz w:val="21"/>
                      <w:szCs w:val="21"/>
                      <w:u w:val="none"/>
                      <w:lang w:val="en-US" w:eastAsia="zh-CN" w:bidi="ar"/>
                    </w:rPr>
                    <w:br w:type="textWrapping"/>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55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2.6</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E76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2.5</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12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2.6</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7849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FD17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达标</w:t>
                  </w:r>
                </w:p>
              </w:tc>
            </w:tr>
            <w:tr w14:paraId="40F8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22570B4E">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00DC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氨氮</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F27E7">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0.102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700C">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0.089</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627F">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0.124</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F058">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76D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达标</w:t>
                  </w:r>
                </w:p>
              </w:tc>
            </w:tr>
            <w:tr w14:paraId="57B51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19E8013F">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CB0F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化学需氧量</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16DC">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13</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0037">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11</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7AEB9">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23821">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20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A09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达标</w:t>
                  </w:r>
                </w:p>
              </w:tc>
            </w:tr>
            <w:tr w14:paraId="33C4D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53FD2EC2">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BFDC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五日生化需氧量</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23074">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3.3</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3EC2">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3.2</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DACDB">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3.4</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DF12">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4CB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达标</w:t>
                  </w:r>
                </w:p>
              </w:tc>
            </w:tr>
            <w:tr w14:paraId="0E0F0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0FEEBECB">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E7B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石油类</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3579E">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0.01L</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9673">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0.01L</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F0358">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0.01L</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4317">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0.05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1D4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达标</w:t>
                  </w:r>
                </w:p>
              </w:tc>
            </w:tr>
            <w:tr w14:paraId="1D46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302A7C8E">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6A3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总氮</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C49D">
                  <w:pPr>
                    <w:keepNext w:val="0"/>
                    <w:keepLines w:val="0"/>
                    <w:widowControl/>
                    <w:suppressLineNumbers w:val="0"/>
                    <w:jc w:val="center"/>
                    <w:textAlignment w:val="top"/>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0.82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8221D">
                  <w:pPr>
                    <w:keepNext w:val="0"/>
                    <w:keepLines w:val="0"/>
                    <w:widowControl/>
                    <w:suppressLineNumbers w:val="0"/>
                    <w:jc w:val="center"/>
                    <w:textAlignment w:val="top"/>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0.83</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0221">
                  <w:pPr>
                    <w:keepNext w:val="0"/>
                    <w:keepLines w:val="0"/>
                    <w:widowControl/>
                    <w:suppressLineNumbers w:val="0"/>
                    <w:jc w:val="center"/>
                    <w:textAlignment w:val="top"/>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0.82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31A1">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6F4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达标</w:t>
                  </w:r>
                </w:p>
              </w:tc>
            </w:tr>
            <w:tr w14:paraId="75065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25303485">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4776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总磷</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ED02">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0.03</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68419">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0.03</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D3555">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0A94">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0.2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ACA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达标</w:t>
                  </w:r>
                </w:p>
              </w:tc>
            </w:tr>
            <w:tr w14:paraId="15694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007FA7D6">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C8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溶解氧（</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9E9DF">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9.15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B3D9">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9.18</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F56B">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9.16</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9E5F">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98F4D">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79C9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673FF44C">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19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铜（</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7315D">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0.006L</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DFA4">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0.006L</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65FFA">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0.006L</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9EE24">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CBFC">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54FAE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1BED2A32">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7C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锌（</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B6B5E">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0.026</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82B66">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0.013</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D8C80">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0.006</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7D274">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4856">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47536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204BF5D6">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63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氟化物（</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6DB8">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0.44</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57C35">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0.36</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16349">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0.43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AADA">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D55A8">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4E2E1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308B8084">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703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硒（</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9B03">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0.00043</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CEEA">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0.00047</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96ED">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0.00041L</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755FC">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E3B5">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75877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70BB495C">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EE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砷（</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3D40">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0.00374</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3507">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0.00368</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9BEB7">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0.00366</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7A4C">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C7D90">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33301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6A7B9D8F">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613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汞（</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E366">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0.00004L</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40F5">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0.00004L</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CA2C">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0.00004L</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80D73">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0.0001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F5DE">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40A90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2A6D3CA6">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2B4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镉（</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F9AB">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0.00005L</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66A4">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0.00005L</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068F7">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0.00005L</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338F">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D6A74">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17494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6377E92F">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039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六价铬（</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BB847">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0.004L</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A349">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0.004L</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ACB2">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0.004L</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5B11">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145B9">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20736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6BF82AFB">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52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铅（</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BD66B">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0.00026</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E7409">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0.00023</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87A4">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0.00018</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FD527">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21AF">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127D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618BEE67">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30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氰化物（</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7371">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0.004L</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DB1D3">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0.004L</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BBB96">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0.004L</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9E6DD">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4240">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79F88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1620152C">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585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挥发酚（</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E9282">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0.0003L</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570A2">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0.0003L</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15A44">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0.0003L</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C0C7D">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A5319">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19A4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791A160C">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B3B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LAS（</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D4763">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0.05L</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9CDFC">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0.05L</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C683C">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0.05L</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6A4AE">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9902">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7D88D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left w:val="single" w:color="000000" w:sz="4" w:space="0"/>
                    <w:right w:val="single" w:color="000000" w:sz="4" w:space="0"/>
                  </w:tcBorders>
                  <w:shd w:val="clear" w:color="auto" w:fill="auto"/>
                  <w:vAlign w:val="center"/>
                </w:tcPr>
                <w:p w14:paraId="062F037B">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18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硫化物（</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A121">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0.01L</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9D5A">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0.01L</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D58F">
                  <w:pPr>
                    <w:keepNext w:val="0"/>
                    <w:keepLines w:val="0"/>
                    <w:widowControl/>
                    <w:suppressLineNumbers w:val="0"/>
                    <w:jc w:val="center"/>
                    <w:textAlignment w:val="top"/>
                    <w:rPr>
                      <w:rFonts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0.01L</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4CC2">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0B3B">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2959C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left w:val="single" w:color="000000" w:sz="4" w:space="0"/>
                    <w:bottom w:val="single" w:color="auto" w:sz="4" w:space="0"/>
                    <w:right w:val="single" w:color="000000" w:sz="4" w:space="0"/>
                  </w:tcBorders>
                  <w:shd w:val="clear" w:color="auto" w:fill="auto"/>
                  <w:vAlign w:val="center"/>
                </w:tcPr>
                <w:p w14:paraId="656DDA7F">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000000" w:sz="4" w:space="0"/>
                    <w:left w:val="single" w:color="000000" w:sz="4" w:space="0"/>
                    <w:bottom w:val="single" w:color="auto" w:sz="4" w:space="0"/>
                    <w:right w:val="single" w:color="000000" w:sz="4" w:space="0"/>
                  </w:tcBorders>
                  <w:shd w:val="clear" w:color="auto" w:fill="auto"/>
                  <w:vAlign w:val="center"/>
                </w:tcPr>
                <w:p w14:paraId="24DE34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粪大肠菌群（个</w:t>
                  </w:r>
                  <w:r>
                    <w:rPr>
                      <w:rFonts w:ascii="Times New Roman" w:hAnsi="Times New Roman" w:eastAsia="宋体" w:cs="Times New Roman"/>
                      <w:i w:val="0"/>
                      <w:iCs w:val="0"/>
                      <w:color w:val="000000"/>
                      <w:kern w:val="0"/>
                      <w:sz w:val="21"/>
                      <w:szCs w:val="21"/>
                      <w:u w:val="none"/>
                      <w:lang w:val="en-US" w:eastAsia="zh-CN" w:bidi="ar"/>
                    </w:rPr>
                    <w:t>/L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000000" w:sz="4" w:space="0"/>
                    <w:left w:val="single" w:color="000000" w:sz="4" w:space="0"/>
                    <w:bottom w:val="single" w:color="auto" w:sz="4" w:space="0"/>
                    <w:right w:val="single" w:color="000000" w:sz="4" w:space="0"/>
                  </w:tcBorders>
                  <w:shd w:val="clear" w:color="auto" w:fill="auto"/>
                  <w:vAlign w:val="center"/>
                </w:tcPr>
                <w:p w14:paraId="6690E062">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1300</w:t>
                  </w:r>
                </w:p>
              </w:tc>
              <w:tc>
                <w:tcPr>
                  <w:tcW w:w="767" w:type="pct"/>
                  <w:tcBorders>
                    <w:top w:val="single" w:color="000000" w:sz="4" w:space="0"/>
                    <w:left w:val="single" w:color="000000" w:sz="4" w:space="0"/>
                    <w:bottom w:val="single" w:color="auto" w:sz="4" w:space="0"/>
                    <w:right w:val="single" w:color="000000" w:sz="4" w:space="0"/>
                  </w:tcBorders>
                  <w:shd w:val="clear" w:color="auto" w:fill="auto"/>
                  <w:vAlign w:val="center"/>
                </w:tcPr>
                <w:p w14:paraId="064E7DF2">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1200</w:t>
                  </w:r>
                </w:p>
              </w:tc>
              <w:tc>
                <w:tcPr>
                  <w:tcW w:w="774" w:type="pct"/>
                  <w:tcBorders>
                    <w:top w:val="single" w:color="000000" w:sz="4" w:space="0"/>
                    <w:left w:val="single" w:color="000000" w:sz="4" w:space="0"/>
                    <w:bottom w:val="single" w:color="auto" w:sz="4" w:space="0"/>
                    <w:right w:val="single" w:color="000000" w:sz="4" w:space="0"/>
                  </w:tcBorders>
                  <w:shd w:val="clear" w:color="auto" w:fill="auto"/>
                  <w:vAlign w:val="center"/>
                </w:tcPr>
                <w:p w14:paraId="7C41A9A5">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1100</w:t>
                  </w:r>
                </w:p>
              </w:tc>
              <w:tc>
                <w:tcPr>
                  <w:tcW w:w="492" w:type="pct"/>
                  <w:tcBorders>
                    <w:top w:val="single" w:color="000000" w:sz="4" w:space="0"/>
                    <w:left w:val="single" w:color="000000" w:sz="4" w:space="0"/>
                    <w:bottom w:val="single" w:color="auto" w:sz="4" w:space="0"/>
                    <w:right w:val="single" w:color="000000" w:sz="4" w:space="0"/>
                  </w:tcBorders>
                  <w:shd w:val="clear" w:color="auto" w:fill="auto"/>
                  <w:vAlign w:val="center"/>
                </w:tcPr>
                <w:p w14:paraId="1814E805">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10000</w:t>
                  </w:r>
                </w:p>
              </w:tc>
              <w:tc>
                <w:tcPr>
                  <w:tcW w:w="485" w:type="pct"/>
                  <w:tcBorders>
                    <w:top w:val="single" w:color="000000" w:sz="4" w:space="0"/>
                    <w:left w:val="single" w:color="000000" w:sz="4" w:space="0"/>
                    <w:bottom w:val="single" w:color="auto" w:sz="4" w:space="0"/>
                    <w:right w:val="single" w:color="000000" w:sz="4" w:space="0"/>
                  </w:tcBorders>
                  <w:shd w:val="clear" w:color="auto" w:fill="auto"/>
                  <w:vAlign w:val="center"/>
                </w:tcPr>
                <w:p w14:paraId="6104713E">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39C4A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E4A539">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 xml:space="preserve">W </w:t>
                  </w:r>
                  <w:r>
                    <w:rPr>
                      <w:rFonts w:hint="eastAsia" w:ascii="Times New Roman" w:hAnsi="Times New Roman" w:eastAsia="宋体" w:cs="Times New Roman"/>
                      <w:i w:val="0"/>
                      <w:iCs w:val="0"/>
                      <w:color w:val="000000"/>
                      <w:kern w:val="0"/>
                      <w:sz w:val="21"/>
                      <w:szCs w:val="21"/>
                      <w:u w:val="none"/>
                      <w:lang w:val="en-US" w:eastAsia="zh-CN" w:bidi="ar"/>
                    </w:rPr>
                    <w:t>2</w:t>
                  </w:r>
                  <w:r>
                    <w:rPr>
                      <w:rFonts w:ascii="Times New Roman" w:hAnsi="Times New Roman" w:eastAsia="宋体" w:cs="Times New Roman"/>
                      <w:i w:val="0"/>
                      <w:iCs w:val="0"/>
                      <w:color w:val="000000"/>
                      <w:kern w:val="0"/>
                      <w:sz w:val="21"/>
                      <w:szCs w:val="21"/>
                      <w:u w:val="none"/>
                      <w:lang w:val="en-US" w:eastAsia="zh-CN" w:bidi="ar"/>
                    </w:rPr>
                    <w:t xml:space="preserve"> </w:t>
                  </w:r>
                  <w:r>
                    <w:rPr>
                      <w:rFonts w:ascii="Times New Roman" w:hAnsi="Times New Roman" w:eastAsia="宋体" w:cs="Times New Roman"/>
                      <w:i w:val="0"/>
                      <w:iCs w:val="0"/>
                      <w:color w:val="000000"/>
                      <w:kern w:val="0"/>
                      <w:sz w:val="21"/>
                      <w:szCs w:val="21"/>
                      <w:u w:val="none"/>
                      <w:lang w:val="en-US" w:eastAsia="zh-CN" w:bidi="ar"/>
                    </w:rPr>
                    <w:br w:type="textWrapping"/>
                  </w:r>
                  <w:r>
                    <w:rPr>
                      <w:rFonts w:ascii="Times New Roman" w:hAnsi="Times New Roman" w:eastAsia="宋体" w:cs="Times New Roman"/>
                      <w:i w:val="0"/>
                      <w:iCs w:val="0"/>
                      <w:color w:val="000000"/>
                      <w:kern w:val="0"/>
                      <w:sz w:val="21"/>
                      <w:szCs w:val="21"/>
                      <w:u w:val="none"/>
                      <w:lang w:val="en-US" w:eastAsia="zh-CN" w:bidi="ar"/>
                    </w:rPr>
                    <w:t>水闸</w:t>
                  </w:r>
                  <w:r>
                    <w:rPr>
                      <w:rFonts w:hint="eastAsia" w:ascii="Times New Roman" w:hAnsi="Times New Roman" w:eastAsia="宋体" w:cs="Times New Roman"/>
                      <w:i w:val="0"/>
                      <w:iCs w:val="0"/>
                      <w:color w:val="000000"/>
                      <w:kern w:val="0"/>
                      <w:sz w:val="21"/>
                      <w:szCs w:val="21"/>
                      <w:u w:val="none"/>
                      <w:lang w:val="en-US" w:eastAsia="zh-CN" w:bidi="ar"/>
                    </w:rPr>
                    <w:t>项目下</w:t>
                  </w:r>
                  <w:r>
                    <w:rPr>
                      <w:rFonts w:ascii="Times New Roman" w:hAnsi="Times New Roman" w:eastAsia="宋体" w:cs="Times New Roman"/>
                      <w:i w:val="0"/>
                      <w:iCs w:val="0"/>
                      <w:color w:val="000000"/>
                      <w:kern w:val="0"/>
                      <w:sz w:val="21"/>
                      <w:szCs w:val="21"/>
                      <w:u w:val="none"/>
                      <w:lang w:val="en-US" w:eastAsia="zh-CN" w:bidi="ar"/>
                    </w:rPr>
                    <w:t>游</w:t>
                  </w:r>
                  <w:r>
                    <w:rPr>
                      <w:rFonts w:ascii="Times New Roman" w:hAnsi="Times New Roman" w:eastAsia="宋体" w:cs="Times New Roman"/>
                      <w:i w:val="0"/>
                      <w:iCs w:val="0"/>
                      <w:color w:val="000000"/>
                      <w:kern w:val="0"/>
                      <w:sz w:val="21"/>
                      <w:szCs w:val="21"/>
                      <w:u w:val="none"/>
                      <w:lang w:val="en-US" w:eastAsia="zh-CN" w:bidi="ar"/>
                    </w:rPr>
                    <w:br w:type="textWrapping"/>
                  </w:r>
                  <w:r>
                    <w:rPr>
                      <w:rFonts w:hint="eastAsia" w:ascii="Times New Roman" w:hAnsi="Times New Roman" w:eastAsia="宋体" w:cs="Times New Roman"/>
                      <w:i w:val="0"/>
                      <w:iCs w:val="0"/>
                      <w:color w:val="000000"/>
                      <w:kern w:val="0"/>
                      <w:sz w:val="21"/>
                      <w:szCs w:val="21"/>
                      <w:u w:val="none"/>
                      <w:lang w:val="en-US" w:eastAsia="zh-CN" w:bidi="ar"/>
                    </w:rPr>
                    <w:t>5</w:t>
                  </w:r>
                  <w:r>
                    <w:rPr>
                      <w:rFonts w:ascii="Times New Roman" w:hAnsi="Times New Roman" w:eastAsia="宋体" w:cs="Times New Roman"/>
                      <w:i w:val="0"/>
                      <w:iCs w:val="0"/>
                      <w:color w:val="000000"/>
                      <w:kern w:val="0"/>
                      <w:sz w:val="21"/>
                      <w:szCs w:val="21"/>
                      <w:u w:val="none"/>
                      <w:lang w:val="en-US" w:eastAsia="zh-CN" w:bidi="ar"/>
                    </w:rPr>
                    <w:t>00m</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5B75B78E">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pH(无量纲)</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62E59715">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7.3</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0AA5B46D">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7.2</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2E233C83">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7.3</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1E1A2639">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6-9</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28C7DB2A">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达标</w:t>
                  </w:r>
                </w:p>
              </w:tc>
            </w:tr>
            <w:tr w14:paraId="3524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027D31">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6AE21405">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水温(℃)</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28E4C687">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12.3</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77DDFC25">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11.9</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05D0F650">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12.2</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6E6AE6ED">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0E46ACAC">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w:t>
                  </w:r>
                </w:p>
              </w:tc>
            </w:tr>
            <w:tr w14:paraId="3C9A1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96C51C">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2478F1C6">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高锰酸盐指数</w:t>
                  </w:r>
                  <w:r>
                    <w:rPr>
                      <w:rFonts w:ascii="Times New Roman" w:hAnsi="Times New Roman" w:eastAsia="宋体" w:cs="Times New Roman"/>
                      <w:i w:val="0"/>
                      <w:iCs w:val="0"/>
                      <w:color w:val="000000"/>
                      <w:kern w:val="0"/>
                      <w:sz w:val="21"/>
                      <w:szCs w:val="21"/>
                      <w:u w:val="none"/>
                      <w:lang w:val="en-US" w:eastAsia="zh-CN" w:bidi="ar"/>
                    </w:rPr>
                    <w:br w:type="textWrapping"/>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26B24EF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2.7</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775CB263">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2.7</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178F6E90">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2.7</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495EC788">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6</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67A3EB49">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达标</w:t>
                  </w:r>
                </w:p>
              </w:tc>
            </w:tr>
            <w:tr w14:paraId="07D88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4767B2">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531F4101">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氨氮</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37E77761">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0.142</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6B69F324">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0.149</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670295CA">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0.154</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7B8FE307">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1.0</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7F76482C">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达标</w:t>
                  </w:r>
                </w:p>
              </w:tc>
            </w:tr>
            <w:tr w14:paraId="7D44E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D45459">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2C107365">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化学需氧量</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113C30A0">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15</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50AEE406">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15</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372B365C">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15</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5EDCBFC5">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20</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77AFF3B1">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达标</w:t>
                  </w:r>
                </w:p>
              </w:tc>
            </w:tr>
            <w:tr w14:paraId="6F890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72844B">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303C8666">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五日生化需氧量</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40C1E85D">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3.5</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1A928939">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3.5</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3597F45E">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3.6</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62D87275">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4</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3808B123">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达标</w:t>
                  </w:r>
                </w:p>
              </w:tc>
            </w:tr>
            <w:tr w14:paraId="6C913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A074B4">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6A11A55E">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石油类</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65FD513F">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0.01L</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239065AF">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0.01L</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4E82F005">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0.01L</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66B68413">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0.05</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4E13C4EE">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达标</w:t>
                  </w:r>
                </w:p>
              </w:tc>
            </w:tr>
            <w:tr w14:paraId="47D01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34FAFA">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10F8DA64">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总氮</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45B8183A">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0.90</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63530214">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0.90</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05A594A2">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0.92</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04B1AA62">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1.0</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605B14BA">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达标</w:t>
                  </w:r>
                </w:p>
              </w:tc>
            </w:tr>
            <w:tr w14:paraId="45897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A061F4">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01A01D38">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总磷</w:t>
                  </w:r>
                  <w:r>
                    <w:rPr>
                      <w:rFonts w:hint="eastAsia" w:ascii="Times New Roman" w:hAnsi="Times New Roman" w:eastAsia="宋体" w:cs="Times New Roman"/>
                      <w:i w:val="0"/>
                      <w:iCs w:val="0"/>
                      <w:color w:val="000000"/>
                      <w:kern w:val="0"/>
                      <w:sz w:val="21"/>
                      <w:szCs w:val="21"/>
                      <w:u w:val="none"/>
                      <w:lang w:val="en-US" w:eastAsia="zh-CN" w:bidi="ar"/>
                    </w:rPr>
                    <w:t>（</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70B48969">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0.04</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422E67CB">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0.04</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1A4F283F">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0.04</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709DD689">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0.2</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2C6BF360">
                  <w:pPr>
                    <w:keepNext w:val="0"/>
                    <w:keepLines w:val="0"/>
                    <w:widowControl/>
                    <w:suppressLineNumbers w:val="0"/>
                    <w:jc w:val="center"/>
                    <w:textAlignment w:val="center"/>
                    <w:rPr>
                      <w:rFonts w:ascii="Times New Roman" w:hAnsi="Times New Roman" w:eastAsia="宋体" w:cs="Times New Roman"/>
                      <w:i w:val="0"/>
                      <w:iCs w:val="0"/>
                      <w:color w:val="000000"/>
                      <w:kern w:val="2"/>
                      <w:sz w:val="21"/>
                      <w:szCs w:val="21"/>
                      <w:u w:val="none"/>
                      <w:lang w:val="en-US" w:eastAsia="zh-CN" w:bidi="ar-SA"/>
                    </w:rPr>
                  </w:pPr>
                  <w:r>
                    <w:rPr>
                      <w:rFonts w:ascii="Times New Roman" w:hAnsi="Times New Roman" w:eastAsia="宋体" w:cs="Times New Roman"/>
                      <w:i w:val="0"/>
                      <w:iCs w:val="0"/>
                      <w:color w:val="000000"/>
                      <w:kern w:val="0"/>
                      <w:sz w:val="21"/>
                      <w:szCs w:val="21"/>
                      <w:u w:val="none"/>
                      <w:lang w:val="en-US" w:eastAsia="zh-CN" w:bidi="ar"/>
                    </w:rPr>
                    <w:t>达标</w:t>
                  </w:r>
                </w:p>
              </w:tc>
            </w:tr>
            <w:tr w14:paraId="18547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5291E7">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28A660A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溶解氧（</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4B282FD1">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8.45</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32CCD62B">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8.51</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57582387">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8.50</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7EBFD42B">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&gt;5</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2AB43F3B">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490E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77DB60">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7FAE596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铜（</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13F2488E">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0.006L</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4D9A8282">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0.006L</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31B485A7">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0.006L</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62A06D5A">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672FE307">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6BDC3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CC8214">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2D1B2D1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锌（</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28A0E2E7">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0.031</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2B531C7A">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0.004L</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20EB1B41">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0.017</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11FFBA39">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7996344E">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0CDC3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A8E424">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44898A6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氟化物（</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5A47D003">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0.79</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212D24C4">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0.69</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7650EA82">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0.68</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2AA88030">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19EFEF73">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0188E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061E7">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63C3E8D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硒（</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47D7981F">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0.00041L</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282D326A">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0.00041L</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5DF73C0B">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0.00048</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1E9D75A4">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0.01</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1F3A1A7B">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6232D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22840B">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7BAAC82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砷（</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2AB684FC">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0.00378</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58C80250">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0.00468</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742E6C9D">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0.00519</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03AC2B51">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0.05</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4A5106B0">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00A1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EEF9B7">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67D0D0D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汞（</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05292ECC">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0.00004L</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669586BB">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0.00004L</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70E90011">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0.00004L</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43B17D9F">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0.0001</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33977C1F">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5AC7C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ABAA62">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2DF3FEA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镉（</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10B3A076">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0.00005L</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4FB35355">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0.00005L</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0844FD20">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0.00005L</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56DE6125">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0.005</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7CCB1A91">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20D16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235E7D">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5FBBAAC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六价铬（</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36702383">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0.004L</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3924FC13">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0.004L</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0F7B67C7">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0.004L</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41F54757">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0.05</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3AF54E96">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6C02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44CF52">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5A95170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铅（</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2874EA02">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0.00016</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779B4388">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0.00015</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725A58E8">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0.00013</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2D680C48">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0.05</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500A4D54">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76A14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60EB11">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0EFED06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氰化物（</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40E8A95A">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0.004L</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397A0FD0">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0.004L</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27ECF22C">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0.004L</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464AF656">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0.2</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64C967DE">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65BF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580B0">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155D832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挥发酚（</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5FE87EFC">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0.0003L</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239654CC">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0.0003L</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4276D360">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0.0003L</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48F8B7EA">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0.005</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304238F9">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03A9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83C49B">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740D541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LAS（</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057A5CAA">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0.05L</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0B7F179E">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0.05L</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46FD142C">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0.05L</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20AFEF2C">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0.2</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003C2106">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1FD2B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7A6718">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4D82EE5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硫化物（</w:t>
                  </w:r>
                  <w:r>
                    <w:rPr>
                      <w:rFonts w:ascii="Times New Roman" w:hAnsi="Times New Roman" w:eastAsia="宋体" w:cs="Times New Roman"/>
                      <w:i w:val="0"/>
                      <w:iCs w:val="0"/>
                      <w:color w:val="000000"/>
                      <w:kern w:val="0"/>
                      <w:sz w:val="21"/>
                      <w:szCs w:val="21"/>
                      <w:u w:val="none"/>
                      <w:lang w:val="en-US" w:eastAsia="zh-CN" w:bidi="ar"/>
                    </w:rPr>
                    <w:t>mg/L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66C5691C">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0.01L</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37034A1A">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0.01L</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62B7CA53">
                  <w:pPr>
                    <w:keepNext w:val="0"/>
                    <w:keepLines w:val="0"/>
                    <w:widowControl/>
                    <w:suppressLineNumbers w:val="0"/>
                    <w:jc w:val="center"/>
                    <w:textAlignment w:val="top"/>
                    <w:rPr>
                      <w:rFonts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0.01L</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7DF9E3F3">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0.2</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58CD805E">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r w14:paraId="77B06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26E851">
                  <w:pPr>
                    <w:jc w:val="center"/>
                    <w:rPr>
                      <w:rFonts w:hint="eastAsia" w:ascii="Times New Roman" w:hAnsi="Times New Roman" w:eastAsia="宋体" w:cs="Times New Roman"/>
                      <w:i w:val="0"/>
                      <w:iCs w:val="0"/>
                      <w:color w:val="000000"/>
                      <w:sz w:val="21"/>
                      <w:szCs w:val="21"/>
                      <w:u w:val="none"/>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3D189D1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粪大肠菌群（个</w:t>
                  </w:r>
                  <w:r>
                    <w:rPr>
                      <w:rFonts w:ascii="Times New Roman" w:hAnsi="Times New Roman" w:eastAsia="宋体" w:cs="Times New Roman"/>
                      <w:i w:val="0"/>
                      <w:iCs w:val="0"/>
                      <w:color w:val="000000"/>
                      <w:kern w:val="0"/>
                      <w:sz w:val="21"/>
                      <w:szCs w:val="21"/>
                      <w:u w:val="none"/>
                      <w:lang w:val="en-US" w:eastAsia="zh-CN" w:bidi="ar"/>
                    </w:rPr>
                    <w:t>/L</w:t>
                  </w:r>
                  <w:r>
                    <w:rPr>
                      <w:rFonts w:hint="eastAsia" w:ascii="Times New Roman" w:hAnsi="Times New Roman" w:eastAsia="宋体" w:cs="Times New Roman"/>
                      <w:i w:val="0"/>
                      <w:iCs w:val="0"/>
                      <w:color w:val="000000"/>
                      <w:kern w:val="0"/>
                      <w:sz w:val="21"/>
                      <w:szCs w:val="21"/>
                      <w:u w:val="none"/>
                      <w:lang w:val="en-US" w:eastAsia="zh-CN" w:bidi="ar"/>
                    </w:rPr>
                    <w:t>）</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254F65B0">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1100</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09506B3E">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1400</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38E89611">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1500</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43A07D01">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10000</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4433874E">
                  <w:pPr>
                    <w:keepNext w:val="0"/>
                    <w:keepLines w:val="0"/>
                    <w:widowControl/>
                    <w:suppressLineNumbers w:val="0"/>
                    <w:jc w:val="center"/>
                    <w:textAlignment w:val="center"/>
                    <w:rPr>
                      <w:rFonts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i w:val="0"/>
                      <w:iCs w:val="0"/>
                      <w:color w:val="000000"/>
                      <w:kern w:val="0"/>
                      <w:sz w:val="21"/>
                      <w:szCs w:val="21"/>
                      <w:u w:val="none"/>
                      <w:lang w:val="en-US" w:eastAsia="zh-CN" w:bidi="ar"/>
                    </w:rPr>
                    <w:t>达标</w:t>
                  </w:r>
                </w:p>
              </w:tc>
            </w:tr>
          </w:tbl>
          <w:p w14:paraId="5EC184B6">
            <w:pPr>
              <w:spacing w:line="480" w:lineRule="exact"/>
              <w:ind w:firstLine="524" w:firstLineChars="200"/>
              <w:rPr>
                <w:rFonts w:hint="eastAsia"/>
                <w:sz w:val="24"/>
              </w:rPr>
            </w:pPr>
            <w:r>
              <w:rPr>
                <w:rFonts w:hint="eastAsia" w:ascii="Times New Roman" w:hAnsi="Times New Roman" w:eastAsia="宋体" w:cs="Times New Roman"/>
                <w:b w:val="0"/>
                <w:bCs w:val="0"/>
                <w:snapToGrid w:val="0"/>
                <w:color w:val="000000"/>
                <w:spacing w:val="11"/>
                <w:kern w:val="0"/>
                <w:sz w:val="24"/>
                <w:szCs w:val="24"/>
                <w:u w:val="none"/>
                <w:lang w:val="en-US" w:eastAsia="zh-CN"/>
              </w:rPr>
              <w:t>根据上表监测结果可知，地表水水质满足《地表水环境质量标准》（GB3838-2002）Ⅲ类标准标准限值</w:t>
            </w:r>
            <w:r>
              <w:rPr>
                <w:rStyle w:val="68"/>
                <w:rFonts w:hint="eastAsia" w:ascii="Times New Roman" w:hAnsi="Times New Roman" w:eastAsia="宋体" w:cs="Times New Roman"/>
                <w:color w:val="000000"/>
                <w:lang w:val="en-US" w:eastAsia="zh-CN"/>
              </w:rPr>
              <w:t>。</w:t>
            </w:r>
          </w:p>
          <w:p w14:paraId="776B7DF4">
            <w:pPr>
              <w:spacing w:line="480" w:lineRule="exact"/>
              <w:ind w:firstLine="482" w:firstLineChars="200"/>
              <w:rPr>
                <w:b/>
                <w:sz w:val="24"/>
              </w:rPr>
            </w:pPr>
            <w:r>
              <w:rPr>
                <w:rFonts w:hint="eastAsia"/>
                <w:b/>
                <w:sz w:val="24"/>
              </w:rPr>
              <w:t>4、声环境质量现状</w:t>
            </w:r>
          </w:p>
          <w:p w14:paraId="3CF054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sz w:val="24"/>
                <w:szCs w:val="22"/>
              </w:rPr>
            </w:pPr>
            <w:r>
              <w:rPr>
                <w:rFonts w:hint="eastAsia" w:ascii="Times New Roman" w:hAnsi="Times New Roman" w:cs="Times New Roman"/>
                <w:color w:val="000000"/>
                <w:sz w:val="24"/>
                <w:highlight w:val="none"/>
                <w:u w:val="none" w:color="auto"/>
                <w:lang w:eastAsia="zh-CN"/>
              </w:rPr>
              <w:t>本次评价委托</w:t>
            </w:r>
            <w:r>
              <w:rPr>
                <w:rFonts w:hint="eastAsia" w:ascii="Times New Roman" w:hAnsi="Times New Roman" w:eastAsia="宋体" w:cs="Times New Roman"/>
                <w:bCs/>
                <w:color w:val="auto"/>
                <w:sz w:val="24"/>
                <w:highlight w:val="none"/>
                <w:lang w:val="en-US" w:eastAsia="zh-CN"/>
              </w:rPr>
              <w:t>湖南</w:t>
            </w:r>
            <w:r>
              <w:rPr>
                <w:rFonts w:hint="eastAsia" w:cs="Times New Roman"/>
                <w:bCs/>
                <w:color w:val="auto"/>
                <w:sz w:val="24"/>
                <w:highlight w:val="none"/>
                <w:lang w:val="en-US" w:eastAsia="zh-CN"/>
              </w:rPr>
              <w:t>瑞鉴</w:t>
            </w:r>
            <w:r>
              <w:rPr>
                <w:rFonts w:hint="eastAsia" w:ascii="Times New Roman" w:hAnsi="Times New Roman" w:eastAsia="宋体" w:cs="Times New Roman"/>
                <w:bCs/>
                <w:color w:val="auto"/>
                <w:sz w:val="24"/>
                <w:highlight w:val="none"/>
                <w:lang w:val="en-US" w:eastAsia="zh-CN"/>
              </w:rPr>
              <w:t>检测有限公司</w:t>
            </w:r>
            <w:r>
              <w:rPr>
                <w:rFonts w:hint="eastAsia" w:ascii="Times New Roman" w:hAnsi="Times New Roman" w:eastAsia="宋体" w:cs="Times New Roman"/>
                <w:bCs/>
                <w:color w:val="000000"/>
                <w:sz w:val="24"/>
                <w:highlight w:val="none"/>
                <w:lang w:val="en-US" w:eastAsia="zh-CN"/>
              </w:rPr>
              <w:t>于202</w:t>
            </w:r>
            <w:r>
              <w:rPr>
                <w:rFonts w:hint="eastAsia" w:cs="Times New Roman"/>
                <w:bCs/>
                <w:color w:val="000000"/>
                <w:sz w:val="24"/>
                <w:highlight w:val="none"/>
                <w:lang w:val="en-US" w:eastAsia="zh-CN"/>
              </w:rPr>
              <w:t>6</w:t>
            </w:r>
            <w:r>
              <w:rPr>
                <w:rFonts w:hint="default" w:ascii="Times New Roman" w:hAnsi="Times New Roman" w:eastAsia="宋体" w:cs="Times New Roman"/>
                <w:bCs/>
                <w:color w:val="auto"/>
                <w:sz w:val="24"/>
                <w:highlight w:val="none"/>
                <w:lang w:val="en-US" w:eastAsia="zh-CN"/>
              </w:rPr>
              <w:t>年</w:t>
            </w:r>
            <w:r>
              <w:rPr>
                <w:rFonts w:hint="eastAsia" w:cs="Times New Roman"/>
                <w:bCs/>
                <w:color w:val="auto"/>
                <w:sz w:val="24"/>
                <w:highlight w:val="none"/>
                <w:lang w:val="en-US" w:eastAsia="zh-CN"/>
              </w:rPr>
              <w:t>2</w:t>
            </w:r>
            <w:r>
              <w:rPr>
                <w:rFonts w:hint="default" w:ascii="Times New Roman" w:hAnsi="Times New Roman" w:eastAsia="宋体" w:cs="Times New Roman"/>
                <w:bCs/>
                <w:color w:val="auto"/>
                <w:sz w:val="24"/>
                <w:highlight w:val="none"/>
                <w:lang w:val="en-US" w:eastAsia="zh-CN"/>
              </w:rPr>
              <w:t>月</w:t>
            </w:r>
            <w:r>
              <w:rPr>
                <w:rFonts w:hint="eastAsia" w:cs="Times New Roman"/>
                <w:bCs/>
                <w:color w:val="auto"/>
                <w:sz w:val="24"/>
                <w:highlight w:val="none"/>
                <w:lang w:val="en-US" w:eastAsia="zh-CN"/>
              </w:rPr>
              <w:t>25~26</w:t>
            </w:r>
            <w:r>
              <w:rPr>
                <w:rFonts w:hint="default" w:ascii="Times New Roman" w:hAnsi="Times New Roman" w:eastAsia="宋体" w:cs="Times New Roman"/>
                <w:bCs/>
                <w:color w:val="000000"/>
                <w:sz w:val="24"/>
                <w:highlight w:val="none"/>
                <w:lang w:val="en-US" w:eastAsia="zh-CN"/>
              </w:rPr>
              <w:t>日</w:t>
            </w:r>
            <w:r>
              <w:rPr>
                <w:rFonts w:hint="default" w:ascii="Times New Roman" w:hAnsi="Times New Roman" w:cs="Times New Roman"/>
                <w:color w:val="000000"/>
                <w:sz w:val="24"/>
                <w:szCs w:val="22"/>
              </w:rPr>
              <w:t>分别于昼间、夜间</w:t>
            </w:r>
            <w:r>
              <w:rPr>
                <w:rFonts w:hint="eastAsia" w:cs="Times New Roman"/>
                <w:color w:val="000000"/>
                <w:sz w:val="24"/>
                <w:szCs w:val="22"/>
                <w:lang w:val="en-US" w:eastAsia="zh-CN"/>
              </w:rPr>
              <w:t>选取</w:t>
            </w:r>
            <w:r>
              <w:rPr>
                <w:rFonts w:hint="default" w:ascii="Times New Roman" w:hAnsi="Times New Roman" w:cs="Times New Roman"/>
                <w:color w:val="000000"/>
                <w:sz w:val="24"/>
                <w:szCs w:val="22"/>
              </w:rPr>
              <w:t>项目场界</w:t>
            </w:r>
            <w:r>
              <w:rPr>
                <w:rFonts w:hint="default" w:ascii="Times New Roman" w:hAnsi="Times New Roman" w:cs="Times New Roman"/>
                <w:color w:val="000000"/>
                <w:sz w:val="24"/>
                <w:szCs w:val="22"/>
                <w:lang w:val="en-US" w:eastAsia="zh-CN"/>
              </w:rPr>
              <w:t>周边</w:t>
            </w:r>
            <w:r>
              <w:rPr>
                <w:rFonts w:hint="eastAsia" w:cs="Times New Roman"/>
                <w:color w:val="000000"/>
                <w:sz w:val="24"/>
                <w:szCs w:val="22"/>
                <w:lang w:val="en-US" w:eastAsia="zh-CN"/>
              </w:rPr>
              <w:t>代表性</w:t>
            </w:r>
            <w:r>
              <w:rPr>
                <w:rFonts w:hint="default" w:ascii="Times New Roman" w:hAnsi="Times New Roman" w:cs="Times New Roman"/>
                <w:color w:val="000000"/>
                <w:sz w:val="24"/>
                <w:szCs w:val="22"/>
                <w:lang w:val="en-US" w:eastAsia="zh-CN"/>
              </w:rPr>
              <w:t>声环境保护目标</w:t>
            </w:r>
            <w:r>
              <w:rPr>
                <w:rFonts w:hint="default" w:ascii="Times New Roman" w:hAnsi="Times New Roman" w:cs="Times New Roman"/>
                <w:color w:val="000000"/>
                <w:sz w:val="24"/>
                <w:szCs w:val="22"/>
              </w:rPr>
              <w:t>进行了声环境现状监测，各监测点环境噪声监测统计与评价结果见表3-</w:t>
            </w:r>
            <w:r>
              <w:rPr>
                <w:rFonts w:hint="eastAsia" w:cs="Times New Roman"/>
                <w:color w:val="000000"/>
                <w:sz w:val="24"/>
                <w:szCs w:val="22"/>
                <w:lang w:val="en-US" w:eastAsia="zh-CN"/>
              </w:rPr>
              <w:t>4</w:t>
            </w:r>
            <w:r>
              <w:rPr>
                <w:rFonts w:hint="default" w:ascii="Times New Roman" w:hAnsi="Times New Roman" w:cs="Times New Roman"/>
                <w:color w:val="000000"/>
                <w:sz w:val="24"/>
                <w:szCs w:val="22"/>
              </w:rPr>
              <w:t>。</w:t>
            </w:r>
          </w:p>
          <w:p w14:paraId="5D35399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b/>
                <w:bCs/>
                <w:color w:val="auto"/>
                <w:szCs w:val="21"/>
                <w:highlight w:val="none"/>
                <w:u w:val="none" w:color="auto"/>
              </w:rPr>
            </w:pPr>
            <w:r>
              <w:rPr>
                <w:rFonts w:hint="eastAsia"/>
                <w:b/>
              </w:rPr>
              <w:t>表3-</w:t>
            </w:r>
            <w:r>
              <w:rPr>
                <w:rFonts w:hint="eastAsia"/>
                <w:b/>
                <w:lang w:val="en-US" w:eastAsia="zh-CN"/>
              </w:rPr>
              <w:t xml:space="preserve">4 </w:t>
            </w:r>
            <w:r>
              <w:rPr>
                <w:rFonts w:hint="eastAsia"/>
                <w:b/>
              </w:rPr>
              <w:t xml:space="preserve"> 项目噪声现状监测结果 单位：Leq dB(A)</w:t>
            </w:r>
          </w:p>
          <w:tbl>
            <w:tblPr>
              <w:tblStyle w:val="45"/>
              <w:tblpPr w:leftFromText="180" w:rightFromText="180" w:vertAnchor="text" w:horzAnchor="margin" w:tblpXSpec="center" w:tblpY="44"/>
              <w:tblOverlap w:val="never"/>
              <w:tblW w:w="4998" w:type="pct"/>
              <w:tblInd w:w="0"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653"/>
              <w:gridCol w:w="1643"/>
              <w:gridCol w:w="1312"/>
              <w:gridCol w:w="1228"/>
              <w:gridCol w:w="1230"/>
              <w:gridCol w:w="1228"/>
              <w:gridCol w:w="1235"/>
            </w:tblGrid>
            <w:tr w14:paraId="59F34663">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11" w:hRule="atLeast"/>
              </w:trPr>
              <w:tc>
                <w:tcPr>
                  <w:tcW w:w="383" w:type="pct"/>
                  <w:vMerge w:val="restart"/>
                  <w:tcBorders>
                    <w:top w:val="single" w:color="auto" w:sz="4" w:space="0"/>
                    <w:left w:val="single" w:color="auto" w:sz="4" w:space="0"/>
                    <w:right w:val="single" w:color="auto" w:sz="4" w:space="0"/>
                  </w:tcBorders>
                  <w:vAlign w:val="center"/>
                </w:tcPr>
                <w:p w14:paraId="59C3E65E">
                  <w:pPr>
                    <w:tabs>
                      <w:tab w:val="left" w:pos="6030"/>
                    </w:tabs>
                    <w:jc w:val="center"/>
                    <w:rPr>
                      <w:rFonts w:ascii="Times New Roman" w:hAnsi="Times New Roman"/>
                      <w:color w:val="auto"/>
                      <w:sz w:val="21"/>
                      <w:szCs w:val="21"/>
                      <w:u w:val="none"/>
                    </w:rPr>
                  </w:pPr>
                  <w:r>
                    <w:rPr>
                      <w:rFonts w:ascii="Times New Roman" w:hAnsi="Times New Roman"/>
                      <w:color w:val="auto"/>
                      <w:sz w:val="21"/>
                      <w:szCs w:val="21"/>
                      <w:u w:val="none"/>
                    </w:rPr>
                    <w:t>测点编号</w:t>
                  </w:r>
                </w:p>
              </w:tc>
              <w:tc>
                <w:tcPr>
                  <w:tcW w:w="963" w:type="pct"/>
                  <w:vMerge w:val="restart"/>
                  <w:tcBorders>
                    <w:top w:val="single" w:color="auto" w:sz="4" w:space="0"/>
                    <w:left w:val="single" w:color="auto" w:sz="4" w:space="0"/>
                    <w:right w:val="single" w:color="auto" w:sz="4" w:space="0"/>
                  </w:tcBorders>
                  <w:vAlign w:val="center"/>
                </w:tcPr>
                <w:p w14:paraId="1CAFCF85">
                  <w:pPr>
                    <w:tabs>
                      <w:tab w:val="left" w:pos="6030"/>
                    </w:tabs>
                    <w:jc w:val="center"/>
                    <w:rPr>
                      <w:rFonts w:ascii="Times New Roman" w:hAnsi="Times New Roman"/>
                      <w:color w:val="auto"/>
                      <w:sz w:val="21"/>
                      <w:szCs w:val="21"/>
                      <w:u w:val="none"/>
                    </w:rPr>
                  </w:pPr>
                  <w:r>
                    <w:rPr>
                      <w:rFonts w:ascii="Times New Roman" w:hAnsi="Times New Roman"/>
                      <w:color w:val="auto"/>
                      <w:sz w:val="21"/>
                      <w:szCs w:val="21"/>
                      <w:u w:val="none"/>
                    </w:rPr>
                    <w:t>检测点位置</w:t>
                  </w:r>
                </w:p>
              </w:tc>
              <w:tc>
                <w:tcPr>
                  <w:tcW w:w="768" w:type="pct"/>
                  <w:vMerge w:val="restart"/>
                  <w:tcBorders>
                    <w:top w:val="single" w:color="auto" w:sz="4" w:space="0"/>
                    <w:left w:val="single" w:color="auto" w:sz="4" w:space="0"/>
                    <w:right w:val="single" w:color="auto" w:sz="4" w:space="0"/>
                  </w:tcBorders>
                  <w:vAlign w:val="center"/>
                </w:tcPr>
                <w:p w14:paraId="6D4BBB2F">
                  <w:pPr>
                    <w:tabs>
                      <w:tab w:val="left" w:pos="6030"/>
                    </w:tabs>
                    <w:jc w:val="center"/>
                    <w:rPr>
                      <w:rFonts w:ascii="Times New Roman" w:hAnsi="Times New Roman"/>
                      <w:color w:val="auto"/>
                      <w:sz w:val="21"/>
                      <w:szCs w:val="21"/>
                      <w:u w:val="none"/>
                    </w:rPr>
                  </w:pPr>
                  <w:r>
                    <w:rPr>
                      <w:rFonts w:ascii="Times New Roman" w:hAnsi="Times New Roman"/>
                      <w:color w:val="auto"/>
                      <w:sz w:val="21"/>
                      <w:szCs w:val="21"/>
                      <w:u w:val="none"/>
                    </w:rPr>
                    <w:t>主要声源</w:t>
                  </w:r>
                </w:p>
              </w:tc>
              <w:tc>
                <w:tcPr>
                  <w:tcW w:w="2884" w:type="pct"/>
                  <w:gridSpan w:val="4"/>
                  <w:tcBorders>
                    <w:top w:val="single" w:color="auto" w:sz="4" w:space="0"/>
                    <w:left w:val="single" w:color="auto" w:sz="4" w:space="0"/>
                    <w:bottom w:val="single" w:color="auto" w:sz="4" w:space="0"/>
                    <w:right w:val="single" w:color="auto" w:sz="4" w:space="0"/>
                  </w:tcBorders>
                  <w:vAlign w:val="center"/>
                </w:tcPr>
                <w:p w14:paraId="24199DE1">
                  <w:pPr>
                    <w:tabs>
                      <w:tab w:val="left" w:pos="6030"/>
                    </w:tabs>
                    <w:jc w:val="center"/>
                    <w:rPr>
                      <w:rFonts w:ascii="Times New Roman" w:hAnsi="Times New Roman"/>
                      <w:color w:val="auto"/>
                      <w:sz w:val="21"/>
                      <w:szCs w:val="21"/>
                      <w:u w:val="none"/>
                    </w:rPr>
                  </w:pPr>
                  <w:r>
                    <w:rPr>
                      <w:rFonts w:ascii="Times New Roman" w:hAnsi="Times New Roman"/>
                      <w:color w:val="auto"/>
                      <w:sz w:val="21"/>
                      <w:szCs w:val="21"/>
                      <w:u w:val="none"/>
                    </w:rPr>
                    <w:t>检测结果L</w:t>
                  </w:r>
                  <w:r>
                    <w:rPr>
                      <w:rFonts w:ascii="Times New Roman" w:hAnsi="Times New Roman"/>
                      <w:color w:val="auto"/>
                      <w:sz w:val="21"/>
                      <w:szCs w:val="21"/>
                      <w:u w:val="none"/>
                      <w:vertAlign w:val="subscript"/>
                    </w:rPr>
                    <w:t>eq</w:t>
                  </w:r>
                  <w:r>
                    <w:rPr>
                      <w:rFonts w:ascii="Times New Roman" w:hAnsi="Times New Roman"/>
                      <w:color w:val="auto"/>
                      <w:sz w:val="21"/>
                      <w:szCs w:val="21"/>
                      <w:u w:val="none"/>
                    </w:rPr>
                    <w:t>[dB(A)]</w:t>
                  </w:r>
                </w:p>
              </w:tc>
            </w:tr>
            <w:tr w14:paraId="71A42AAC">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75" w:hRule="atLeast"/>
              </w:trPr>
              <w:tc>
                <w:tcPr>
                  <w:tcW w:w="383" w:type="pct"/>
                  <w:vMerge w:val="continue"/>
                  <w:tcBorders>
                    <w:left w:val="single" w:color="auto" w:sz="4" w:space="0"/>
                    <w:right w:val="single" w:color="auto" w:sz="4" w:space="0"/>
                  </w:tcBorders>
                  <w:vAlign w:val="center"/>
                </w:tcPr>
                <w:p w14:paraId="6C7197E1">
                  <w:pPr>
                    <w:tabs>
                      <w:tab w:val="left" w:pos="6030"/>
                    </w:tabs>
                    <w:jc w:val="center"/>
                    <w:rPr>
                      <w:rFonts w:ascii="Times New Roman" w:hAnsi="Times New Roman"/>
                      <w:color w:val="auto"/>
                      <w:sz w:val="21"/>
                      <w:szCs w:val="21"/>
                      <w:u w:val="none"/>
                    </w:rPr>
                  </w:pPr>
                </w:p>
              </w:tc>
              <w:tc>
                <w:tcPr>
                  <w:tcW w:w="963" w:type="pct"/>
                  <w:vMerge w:val="continue"/>
                  <w:tcBorders>
                    <w:left w:val="single" w:color="auto" w:sz="4" w:space="0"/>
                    <w:right w:val="single" w:color="auto" w:sz="4" w:space="0"/>
                  </w:tcBorders>
                  <w:vAlign w:val="center"/>
                </w:tcPr>
                <w:p w14:paraId="48256C55">
                  <w:pPr>
                    <w:tabs>
                      <w:tab w:val="left" w:pos="6030"/>
                    </w:tabs>
                    <w:jc w:val="center"/>
                    <w:rPr>
                      <w:rFonts w:ascii="Times New Roman" w:hAnsi="Times New Roman"/>
                      <w:color w:val="auto"/>
                      <w:sz w:val="21"/>
                      <w:szCs w:val="21"/>
                      <w:u w:val="none"/>
                    </w:rPr>
                  </w:pPr>
                </w:p>
              </w:tc>
              <w:tc>
                <w:tcPr>
                  <w:tcW w:w="768" w:type="pct"/>
                  <w:vMerge w:val="continue"/>
                  <w:tcBorders>
                    <w:left w:val="single" w:color="auto" w:sz="4" w:space="0"/>
                    <w:right w:val="single" w:color="auto" w:sz="4" w:space="0"/>
                  </w:tcBorders>
                  <w:vAlign w:val="center"/>
                </w:tcPr>
                <w:p w14:paraId="43D55DA0">
                  <w:pPr>
                    <w:tabs>
                      <w:tab w:val="left" w:pos="6030"/>
                    </w:tabs>
                    <w:jc w:val="center"/>
                    <w:rPr>
                      <w:rFonts w:ascii="Times New Roman" w:hAnsi="Times New Roman"/>
                      <w:color w:val="auto"/>
                      <w:sz w:val="21"/>
                      <w:szCs w:val="21"/>
                      <w:u w:val="none"/>
                    </w:rPr>
                  </w:pPr>
                </w:p>
              </w:tc>
              <w:tc>
                <w:tcPr>
                  <w:tcW w:w="1441" w:type="pct"/>
                  <w:gridSpan w:val="2"/>
                  <w:tcBorders>
                    <w:top w:val="single" w:color="auto" w:sz="4" w:space="0"/>
                    <w:left w:val="single" w:color="auto" w:sz="4" w:space="0"/>
                    <w:bottom w:val="single" w:color="auto" w:sz="4" w:space="0"/>
                    <w:right w:val="single" w:color="auto" w:sz="4" w:space="0"/>
                  </w:tcBorders>
                  <w:vAlign w:val="center"/>
                </w:tcPr>
                <w:p w14:paraId="0250EB39">
                  <w:pPr>
                    <w:jc w:val="center"/>
                    <w:rPr>
                      <w:rFonts w:ascii="Times New Roman" w:hAnsi="Times New Roman"/>
                      <w:color w:val="auto"/>
                      <w:sz w:val="21"/>
                      <w:szCs w:val="21"/>
                      <w:u w:val="none"/>
                    </w:rPr>
                  </w:pPr>
                  <w:r>
                    <w:rPr>
                      <w:rFonts w:hint="eastAsia" w:ascii="Times New Roman" w:hAnsi="Times New Roman"/>
                      <w:color w:val="auto"/>
                      <w:sz w:val="21"/>
                      <w:szCs w:val="21"/>
                      <w:u w:val="none"/>
                      <w:lang w:val="en-US" w:eastAsia="zh-CN"/>
                    </w:rPr>
                    <w:t>2月25日</w:t>
                  </w:r>
                </w:p>
              </w:tc>
              <w:tc>
                <w:tcPr>
                  <w:tcW w:w="1443" w:type="pct"/>
                  <w:gridSpan w:val="2"/>
                  <w:tcBorders>
                    <w:top w:val="single" w:color="auto" w:sz="4" w:space="0"/>
                    <w:left w:val="single" w:color="auto" w:sz="4" w:space="0"/>
                    <w:bottom w:val="single" w:color="auto" w:sz="4" w:space="0"/>
                    <w:right w:val="single" w:color="auto" w:sz="4" w:space="0"/>
                  </w:tcBorders>
                  <w:vAlign w:val="center"/>
                </w:tcPr>
                <w:p w14:paraId="42CD2DCA">
                  <w:pPr>
                    <w:jc w:val="center"/>
                    <w:rPr>
                      <w:rFonts w:ascii="Times New Roman" w:hAnsi="Times New Roman"/>
                      <w:color w:val="auto"/>
                      <w:sz w:val="21"/>
                      <w:szCs w:val="21"/>
                      <w:u w:val="none"/>
                    </w:rPr>
                  </w:pPr>
                  <w:r>
                    <w:rPr>
                      <w:rFonts w:hint="eastAsia" w:ascii="Times New Roman" w:hAnsi="Times New Roman"/>
                      <w:color w:val="auto"/>
                      <w:sz w:val="21"/>
                      <w:szCs w:val="21"/>
                      <w:u w:val="none"/>
                      <w:lang w:val="en-US" w:eastAsia="zh-CN"/>
                    </w:rPr>
                    <w:t>2月26日</w:t>
                  </w:r>
                </w:p>
              </w:tc>
            </w:tr>
            <w:tr w14:paraId="7333E7D4">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36" w:hRule="atLeast"/>
              </w:trPr>
              <w:tc>
                <w:tcPr>
                  <w:tcW w:w="383" w:type="pct"/>
                  <w:vMerge w:val="continue"/>
                  <w:tcBorders>
                    <w:left w:val="single" w:color="auto" w:sz="4" w:space="0"/>
                    <w:right w:val="single" w:color="auto" w:sz="4" w:space="0"/>
                  </w:tcBorders>
                  <w:vAlign w:val="center"/>
                </w:tcPr>
                <w:p w14:paraId="2D463C13">
                  <w:pPr>
                    <w:jc w:val="center"/>
                    <w:rPr>
                      <w:rFonts w:ascii="Times New Roman" w:hAnsi="Times New Roman"/>
                      <w:color w:val="auto"/>
                      <w:sz w:val="21"/>
                      <w:szCs w:val="21"/>
                      <w:u w:val="none"/>
                    </w:rPr>
                  </w:pPr>
                </w:p>
              </w:tc>
              <w:tc>
                <w:tcPr>
                  <w:tcW w:w="963" w:type="pct"/>
                  <w:vMerge w:val="continue"/>
                  <w:tcBorders>
                    <w:left w:val="single" w:color="auto" w:sz="4" w:space="0"/>
                    <w:right w:val="single" w:color="auto" w:sz="4" w:space="0"/>
                  </w:tcBorders>
                  <w:vAlign w:val="center"/>
                </w:tcPr>
                <w:p w14:paraId="45785500">
                  <w:pPr>
                    <w:jc w:val="center"/>
                    <w:rPr>
                      <w:rFonts w:ascii="Times New Roman" w:hAnsi="Times New Roman"/>
                      <w:color w:val="auto"/>
                      <w:sz w:val="21"/>
                      <w:szCs w:val="21"/>
                      <w:u w:val="none"/>
                    </w:rPr>
                  </w:pPr>
                </w:p>
              </w:tc>
              <w:tc>
                <w:tcPr>
                  <w:tcW w:w="768" w:type="pct"/>
                  <w:vMerge w:val="continue"/>
                  <w:tcBorders>
                    <w:left w:val="single" w:color="auto" w:sz="4" w:space="0"/>
                    <w:right w:val="single" w:color="auto" w:sz="4" w:space="0"/>
                  </w:tcBorders>
                  <w:vAlign w:val="center"/>
                </w:tcPr>
                <w:p w14:paraId="7579FE28">
                  <w:pPr>
                    <w:jc w:val="center"/>
                    <w:rPr>
                      <w:rFonts w:ascii="Times New Roman" w:hAnsi="Times New Roman"/>
                      <w:color w:val="auto"/>
                      <w:sz w:val="21"/>
                      <w:szCs w:val="21"/>
                      <w:u w:val="none"/>
                    </w:rPr>
                  </w:pPr>
                </w:p>
              </w:tc>
              <w:tc>
                <w:tcPr>
                  <w:tcW w:w="720" w:type="pct"/>
                  <w:tcBorders>
                    <w:top w:val="single" w:color="auto" w:sz="4" w:space="0"/>
                    <w:left w:val="single" w:color="auto" w:sz="4" w:space="0"/>
                    <w:bottom w:val="single" w:color="auto" w:sz="4" w:space="0"/>
                    <w:right w:val="single" w:color="auto" w:sz="4" w:space="0"/>
                  </w:tcBorders>
                  <w:vAlign w:val="center"/>
                </w:tcPr>
                <w:p w14:paraId="239E4BD6">
                  <w:pPr>
                    <w:jc w:val="center"/>
                    <w:rPr>
                      <w:rFonts w:ascii="Times New Roman" w:hAnsi="Times New Roman"/>
                      <w:color w:val="auto"/>
                      <w:sz w:val="21"/>
                      <w:szCs w:val="21"/>
                      <w:u w:val="none"/>
                    </w:rPr>
                  </w:pPr>
                  <w:r>
                    <w:rPr>
                      <w:rFonts w:ascii="Times New Roman" w:hAnsi="Times New Roman"/>
                      <w:color w:val="auto"/>
                      <w:sz w:val="21"/>
                      <w:szCs w:val="21"/>
                      <w:u w:val="none"/>
                    </w:rPr>
                    <w:t>昼间</w:t>
                  </w:r>
                </w:p>
              </w:tc>
              <w:tc>
                <w:tcPr>
                  <w:tcW w:w="721" w:type="pct"/>
                  <w:tcBorders>
                    <w:top w:val="single" w:color="auto" w:sz="4" w:space="0"/>
                    <w:left w:val="single" w:color="auto" w:sz="4" w:space="0"/>
                    <w:bottom w:val="single" w:color="auto" w:sz="4" w:space="0"/>
                    <w:right w:val="single" w:color="auto" w:sz="4" w:space="0"/>
                  </w:tcBorders>
                  <w:vAlign w:val="center"/>
                </w:tcPr>
                <w:p w14:paraId="3CA498E3">
                  <w:pPr>
                    <w:jc w:val="center"/>
                    <w:rPr>
                      <w:rFonts w:ascii="Times New Roman" w:hAnsi="Times New Roman"/>
                      <w:color w:val="auto"/>
                      <w:sz w:val="21"/>
                      <w:szCs w:val="21"/>
                      <w:u w:val="none"/>
                    </w:rPr>
                  </w:pPr>
                  <w:r>
                    <w:rPr>
                      <w:rFonts w:ascii="Times New Roman" w:hAnsi="Times New Roman"/>
                      <w:color w:val="auto"/>
                      <w:sz w:val="21"/>
                      <w:szCs w:val="21"/>
                      <w:u w:val="none"/>
                    </w:rPr>
                    <w:t>夜间</w:t>
                  </w:r>
                </w:p>
              </w:tc>
              <w:tc>
                <w:tcPr>
                  <w:tcW w:w="720" w:type="pct"/>
                  <w:tcBorders>
                    <w:top w:val="single" w:color="auto" w:sz="4" w:space="0"/>
                    <w:left w:val="single" w:color="auto" w:sz="4" w:space="0"/>
                    <w:bottom w:val="single" w:color="auto" w:sz="4" w:space="0"/>
                    <w:right w:val="single" w:color="auto" w:sz="4" w:space="0"/>
                  </w:tcBorders>
                  <w:vAlign w:val="center"/>
                </w:tcPr>
                <w:p w14:paraId="0B8D5F75">
                  <w:pPr>
                    <w:jc w:val="center"/>
                    <w:rPr>
                      <w:rFonts w:ascii="Times New Roman" w:hAnsi="Times New Roman"/>
                      <w:color w:val="auto"/>
                      <w:sz w:val="21"/>
                      <w:szCs w:val="21"/>
                      <w:u w:val="none"/>
                    </w:rPr>
                  </w:pPr>
                  <w:r>
                    <w:rPr>
                      <w:rFonts w:ascii="Times New Roman" w:hAnsi="Times New Roman"/>
                      <w:color w:val="auto"/>
                      <w:sz w:val="21"/>
                      <w:szCs w:val="21"/>
                      <w:u w:val="none"/>
                    </w:rPr>
                    <w:t>昼间</w:t>
                  </w:r>
                </w:p>
              </w:tc>
              <w:tc>
                <w:tcPr>
                  <w:tcW w:w="723" w:type="pct"/>
                  <w:tcBorders>
                    <w:top w:val="single" w:color="auto" w:sz="4" w:space="0"/>
                    <w:left w:val="single" w:color="auto" w:sz="4" w:space="0"/>
                    <w:bottom w:val="single" w:color="auto" w:sz="4" w:space="0"/>
                    <w:right w:val="single" w:color="auto" w:sz="4" w:space="0"/>
                  </w:tcBorders>
                  <w:vAlign w:val="center"/>
                </w:tcPr>
                <w:p w14:paraId="372121F3">
                  <w:pPr>
                    <w:jc w:val="center"/>
                    <w:rPr>
                      <w:rFonts w:ascii="Times New Roman" w:hAnsi="Times New Roman"/>
                      <w:color w:val="auto"/>
                      <w:sz w:val="21"/>
                      <w:szCs w:val="21"/>
                      <w:u w:val="none"/>
                    </w:rPr>
                  </w:pPr>
                  <w:r>
                    <w:rPr>
                      <w:rFonts w:ascii="Times New Roman" w:hAnsi="Times New Roman"/>
                      <w:color w:val="auto"/>
                      <w:sz w:val="21"/>
                      <w:szCs w:val="21"/>
                      <w:u w:val="none"/>
                    </w:rPr>
                    <w:t>夜间</w:t>
                  </w:r>
                </w:p>
              </w:tc>
            </w:tr>
            <w:tr w14:paraId="31A173BB">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63" w:hRule="atLeast"/>
              </w:trPr>
              <w:tc>
                <w:tcPr>
                  <w:tcW w:w="383" w:type="pct"/>
                  <w:tcBorders>
                    <w:top w:val="single" w:color="auto" w:sz="4" w:space="0"/>
                    <w:left w:val="single" w:color="auto" w:sz="4" w:space="0"/>
                    <w:bottom w:val="single" w:color="auto" w:sz="4" w:space="0"/>
                    <w:right w:val="single" w:color="auto" w:sz="4" w:space="0"/>
                  </w:tcBorders>
                  <w:vAlign w:val="center"/>
                </w:tcPr>
                <w:p w14:paraId="276BAE45">
                  <w:pPr>
                    <w:tabs>
                      <w:tab w:val="left" w:pos="6045"/>
                    </w:tabs>
                    <w:jc w:val="center"/>
                    <w:rPr>
                      <w:rFonts w:ascii="Times New Roman" w:hAnsi="Times New Roman"/>
                      <w:color w:val="auto"/>
                      <w:sz w:val="21"/>
                      <w:szCs w:val="21"/>
                      <w:u w:val="none"/>
                    </w:rPr>
                  </w:pPr>
                  <w:r>
                    <w:rPr>
                      <w:rFonts w:ascii="Times New Roman" w:hAnsi="Times New Roman"/>
                      <w:color w:val="auto"/>
                      <w:sz w:val="21"/>
                      <w:szCs w:val="21"/>
                      <w:u w:val="none"/>
                    </w:rPr>
                    <w:t>N1</w:t>
                  </w:r>
                </w:p>
              </w:tc>
              <w:tc>
                <w:tcPr>
                  <w:tcW w:w="963" w:type="pct"/>
                  <w:tcBorders>
                    <w:top w:val="single" w:color="auto" w:sz="4" w:space="0"/>
                    <w:left w:val="single" w:color="auto" w:sz="4" w:space="0"/>
                    <w:bottom w:val="single" w:color="auto" w:sz="4" w:space="0"/>
                    <w:right w:val="single" w:color="auto" w:sz="4" w:space="0"/>
                  </w:tcBorders>
                  <w:vAlign w:val="center"/>
                </w:tcPr>
                <w:p w14:paraId="4D0F70D3">
                  <w:pPr>
                    <w:tabs>
                      <w:tab w:val="left" w:pos="6045"/>
                    </w:tabs>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项目东北侧50m居民</w:t>
                  </w:r>
                </w:p>
              </w:tc>
              <w:tc>
                <w:tcPr>
                  <w:tcW w:w="768" w:type="pct"/>
                  <w:tcBorders>
                    <w:top w:val="single" w:color="auto" w:sz="4" w:space="0"/>
                    <w:left w:val="single" w:color="auto" w:sz="4" w:space="0"/>
                    <w:bottom w:val="single" w:color="auto" w:sz="4" w:space="0"/>
                    <w:right w:val="single" w:color="auto" w:sz="4" w:space="0"/>
                  </w:tcBorders>
                  <w:vAlign w:val="center"/>
                </w:tcPr>
                <w:p w14:paraId="1F52F323">
                  <w:pPr>
                    <w:tabs>
                      <w:tab w:val="left" w:pos="6045"/>
                    </w:tabs>
                    <w:jc w:val="center"/>
                    <w:rPr>
                      <w:rFonts w:hint="eastAsia" w:ascii="Times New Roman" w:hAnsi="Times New Roman" w:eastAsia="宋体"/>
                      <w:color w:val="auto"/>
                      <w:sz w:val="21"/>
                      <w:szCs w:val="21"/>
                      <w:u w:val="none"/>
                      <w:lang w:eastAsia="zh-CN"/>
                    </w:rPr>
                  </w:pPr>
                  <w:r>
                    <w:rPr>
                      <w:rFonts w:hint="eastAsia" w:ascii="Times New Roman" w:hAnsi="Times New Roman"/>
                      <w:color w:val="auto"/>
                      <w:sz w:val="21"/>
                      <w:szCs w:val="21"/>
                      <w:u w:val="none"/>
                      <w:lang w:val="en-US" w:eastAsia="zh-CN"/>
                    </w:rPr>
                    <w:t>环境</w:t>
                  </w:r>
                  <w:r>
                    <w:rPr>
                      <w:rFonts w:hint="eastAsia" w:ascii="Times New Roman" w:hAnsi="Times New Roman"/>
                      <w:color w:val="auto"/>
                      <w:sz w:val="21"/>
                      <w:szCs w:val="21"/>
                      <w:u w:val="none"/>
                      <w:lang w:eastAsia="zh-CN"/>
                    </w:rPr>
                    <w:t>噪声</w:t>
                  </w:r>
                </w:p>
              </w:tc>
              <w:tc>
                <w:tcPr>
                  <w:tcW w:w="720" w:type="pct"/>
                  <w:tcBorders>
                    <w:top w:val="single" w:color="auto" w:sz="4" w:space="0"/>
                    <w:left w:val="single" w:color="auto" w:sz="4" w:space="0"/>
                    <w:bottom w:val="single" w:color="auto" w:sz="4" w:space="0"/>
                    <w:right w:val="single" w:color="auto" w:sz="4" w:space="0"/>
                  </w:tcBorders>
                  <w:vAlign w:val="center"/>
                </w:tcPr>
                <w:p w14:paraId="5ACE3E1E">
                  <w:pPr>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49</w:t>
                  </w:r>
                </w:p>
              </w:tc>
              <w:tc>
                <w:tcPr>
                  <w:tcW w:w="721" w:type="pct"/>
                  <w:tcBorders>
                    <w:top w:val="single" w:color="auto" w:sz="4" w:space="0"/>
                    <w:left w:val="single" w:color="auto" w:sz="4" w:space="0"/>
                    <w:bottom w:val="single" w:color="auto" w:sz="4" w:space="0"/>
                    <w:right w:val="single" w:color="auto" w:sz="4" w:space="0"/>
                  </w:tcBorders>
                  <w:vAlign w:val="center"/>
                </w:tcPr>
                <w:p w14:paraId="766ECE99">
                  <w:pPr>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46</w:t>
                  </w:r>
                </w:p>
              </w:tc>
              <w:tc>
                <w:tcPr>
                  <w:tcW w:w="720" w:type="pct"/>
                  <w:tcBorders>
                    <w:top w:val="single" w:color="auto" w:sz="4" w:space="0"/>
                    <w:left w:val="single" w:color="auto" w:sz="4" w:space="0"/>
                    <w:bottom w:val="single" w:color="auto" w:sz="4" w:space="0"/>
                    <w:right w:val="single" w:color="auto" w:sz="4" w:space="0"/>
                  </w:tcBorders>
                  <w:vAlign w:val="center"/>
                </w:tcPr>
                <w:p w14:paraId="10F67E62">
                  <w:pPr>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52</w:t>
                  </w:r>
                </w:p>
              </w:tc>
              <w:tc>
                <w:tcPr>
                  <w:tcW w:w="723" w:type="pct"/>
                  <w:tcBorders>
                    <w:top w:val="single" w:color="auto" w:sz="4" w:space="0"/>
                    <w:left w:val="single" w:color="auto" w:sz="4" w:space="0"/>
                    <w:bottom w:val="single" w:color="auto" w:sz="4" w:space="0"/>
                    <w:right w:val="single" w:color="auto" w:sz="4" w:space="0"/>
                  </w:tcBorders>
                  <w:vAlign w:val="center"/>
                </w:tcPr>
                <w:p w14:paraId="5FAFF957">
                  <w:pPr>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42</w:t>
                  </w:r>
                </w:p>
              </w:tc>
            </w:tr>
            <w:tr w14:paraId="5C70797A">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25" w:hRule="atLeast"/>
              </w:trPr>
              <w:tc>
                <w:tcPr>
                  <w:tcW w:w="383" w:type="pct"/>
                  <w:tcBorders>
                    <w:top w:val="single" w:color="auto" w:sz="4" w:space="0"/>
                    <w:left w:val="single" w:color="auto" w:sz="4" w:space="0"/>
                    <w:bottom w:val="single" w:color="auto" w:sz="4" w:space="0"/>
                    <w:right w:val="single" w:color="auto" w:sz="4" w:space="0"/>
                  </w:tcBorders>
                  <w:vAlign w:val="center"/>
                </w:tcPr>
                <w:p w14:paraId="53522492">
                  <w:pPr>
                    <w:tabs>
                      <w:tab w:val="left" w:pos="6045"/>
                    </w:tabs>
                    <w:jc w:val="center"/>
                    <w:rPr>
                      <w:rFonts w:ascii="Times New Roman" w:hAnsi="Times New Roman"/>
                      <w:color w:val="auto"/>
                      <w:sz w:val="21"/>
                      <w:szCs w:val="21"/>
                      <w:u w:val="none"/>
                    </w:rPr>
                  </w:pPr>
                  <w:r>
                    <w:rPr>
                      <w:rFonts w:ascii="Times New Roman" w:hAnsi="Times New Roman"/>
                      <w:color w:val="auto"/>
                      <w:sz w:val="21"/>
                      <w:szCs w:val="21"/>
                      <w:u w:val="none"/>
                    </w:rPr>
                    <w:t>N2</w:t>
                  </w:r>
                </w:p>
              </w:tc>
              <w:tc>
                <w:tcPr>
                  <w:tcW w:w="963" w:type="pct"/>
                  <w:tcBorders>
                    <w:top w:val="single" w:color="auto" w:sz="4" w:space="0"/>
                    <w:left w:val="single" w:color="auto" w:sz="4" w:space="0"/>
                    <w:bottom w:val="single" w:color="auto" w:sz="4" w:space="0"/>
                    <w:right w:val="single" w:color="auto" w:sz="4" w:space="0"/>
                  </w:tcBorders>
                  <w:vAlign w:val="center"/>
                </w:tcPr>
                <w:p w14:paraId="730F831F">
                  <w:pPr>
                    <w:tabs>
                      <w:tab w:val="left" w:pos="6045"/>
                    </w:tabs>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项目东南侧55m居民</w:t>
                  </w:r>
                </w:p>
              </w:tc>
              <w:tc>
                <w:tcPr>
                  <w:tcW w:w="768" w:type="pct"/>
                  <w:tcBorders>
                    <w:top w:val="single" w:color="auto" w:sz="4" w:space="0"/>
                    <w:left w:val="single" w:color="auto" w:sz="4" w:space="0"/>
                    <w:bottom w:val="single" w:color="auto" w:sz="4" w:space="0"/>
                    <w:right w:val="single" w:color="auto" w:sz="4" w:space="0"/>
                  </w:tcBorders>
                  <w:vAlign w:val="center"/>
                </w:tcPr>
                <w:p w14:paraId="12E0B515">
                  <w:pPr>
                    <w:jc w:val="center"/>
                    <w:rPr>
                      <w:rFonts w:ascii="Times New Roman" w:hAnsi="Times New Roman"/>
                      <w:color w:val="auto"/>
                      <w:sz w:val="21"/>
                      <w:szCs w:val="21"/>
                      <w:u w:val="none"/>
                    </w:rPr>
                  </w:pPr>
                  <w:r>
                    <w:rPr>
                      <w:rFonts w:hint="eastAsia" w:ascii="Times New Roman" w:hAnsi="Times New Roman"/>
                      <w:color w:val="auto"/>
                      <w:sz w:val="21"/>
                      <w:szCs w:val="21"/>
                      <w:u w:val="none"/>
                      <w:lang w:val="en-US" w:eastAsia="zh-CN"/>
                    </w:rPr>
                    <w:t>环境</w:t>
                  </w:r>
                  <w:r>
                    <w:rPr>
                      <w:rFonts w:hint="eastAsia" w:ascii="Times New Roman" w:hAnsi="Times New Roman"/>
                      <w:color w:val="auto"/>
                      <w:sz w:val="21"/>
                      <w:szCs w:val="21"/>
                      <w:u w:val="none"/>
                      <w:lang w:eastAsia="zh-CN"/>
                    </w:rPr>
                    <w:t>噪声</w:t>
                  </w:r>
                </w:p>
              </w:tc>
              <w:tc>
                <w:tcPr>
                  <w:tcW w:w="720" w:type="pct"/>
                  <w:tcBorders>
                    <w:top w:val="single" w:color="auto" w:sz="4" w:space="0"/>
                    <w:left w:val="single" w:color="auto" w:sz="4" w:space="0"/>
                    <w:bottom w:val="single" w:color="auto" w:sz="4" w:space="0"/>
                    <w:right w:val="single" w:color="auto" w:sz="4" w:space="0"/>
                  </w:tcBorders>
                  <w:vAlign w:val="center"/>
                </w:tcPr>
                <w:p w14:paraId="595D8CD1">
                  <w:pPr>
                    <w:tabs>
                      <w:tab w:val="left" w:pos="6045"/>
                    </w:tabs>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46</w:t>
                  </w:r>
                </w:p>
              </w:tc>
              <w:tc>
                <w:tcPr>
                  <w:tcW w:w="721" w:type="pct"/>
                  <w:tcBorders>
                    <w:top w:val="single" w:color="auto" w:sz="4" w:space="0"/>
                    <w:left w:val="single" w:color="auto" w:sz="4" w:space="0"/>
                    <w:bottom w:val="single" w:color="auto" w:sz="4" w:space="0"/>
                    <w:right w:val="single" w:color="auto" w:sz="4" w:space="0"/>
                  </w:tcBorders>
                  <w:vAlign w:val="center"/>
                </w:tcPr>
                <w:p w14:paraId="1172D302">
                  <w:pPr>
                    <w:tabs>
                      <w:tab w:val="left" w:pos="6045"/>
                    </w:tabs>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44</w:t>
                  </w:r>
                </w:p>
              </w:tc>
              <w:tc>
                <w:tcPr>
                  <w:tcW w:w="720" w:type="pct"/>
                  <w:tcBorders>
                    <w:top w:val="single" w:color="auto" w:sz="4" w:space="0"/>
                    <w:left w:val="single" w:color="auto" w:sz="4" w:space="0"/>
                    <w:bottom w:val="single" w:color="auto" w:sz="4" w:space="0"/>
                    <w:right w:val="single" w:color="auto" w:sz="4" w:space="0"/>
                  </w:tcBorders>
                  <w:vAlign w:val="center"/>
                </w:tcPr>
                <w:p w14:paraId="7B83043B">
                  <w:pPr>
                    <w:tabs>
                      <w:tab w:val="left" w:pos="6045"/>
                    </w:tabs>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47</w:t>
                  </w:r>
                </w:p>
              </w:tc>
              <w:tc>
                <w:tcPr>
                  <w:tcW w:w="723" w:type="pct"/>
                  <w:tcBorders>
                    <w:top w:val="single" w:color="auto" w:sz="4" w:space="0"/>
                    <w:left w:val="single" w:color="auto" w:sz="4" w:space="0"/>
                    <w:bottom w:val="single" w:color="auto" w:sz="4" w:space="0"/>
                    <w:right w:val="single" w:color="auto" w:sz="4" w:space="0"/>
                  </w:tcBorders>
                  <w:vAlign w:val="center"/>
                </w:tcPr>
                <w:p w14:paraId="50793B31">
                  <w:pPr>
                    <w:tabs>
                      <w:tab w:val="left" w:pos="6045"/>
                    </w:tabs>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39</w:t>
                  </w:r>
                </w:p>
              </w:tc>
            </w:tr>
            <w:tr w14:paraId="4BFBBC24">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23" w:hRule="atLeast"/>
              </w:trPr>
              <w:tc>
                <w:tcPr>
                  <w:tcW w:w="2115" w:type="pct"/>
                  <w:gridSpan w:val="3"/>
                  <w:tcBorders>
                    <w:top w:val="single" w:color="auto" w:sz="4" w:space="0"/>
                    <w:left w:val="single" w:color="auto" w:sz="4" w:space="0"/>
                    <w:bottom w:val="single" w:color="auto" w:sz="4" w:space="0"/>
                    <w:right w:val="single" w:color="auto" w:sz="4" w:space="0"/>
                  </w:tcBorders>
                  <w:vAlign w:val="center"/>
                </w:tcPr>
                <w:p w14:paraId="690DA029">
                  <w:pPr>
                    <w:jc w:val="center"/>
                    <w:rPr>
                      <w:rFonts w:hint="eastAsia" w:ascii="Times New Roman" w:hAnsi="Times New Roman"/>
                      <w:color w:val="auto"/>
                      <w:sz w:val="21"/>
                      <w:szCs w:val="21"/>
                      <w:u w:val="none"/>
                      <w:lang w:val="en-US" w:eastAsia="zh-CN"/>
                    </w:rPr>
                  </w:pPr>
                  <w:r>
                    <w:rPr>
                      <w:rFonts w:hint="eastAsia" w:ascii="Times New Roman" w:hAnsi="Times New Roman"/>
                      <w:color w:val="auto"/>
                      <w:sz w:val="21"/>
                      <w:szCs w:val="21"/>
                      <w:u w:val="none"/>
                      <w:lang w:val="en-US" w:eastAsia="zh-CN"/>
                    </w:rPr>
                    <w:t>标准值</w:t>
                  </w:r>
                </w:p>
              </w:tc>
              <w:tc>
                <w:tcPr>
                  <w:tcW w:w="720" w:type="pct"/>
                  <w:tcBorders>
                    <w:top w:val="single" w:color="auto" w:sz="4" w:space="0"/>
                    <w:left w:val="single" w:color="auto" w:sz="4" w:space="0"/>
                    <w:bottom w:val="single" w:color="auto" w:sz="4" w:space="0"/>
                    <w:right w:val="single" w:color="auto" w:sz="4" w:space="0"/>
                  </w:tcBorders>
                  <w:vAlign w:val="center"/>
                </w:tcPr>
                <w:p w14:paraId="31E11936">
                  <w:pPr>
                    <w:tabs>
                      <w:tab w:val="left" w:pos="6045"/>
                    </w:tabs>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60</w:t>
                  </w:r>
                </w:p>
              </w:tc>
              <w:tc>
                <w:tcPr>
                  <w:tcW w:w="721" w:type="pct"/>
                  <w:tcBorders>
                    <w:top w:val="single" w:color="auto" w:sz="4" w:space="0"/>
                    <w:left w:val="single" w:color="auto" w:sz="4" w:space="0"/>
                    <w:bottom w:val="single" w:color="auto" w:sz="4" w:space="0"/>
                    <w:right w:val="single" w:color="auto" w:sz="4" w:space="0"/>
                  </w:tcBorders>
                  <w:vAlign w:val="center"/>
                </w:tcPr>
                <w:p w14:paraId="04F09219">
                  <w:pPr>
                    <w:tabs>
                      <w:tab w:val="left" w:pos="6045"/>
                    </w:tabs>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50</w:t>
                  </w:r>
                </w:p>
              </w:tc>
              <w:tc>
                <w:tcPr>
                  <w:tcW w:w="720" w:type="pct"/>
                  <w:tcBorders>
                    <w:top w:val="single" w:color="auto" w:sz="4" w:space="0"/>
                    <w:left w:val="single" w:color="auto" w:sz="4" w:space="0"/>
                    <w:bottom w:val="single" w:color="auto" w:sz="4" w:space="0"/>
                    <w:right w:val="single" w:color="auto" w:sz="4" w:space="0"/>
                  </w:tcBorders>
                  <w:vAlign w:val="center"/>
                </w:tcPr>
                <w:p w14:paraId="058AA344">
                  <w:pPr>
                    <w:tabs>
                      <w:tab w:val="left" w:pos="6045"/>
                    </w:tabs>
                    <w:jc w:val="center"/>
                    <w:rPr>
                      <w:rFonts w:hint="eastAsia"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60</w:t>
                  </w:r>
                </w:p>
              </w:tc>
              <w:tc>
                <w:tcPr>
                  <w:tcW w:w="723" w:type="pct"/>
                  <w:tcBorders>
                    <w:top w:val="single" w:color="auto" w:sz="4" w:space="0"/>
                    <w:left w:val="single" w:color="auto" w:sz="4" w:space="0"/>
                    <w:bottom w:val="single" w:color="auto" w:sz="4" w:space="0"/>
                    <w:right w:val="single" w:color="auto" w:sz="4" w:space="0"/>
                  </w:tcBorders>
                  <w:vAlign w:val="center"/>
                </w:tcPr>
                <w:p w14:paraId="57708257">
                  <w:pPr>
                    <w:tabs>
                      <w:tab w:val="left" w:pos="6045"/>
                    </w:tabs>
                    <w:jc w:val="center"/>
                    <w:rPr>
                      <w:rFonts w:hint="eastAsia"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50</w:t>
                  </w:r>
                </w:p>
              </w:tc>
            </w:tr>
          </w:tbl>
          <w:p w14:paraId="0E042B0F">
            <w:pPr>
              <w:spacing w:line="360" w:lineRule="auto"/>
              <w:ind w:firstLine="480" w:firstLineChars="200"/>
              <w:jc w:val="left"/>
              <w:rPr>
                <w:rFonts w:hint="default" w:ascii="Times New Roman" w:hAnsi="Times New Roman" w:eastAsia="宋体" w:cs="Times New Roman"/>
                <w:color w:val="auto"/>
                <w:lang w:val="en-US" w:eastAsia="zh-CN"/>
              </w:rPr>
            </w:pPr>
            <w:r>
              <w:rPr>
                <w:rFonts w:hint="default" w:ascii="Times New Roman" w:hAnsi="Times New Roman" w:cs="Times New Roman"/>
                <w:color w:val="000000"/>
                <w:sz w:val="24"/>
                <w:szCs w:val="22"/>
              </w:rPr>
              <w:t>通过监测结果的统计分析</w:t>
            </w:r>
            <w:r>
              <w:rPr>
                <w:rFonts w:hint="eastAsia" w:cs="Times New Roman"/>
                <w:color w:val="000000"/>
                <w:sz w:val="24"/>
                <w:szCs w:val="22"/>
                <w:lang w:eastAsia="zh-CN"/>
              </w:rPr>
              <w:t>可知：本项目周围敏感点的声环境</w:t>
            </w:r>
            <w:r>
              <w:rPr>
                <w:rFonts w:hint="default" w:ascii="Times New Roman" w:hAnsi="Times New Roman" w:cs="Times New Roman"/>
                <w:color w:val="000000"/>
                <w:sz w:val="24"/>
                <w:szCs w:val="22"/>
              </w:rPr>
              <w:t>质量</w:t>
            </w:r>
            <w:r>
              <w:rPr>
                <w:rFonts w:hint="eastAsia" w:cs="Times New Roman"/>
                <w:color w:val="000000"/>
                <w:sz w:val="24"/>
                <w:szCs w:val="22"/>
                <w:lang w:eastAsia="zh-CN"/>
              </w:rPr>
              <w:t>现状昼夜间监测结果均满足</w:t>
            </w:r>
            <w:r>
              <w:rPr>
                <w:rFonts w:hint="default" w:ascii="Times New Roman" w:hAnsi="Times New Roman" w:cs="Times New Roman"/>
                <w:color w:val="000000"/>
                <w:sz w:val="24"/>
                <w:szCs w:val="22"/>
              </w:rPr>
              <w:t>《声环境质量标准》（GB3096-2008）2类标准</w:t>
            </w:r>
            <w:r>
              <w:rPr>
                <w:rFonts w:hint="eastAsia" w:cs="Times New Roman"/>
                <w:color w:val="000000"/>
                <w:sz w:val="24"/>
                <w:szCs w:val="22"/>
                <w:lang w:eastAsia="zh-CN"/>
              </w:rPr>
              <w:t>限值要</w:t>
            </w:r>
            <w:r>
              <w:rPr>
                <w:rFonts w:hint="eastAsia" w:cs="Times New Roman"/>
                <w:color w:val="000000"/>
                <w:sz w:val="24"/>
                <w:szCs w:val="24"/>
                <w:lang w:eastAsia="zh-CN"/>
              </w:rPr>
              <w:t>求</w:t>
            </w:r>
            <w:r>
              <w:rPr>
                <w:rFonts w:hint="default" w:ascii="Times New Roman" w:hAnsi="Times New Roman" w:cs="Times New Roman"/>
                <w:color w:val="000000"/>
                <w:sz w:val="24"/>
                <w:szCs w:val="24"/>
              </w:rPr>
              <w:t>，</w:t>
            </w:r>
            <w:r>
              <w:rPr>
                <w:rFonts w:hint="eastAsia" w:cs="Times New Roman"/>
                <w:color w:val="000000"/>
                <w:sz w:val="24"/>
                <w:szCs w:val="24"/>
                <w:lang w:eastAsia="zh-CN"/>
              </w:rPr>
              <w:t>则</w:t>
            </w:r>
            <w:r>
              <w:rPr>
                <w:rFonts w:hint="default" w:ascii="Times New Roman" w:hAnsi="Times New Roman" w:cs="Times New Roman"/>
                <w:color w:val="000000"/>
                <w:sz w:val="24"/>
                <w:szCs w:val="24"/>
              </w:rPr>
              <w:t>区域声环境质量现状良好</w:t>
            </w:r>
            <w:r>
              <w:rPr>
                <w:rFonts w:hint="default" w:ascii="Times New Roman" w:hAnsi="Times New Roman" w:eastAsia="宋体" w:cs="Times New Roman"/>
                <w:color w:val="auto"/>
                <w:lang w:val="en-US" w:eastAsia="zh-CN"/>
              </w:rPr>
              <w:t>。</w:t>
            </w:r>
          </w:p>
          <w:p w14:paraId="3DDDB0D4">
            <w:pPr>
              <w:pStyle w:val="10"/>
              <w:keepNext/>
              <w:keepLines/>
              <w:pageBreakBefore w:val="0"/>
              <w:widowControl w:val="0"/>
              <w:kinsoku/>
              <w:wordWrap/>
              <w:overflowPunct/>
              <w:topLinePunct w:val="0"/>
              <w:autoSpaceDE/>
              <w:autoSpaceDN/>
              <w:bidi w:val="0"/>
              <w:adjustRightInd/>
              <w:snapToGrid/>
              <w:spacing w:before="0" w:after="0" w:line="360" w:lineRule="auto"/>
              <w:ind w:firstLine="464" w:firstLineChars="200"/>
              <w:jc w:val="both"/>
              <w:textAlignment w:val="auto"/>
              <w:outlineLvl w:val="2"/>
              <w:rPr>
                <w:rFonts w:hint="eastAsia" w:ascii="Times New Roman" w:hAnsi="Times New Roman" w:eastAsia="宋体" w:cs="Times New Roman"/>
                <w:b w:val="0"/>
                <w:bCs w:val="0"/>
                <w:color w:val="auto"/>
                <w:spacing w:val="-4"/>
                <w:kern w:val="2"/>
                <w:sz w:val="24"/>
                <w:szCs w:val="24"/>
                <w:u w:val="none"/>
                <w:lang w:val="en-US" w:eastAsia="zh-CN" w:bidi="ar-SA"/>
                <w14:textOutline w14:w="4354" w14:cap="flat" w14:cmpd="sng">
                  <w14:solidFill>
                    <w14:srgbClr w14:val="000000"/>
                  </w14:solidFill>
                  <w14:prstDash w14:val="solid"/>
                  <w14:miter w14:val="0"/>
                </w14:textOutline>
              </w:rPr>
            </w:pPr>
            <w:r>
              <w:rPr>
                <w:rFonts w:hint="eastAsia" w:ascii="Times New Roman" w:hAnsi="Times New Roman" w:eastAsia="宋体" w:cs="Times New Roman"/>
                <w:b w:val="0"/>
                <w:bCs w:val="0"/>
                <w:color w:val="auto"/>
                <w:spacing w:val="-4"/>
                <w:kern w:val="2"/>
                <w:sz w:val="24"/>
                <w:szCs w:val="24"/>
                <w:u w:val="none"/>
                <w:lang w:val="en-US" w:eastAsia="zh-CN" w:bidi="ar-SA"/>
                <w14:textOutline w14:w="4354" w14:cap="flat" w14:cmpd="sng">
                  <w14:solidFill>
                    <w14:srgbClr w14:val="000000"/>
                  </w14:solidFill>
                  <w14:prstDash w14:val="solid"/>
                  <w14:miter w14:val="0"/>
                </w14:textOutline>
              </w:rPr>
              <w:t>5</w:t>
            </w:r>
            <w:r>
              <w:rPr>
                <w:rFonts w:hint="eastAsia" w:ascii="Times New Roman" w:cs="Times New Roman"/>
                <w:b w:val="0"/>
                <w:bCs w:val="0"/>
                <w:color w:val="auto"/>
                <w:spacing w:val="-4"/>
                <w:kern w:val="2"/>
                <w:sz w:val="24"/>
                <w:szCs w:val="24"/>
                <w:u w:val="none"/>
                <w:lang w:val="en-US" w:eastAsia="zh-CN" w:bidi="ar-SA"/>
                <w14:textOutline w14:w="4354" w14:cap="flat" w14:cmpd="sng">
                  <w14:solidFill>
                    <w14:srgbClr w14:val="000000"/>
                  </w14:solidFill>
                  <w14:prstDash w14:val="solid"/>
                  <w14:miter w14:val="0"/>
                </w14:textOutline>
              </w:rPr>
              <w:t>、</w:t>
            </w:r>
            <w:r>
              <w:rPr>
                <w:rFonts w:hint="eastAsia" w:ascii="Times New Roman" w:hAnsi="Times New Roman" w:eastAsia="宋体" w:cs="Times New Roman"/>
                <w:b w:val="0"/>
                <w:bCs w:val="0"/>
                <w:color w:val="auto"/>
                <w:spacing w:val="-4"/>
                <w:kern w:val="2"/>
                <w:sz w:val="24"/>
                <w:szCs w:val="24"/>
                <w:u w:val="none"/>
                <w:lang w:val="en-US" w:eastAsia="zh-CN" w:bidi="ar-SA"/>
                <w14:textOutline w14:w="4354" w14:cap="flat" w14:cmpd="sng">
                  <w14:solidFill>
                    <w14:srgbClr w14:val="000000"/>
                  </w14:solidFill>
                  <w14:prstDash w14:val="solid"/>
                  <w14:miter w14:val="0"/>
                </w14:textOutline>
              </w:rPr>
              <w:t>土壤、底泥环境现状监测</w:t>
            </w:r>
          </w:p>
          <w:p w14:paraId="55D9A515">
            <w:pPr>
              <w:spacing w:line="360" w:lineRule="auto"/>
              <w:ind w:firstLine="480" w:firstLineChars="200"/>
              <w:rPr>
                <w:rFonts w:ascii="Times New Roman"/>
                <w:color w:val="auto"/>
                <w:sz w:val="24"/>
                <w:u w:val="none"/>
              </w:rPr>
            </w:pPr>
            <w:r>
              <w:rPr>
                <w:rFonts w:ascii="Times New Roman"/>
                <w:color w:val="auto"/>
                <w:sz w:val="24"/>
                <w:u w:val="none"/>
              </w:rPr>
              <w:t>（1）监测点位布设</w:t>
            </w:r>
          </w:p>
          <w:p w14:paraId="0F565AD8">
            <w:pPr>
              <w:spacing w:line="360" w:lineRule="auto"/>
              <w:ind w:firstLine="480" w:firstLineChars="200"/>
              <w:rPr>
                <w:rFonts w:hint="eastAsia" w:ascii="Times New Roman" w:eastAsiaTheme="minorEastAsia"/>
                <w:color w:val="auto"/>
                <w:sz w:val="24"/>
                <w:u w:val="none"/>
                <w:lang w:val="en-US" w:eastAsia="zh-CN"/>
              </w:rPr>
            </w:pPr>
            <w:r>
              <w:rPr>
                <w:rFonts w:hint="default" w:ascii="Times New Roman" w:hAnsi="Times New Roman" w:cs="Times New Roman"/>
                <w:color w:val="auto"/>
                <w:sz w:val="24"/>
                <w:u w:val="none"/>
              </w:rPr>
              <w:t>在</w:t>
            </w:r>
            <w:r>
              <w:rPr>
                <w:rFonts w:hint="default" w:ascii="Times New Roman" w:hAnsi="Times New Roman" w:cs="Times New Roman"/>
                <w:color w:val="auto"/>
                <w:sz w:val="24"/>
                <w:u w:val="none"/>
                <w:lang w:val="en-US" w:eastAsia="zh-CN"/>
              </w:rPr>
              <w:t>项目</w:t>
            </w:r>
            <w:r>
              <w:rPr>
                <w:rFonts w:hint="eastAsia" w:cs="Times New Roman"/>
                <w:color w:val="auto"/>
                <w:sz w:val="24"/>
                <w:u w:val="none"/>
                <w:lang w:val="en-US" w:eastAsia="zh-CN"/>
              </w:rPr>
              <w:t>施工范围内</w:t>
            </w:r>
            <w:r>
              <w:rPr>
                <w:rFonts w:hint="default" w:ascii="Times New Roman" w:hAnsi="Times New Roman" w:cs="Times New Roman"/>
                <w:color w:val="auto"/>
                <w:sz w:val="24"/>
                <w:u w:val="none"/>
              </w:rPr>
              <w:t>设置</w:t>
            </w:r>
            <w:r>
              <w:rPr>
                <w:rFonts w:hint="eastAsia" w:ascii="Times New Roman" w:hAnsi="Times New Roman" w:cs="Times New Roman"/>
                <w:color w:val="auto"/>
                <w:sz w:val="24"/>
                <w:u w:val="none"/>
                <w:lang w:val="en-US" w:eastAsia="zh-CN"/>
              </w:rPr>
              <w:t>1</w:t>
            </w:r>
            <w:r>
              <w:rPr>
                <w:rFonts w:hint="eastAsia" w:cs="Times New Roman"/>
                <w:color w:val="auto"/>
                <w:sz w:val="24"/>
                <w:u w:val="none"/>
                <w:lang w:eastAsia="zh-CN"/>
              </w:rPr>
              <w:t>个</w:t>
            </w:r>
            <w:r>
              <w:rPr>
                <w:rFonts w:hint="eastAsia" w:cs="Times New Roman"/>
                <w:color w:val="auto"/>
                <w:sz w:val="24"/>
                <w:u w:val="none"/>
                <w:lang w:val="en-US" w:eastAsia="zh-CN"/>
              </w:rPr>
              <w:t>土壤</w:t>
            </w:r>
            <w:r>
              <w:rPr>
                <w:rFonts w:hint="eastAsia" w:ascii="Times New Roman" w:hAnsi="Times New Roman" w:cs="Times New Roman"/>
                <w:color w:val="auto"/>
                <w:sz w:val="24"/>
                <w:u w:val="none"/>
                <w:lang w:eastAsia="zh-CN"/>
              </w:rPr>
              <w:t>监测</w:t>
            </w:r>
            <w:r>
              <w:rPr>
                <w:rFonts w:hint="default" w:ascii="Times New Roman" w:hAnsi="Times New Roman" w:cs="Times New Roman"/>
                <w:color w:val="auto"/>
                <w:sz w:val="24"/>
                <w:u w:val="none"/>
              </w:rPr>
              <w:t>点</w:t>
            </w:r>
            <w:r>
              <w:rPr>
                <w:rFonts w:ascii="Times New Roman" w:hAnsi="宋体"/>
                <w:color w:val="auto"/>
                <w:sz w:val="24"/>
                <w:u w:val="none"/>
              </w:rPr>
              <w:t>，</w:t>
            </w:r>
            <w:r>
              <w:rPr>
                <w:rFonts w:hint="eastAsia" w:ascii="Times New Roman" w:hAnsi="宋体"/>
                <w:color w:val="auto"/>
                <w:sz w:val="24"/>
                <w:u w:val="none"/>
                <w:lang w:val="en-US" w:eastAsia="zh-CN"/>
              </w:rPr>
              <w:t>调查土壤现状情况</w:t>
            </w:r>
            <w:r>
              <w:rPr>
                <w:rFonts w:ascii="Times New Roman" w:hAnsi="宋体"/>
                <w:color w:val="auto"/>
                <w:sz w:val="24"/>
                <w:u w:val="none"/>
              </w:rPr>
              <w:t>。</w:t>
            </w:r>
            <w:r>
              <w:rPr>
                <w:rFonts w:hint="eastAsia" w:ascii="Times New Roman" w:hAnsi="宋体"/>
                <w:color w:val="auto"/>
                <w:sz w:val="24"/>
                <w:u w:val="none"/>
                <w:lang w:val="en-US" w:eastAsia="zh-CN"/>
              </w:rPr>
              <w:t>在项目上游 100m处、 项目下游500m处</w:t>
            </w:r>
            <w:r>
              <w:rPr>
                <w:rFonts w:hint="default" w:ascii="Times New Roman" w:hAnsi="Times New Roman" w:cs="Times New Roman"/>
                <w:color w:val="auto"/>
                <w:sz w:val="24"/>
                <w:u w:val="none"/>
              </w:rPr>
              <w:t>设置</w:t>
            </w:r>
            <w:r>
              <w:rPr>
                <w:rFonts w:hint="eastAsia" w:ascii="Times New Roman" w:hAnsi="Times New Roman" w:cs="Times New Roman"/>
                <w:color w:val="auto"/>
                <w:sz w:val="24"/>
                <w:u w:val="none"/>
                <w:lang w:val="en-US" w:eastAsia="zh-CN"/>
              </w:rPr>
              <w:t>2</w:t>
            </w:r>
            <w:r>
              <w:rPr>
                <w:rFonts w:hint="eastAsia" w:cs="Times New Roman"/>
                <w:color w:val="auto"/>
                <w:sz w:val="24"/>
                <w:u w:val="none"/>
                <w:lang w:eastAsia="zh-CN"/>
              </w:rPr>
              <w:t>个</w:t>
            </w:r>
            <w:r>
              <w:rPr>
                <w:rFonts w:hint="eastAsia" w:cs="Times New Roman"/>
                <w:color w:val="auto"/>
                <w:sz w:val="24"/>
                <w:u w:val="none"/>
                <w:lang w:val="en-US" w:eastAsia="zh-CN"/>
              </w:rPr>
              <w:t>底泥</w:t>
            </w:r>
            <w:r>
              <w:rPr>
                <w:rFonts w:hint="eastAsia" w:ascii="Times New Roman" w:hAnsi="Times New Roman" w:cs="Times New Roman"/>
                <w:color w:val="auto"/>
                <w:sz w:val="24"/>
                <w:u w:val="none"/>
                <w:lang w:eastAsia="zh-CN"/>
              </w:rPr>
              <w:t>监测</w:t>
            </w:r>
            <w:r>
              <w:rPr>
                <w:rFonts w:hint="default" w:ascii="Times New Roman" w:hAnsi="Times New Roman" w:cs="Times New Roman"/>
                <w:color w:val="auto"/>
                <w:sz w:val="24"/>
                <w:u w:val="none"/>
              </w:rPr>
              <w:t>点</w:t>
            </w:r>
            <w:r>
              <w:rPr>
                <w:rFonts w:ascii="Times New Roman" w:hAnsi="宋体"/>
                <w:color w:val="auto"/>
                <w:sz w:val="24"/>
                <w:u w:val="none"/>
              </w:rPr>
              <w:t>，</w:t>
            </w:r>
            <w:r>
              <w:rPr>
                <w:rFonts w:hint="eastAsia" w:ascii="Times New Roman" w:hAnsi="宋体"/>
                <w:color w:val="auto"/>
                <w:sz w:val="24"/>
                <w:u w:val="none"/>
                <w:lang w:val="en-US" w:eastAsia="zh-CN"/>
              </w:rPr>
              <w:t>调查底泥现状情况</w:t>
            </w:r>
          </w:p>
          <w:p w14:paraId="681C0D9B">
            <w:pPr>
              <w:jc w:val="center"/>
              <w:rPr>
                <w:rFonts w:ascii="Times New Roman"/>
                <w:b/>
                <w:color w:val="auto"/>
                <w:sz w:val="24"/>
                <w:u w:val="none"/>
              </w:rPr>
            </w:pPr>
            <w:r>
              <w:rPr>
                <w:rFonts w:ascii="Times New Roman"/>
                <w:b/>
                <w:color w:val="auto"/>
                <w:sz w:val="24"/>
                <w:u w:val="none"/>
              </w:rPr>
              <w:t>表</w:t>
            </w:r>
            <w:r>
              <w:rPr>
                <w:rFonts w:hint="eastAsia"/>
                <w:b/>
                <w:color w:val="auto"/>
                <w:sz w:val="24"/>
                <w:u w:val="none"/>
                <w:lang w:val="en-US" w:eastAsia="zh-CN"/>
              </w:rPr>
              <w:t>3-5</w:t>
            </w:r>
            <w:r>
              <w:rPr>
                <w:rFonts w:ascii="Times New Roman"/>
                <w:b/>
                <w:color w:val="auto"/>
                <w:sz w:val="24"/>
                <w:u w:val="none"/>
              </w:rPr>
              <w:t xml:space="preserve">  土壤</w:t>
            </w:r>
            <w:r>
              <w:rPr>
                <w:rFonts w:hint="eastAsia" w:ascii="Times New Roman"/>
                <w:b/>
                <w:color w:val="auto"/>
                <w:sz w:val="24"/>
                <w:u w:val="none"/>
                <w:lang w:val="en-US" w:eastAsia="zh-CN"/>
              </w:rPr>
              <w:t>底泥</w:t>
            </w:r>
            <w:r>
              <w:rPr>
                <w:rFonts w:ascii="Times New Roman"/>
                <w:b/>
                <w:color w:val="auto"/>
                <w:sz w:val="24"/>
                <w:u w:val="none"/>
              </w:rPr>
              <w:t>监测布点一览表</w:t>
            </w:r>
          </w:p>
          <w:tbl>
            <w:tblPr>
              <w:tblStyle w:val="4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2"/>
              <w:gridCol w:w="3674"/>
              <w:gridCol w:w="2596"/>
            </w:tblGrid>
            <w:tr w14:paraId="07B9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252" w:type="dxa"/>
                  <w:vAlign w:val="center"/>
                </w:tcPr>
                <w:p w14:paraId="3B10FC30">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点位编号</w:t>
                  </w:r>
                </w:p>
              </w:tc>
              <w:tc>
                <w:tcPr>
                  <w:tcW w:w="3674" w:type="dxa"/>
                  <w:vAlign w:val="center"/>
                </w:tcPr>
                <w:p w14:paraId="23F480D8">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位置</w:t>
                  </w:r>
                </w:p>
              </w:tc>
              <w:tc>
                <w:tcPr>
                  <w:tcW w:w="2596" w:type="dxa"/>
                  <w:vAlign w:val="center"/>
                </w:tcPr>
                <w:p w14:paraId="23F6D3AD">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监测目标</w:t>
                  </w:r>
                </w:p>
              </w:tc>
            </w:tr>
            <w:tr w14:paraId="6C10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2" w:type="dxa"/>
                  <w:vAlign w:val="center"/>
                </w:tcPr>
                <w:p w14:paraId="02C5A2C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T</w:t>
                  </w:r>
                  <w:r>
                    <w:rPr>
                      <w:rFonts w:hint="default" w:ascii="Times New Roman" w:hAnsi="Times New Roman" w:cs="Times New Roman"/>
                      <w:color w:val="auto"/>
                      <w:sz w:val="21"/>
                      <w:szCs w:val="21"/>
                      <w:u w:val="none"/>
                    </w:rPr>
                    <w:t>1</w:t>
                  </w:r>
                </w:p>
              </w:tc>
              <w:tc>
                <w:tcPr>
                  <w:tcW w:w="3674" w:type="dxa"/>
                  <w:vAlign w:val="center"/>
                </w:tcPr>
                <w:p w14:paraId="4EB3887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u w:val="none"/>
                      <w:lang w:val="en-US" w:eastAsia="zh-CN" w:bidi="ar-SA"/>
                    </w:rPr>
                  </w:pPr>
                  <w:r>
                    <w:rPr>
                      <w:rFonts w:hint="default" w:eastAsia="宋体"/>
                      <w:sz w:val="21"/>
                      <w:szCs w:val="21"/>
                      <w:u w:val="none"/>
                      <w:lang w:val="en-US" w:eastAsia="zh-CN"/>
                    </w:rPr>
                    <w:t>项目上游100m处</w:t>
                  </w:r>
                </w:p>
              </w:tc>
              <w:tc>
                <w:tcPr>
                  <w:tcW w:w="2596" w:type="dxa"/>
                  <w:vAlign w:val="center"/>
                </w:tcPr>
                <w:p w14:paraId="1DFA3D87">
                  <w:pPr>
                    <w:adjustRightInd w:val="0"/>
                    <w:snapToGrid w:val="0"/>
                    <w:jc w:val="center"/>
                    <w:rPr>
                      <w:rFonts w:hint="default" w:ascii="Times New Roman" w:hAnsi="Times New Roman" w:cs="Times New Roman"/>
                      <w:color w:val="auto"/>
                      <w:sz w:val="21"/>
                      <w:szCs w:val="21"/>
                      <w:u w:val="none"/>
                      <w:lang w:val="en-US"/>
                    </w:rPr>
                  </w:pPr>
                  <w:r>
                    <w:rPr>
                      <w:rFonts w:hint="eastAsia" w:ascii="Times New Roman" w:hAnsi="Times New Roman" w:cs="Times New Roman"/>
                      <w:color w:val="auto"/>
                      <w:sz w:val="21"/>
                      <w:szCs w:val="21"/>
                      <w:u w:val="none"/>
                      <w:lang w:val="en-US" w:eastAsia="zh-CN"/>
                    </w:rPr>
                    <w:t>底泥</w:t>
                  </w:r>
                </w:p>
              </w:tc>
            </w:tr>
            <w:tr w14:paraId="0A8C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2" w:type="dxa"/>
                  <w:vAlign w:val="center"/>
                </w:tcPr>
                <w:p w14:paraId="78639F1E">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T2</w:t>
                  </w:r>
                </w:p>
              </w:tc>
              <w:tc>
                <w:tcPr>
                  <w:tcW w:w="3674" w:type="dxa"/>
                  <w:vAlign w:val="center"/>
                </w:tcPr>
                <w:p w14:paraId="4DE3D4AE">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项目下游 500m 处</w:t>
                  </w:r>
                </w:p>
              </w:tc>
              <w:tc>
                <w:tcPr>
                  <w:tcW w:w="2596" w:type="dxa"/>
                  <w:vAlign w:val="center"/>
                </w:tcPr>
                <w:p w14:paraId="3450E824">
                  <w:pPr>
                    <w:adjustRightInd w:val="0"/>
                    <w:snapToGrid w:val="0"/>
                    <w:jc w:val="center"/>
                    <w:rPr>
                      <w:rFonts w:hint="eastAsia"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底泥</w:t>
                  </w:r>
                </w:p>
              </w:tc>
            </w:tr>
            <w:tr w14:paraId="5B38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2" w:type="dxa"/>
                  <w:vAlign w:val="center"/>
                </w:tcPr>
                <w:p w14:paraId="3078F1C3">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T3</w:t>
                  </w:r>
                </w:p>
              </w:tc>
              <w:tc>
                <w:tcPr>
                  <w:tcW w:w="3674" w:type="dxa"/>
                  <w:vAlign w:val="center"/>
                </w:tcPr>
                <w:p w14:paraId="6924B3A2">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u w:val="none"/>
                      <w:lang w:val="en-US" w:eastAsia="zh-CN"/>
                    </w:rPr>
                  </w:pPr>
                  <w:r>
                    <w:rPr>
                      <w:rFonts w:hint="eastAsia"/>
                      <w:sz w:val="21"/>
                      <w:szCs w:val="21"/>
                      <w:u w:val="none"/>
                      <w:lang w:val="en-US" w:eastAsia="zh-CN"/>
                    </w:rPr>
                    <w:t>项目所在地附近</w:t>
                  </w:r>
                </w:p>
              </w:tc>
              <w:tc>
                <w:tcPr>
                  <w:tcW w:w="2596" w:type="dxa"/>
                  <w:vAlign w:val="center"/>
                </w:tcPr>
                <w:p w14:paraId="3CE5E222">
                  <w:pPr>
                    <w:adjustRightInd w:val="0"/>
                    <w:snapToGrid w:val="0"/>
                    <w:jc w:val="center"/>
                    <w:rPr>
                      <w:rFonts w:hint="eastAsia"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土壤</w:t>
                  </w:r>
                </w:p>
              </w:tc>
            </w:tr>
          </w:tbl>
          <w:p w14:paraId="70D78E3E">
            <w:pPr>
              <w:spacing w:line="360" w:lineRule="auto"/>
              <w:ind w:firstLine="480" w:firstLineChars="200"/>
              <w:rPr>
                <w:rFonts w:ascii="Times New Roman"/>
                <w:color w:val="auto"/>
                <w:sz w:val="24"/>
                <w:u w:val="none"/>
              </w:rPr>
            </w:pPr>
            <w:r>
              <w:rPr>
                <w:rFonts w:ascii="Times New Roman"/>
                <w:color w:val="auto"/>
                <w:sz w:val="24"/>
                <w:u w:val="none"/>
              </w:rPr>
              <w:t>（2）监测因子、时间及频次</w:t>
            </w:r>
          </w:p>
          <w:p w14:paraId="14E8E864">
            <w:pPr>
              <w:spacing w:line="360" w:lineRule="auto"/>
              <w:ind w:firstLine="480" w:firstLineChars="200"/>
              <w:rPr>
                <w:rFonts w:hint="default" w:ascii="Times New Roman" w:hAnsi="宋体" w:eastAsia="宋体"/>
                <w:bCs/>
                <w:color w:val="auto"/>
                <w:spacing w:val="0"/>
                <w:sz w:val="24"/>
                <w:u w:val="none"/>
                <w:lang w:val="en-US" w:eastAsia="zh-CN"/>
              </w:rPr>
            </w:pPr>
            <w:r>
              <w:rPr>
                <w:rFonts w:ascii="Times New Roman" w:hAnsi="宋体"/>
                <w:bCs/>
                <w:color w:val="auto"/>
                <w:spacing w:val="0"/>
                <w:sz w:val="24"/>
                <w:u w:val="none"/>
              </w:rPr>
              <w:t>监测因子</w:t>
            </w:r>
            <w:r>
              <w:rPr>
                <w:rFonts w:hint="eastAsia" w:ascii="Times New Roman" w:hAnsi="宋体"/>
                <w:bCs/>
                <w:color w:val="auto"/>
                <w:spacing w:val="0"/>
                <w:sz w:val="24"/>
                <w:u w:val="none"/>
                <w:lang w:eastAsia="zh-CN"/>
              </w:rPr>
              <w:t>：</w:t>
            </w:r>
            <w:r>
              <w:rPr>
                <w:rFonts w:ascii="Times New Roman" w:hAnsi="Times New Roman" w:eastAsia="Times New Roman" w:cs="Times New Roman"/>
                <w:color w:val="auto"/>
                <w:spacing w:val="0"/>
                <w:sz w:val="24"/>
                <w:szCs w:val="24"/>
                <w:u w:val="none"/>
              </w:rPr>
              <w:t>pH</w:t>
            </w:r>
            <w:r>
              <w:rPr>
                <w:rFonts w:ascii="宋体" w:hAnsi="宋体" w:eastAsia="宋体" w:cs="宋体"/>
                <w:color w:val="auto"/>
                <w:spacing w:val="0"/>
                <w:sz w:val="24"/>
                <w:szCs w:val="24"/>
                <w:u w:val="none"/>
              </w:rPr>
              <w:t>、汞、砷、铜、镉、铅、铬、镍</w:t>
            </w:r>
            <w:r>
              <w:rPr>
                <w:rFonts w:hint="eastAsia" w:ascii="Times New Roman" w:hAnsi="宋体" w:eastAsia="宋体"/>
                <w:bCs/>
                <w:color w:val="auto"/>
                <w:spacing w:val="0"/>
                <w:sz w:val="24"/>
                <w:u w:val="none"/>
                <w:lang w:eastAsia="zh-CN"/>
              </w:rPr>
              <w:t>、</w:t>
            </w:r>
            <w:r>
              <w:rPr>
                <w:rFonts w:hint="eastAsia" w:ascii="Times New Roman" w:hAnsi="宋体" w:eastAsia="宋体"/>
                <w:bCs/>
                <w:color w:val="auto"/>
                <w:spacing w:val="0"/>
                <w:sz w:val="24"/>
                <w:u w:val="none"/>
                <w:lang w:val="en-US" w:eastAsia="zh-CN"/>
              </w:rPr>
              <w:t>土壤含盐量。</w:t>
            </w:r>
          </w:p>
          <w:p w14:paraId="078FE2BF">
            <w:pPr>
              <w:spacing w:line="360" w:lineRule="auto"/>
              <w:ind w:firstLine="480" w:firstLineChars="200"/>
              <w:rPr>
                <w:rFonts w:ascii="Times New Roman"/>
                <w:bCs/>
                <w:color w:val="auto"/>
                <w:spacing w:val="0"/>
                <w:sz w:val="24"/>
                <w:highlight w:val="cyan"/>
                <w:u w:val="none"/>
              </w:rPr>
            </w:pPr>
            <w:r>
              <w:rPr>
                <w:rFonts w:hint="eastAsia" w:ascii="Times New Roman" w:hAnsi="宋体"/>
                <w:bCs/>
                <w:color w:val="auto"/>
                <w:spacing w:val="0"/>
                <w:sz w:val="24"/>
                <w:u w:val="none"/>
                <w:lang w:val="en-US" w:eastAsia="zh-CN"/>
              </w:rPr>
              <w:t>监测时间：</w:t>
            </w:r>
            <w:r>
              <w:rPr>
                <w:rFonts w:ascii="宋体" w:hAnsi="宋体" w:eastAsia="宋体" w:cs="宋体"/>
                <w:color w:val="auto"/>
                <w:spacing w:val="0"/>
                <w:sz w:val="24"/>
                <w:szCs w:val="24"/>
                <w:u w:val="none"/>
              </w:rPr>
              <w:t>由</w:t>
            </w:r>
            <w:r>
              <w:rPr>
                <w:rFonts w:hint="eastAsia" w:ascii="宋体" w:hAnsi="宋体" w:eastAsia="宋体" w:cs="宋体"/>
                <w:color w:val="auto"/>
                <w:spacing w:val="0"/>
                <w:sz w:val="24"/>
                <w:szCs w:val="24"/>
                <w:u w:val="none"/>
                <w:lang w:eastAsia="zh-CN"/>
              </w:rPr>
              <w:t>湖南</w:t>
            </w:r>
            <w:r>
              <w:rPr>
                <w:rFonts w:hint="eastAsia" w:ascii="宋体" w:hAnsi="宋体" w:eastAsia="宋体" w:cs="宋体"/>
                <w:color w:val="auto"/>
                <w:spacing w:val="0"/>
                <w:sz w:val="24"/>
                <w:szCs w:val="24"/>
                <w:u w:val="none"/>
                <w:lang w:val="en-US" w:eastAsia="zh-CN"/>
              </w:rPr>
              <w:t>瑞鉴</w:t>
            </w:r>
            <w:r>
              <w:rPr>
                <w:rFonts w:hint="eastAsia" w:ascii="宋体" w:hAnsi="宋体" w:eastAsia="宋体" w:cs="宋体"/>
                <w:color w:val="auto"/>
                <w:spacing w:val="0"/>
                <w:sz w:val="24"/>
                <w:szCs w:val="24"/>
                <w:u w:val="none"/>
                <w:lang w:eastAsia="zh-CN"/>
              </w:rPr>
              <w:t>检测有限公司</w:t>
            </w:r>
            <w:r>
              <w:rPr>
                <w:rFonts w:ascii="宋体" w:hAnsi="宋体" w:eastAsia="宋体" w:cs="宋体"/>
                <w:color w:val="auto"/>
                <w:spacing w:val="0"/>
                <w:sz w:val="24"/>
                <w:szCs w:val="24"/>
                <w:u w:val="none"/>
              </w:rPr>
              <w:t>于</w:t>
            </w:r>
            <w:r>
              <w:rPr>
                <w:rFonts w:hint="default" w:ascii="Times New Roman" w:hAnsi="Times New Roman" w:eastAsia="宋体" w:cs="Times New Roman"/>
                <w:color w:val="auto"/>
                <w:spacing w:val="0"/>
                <w:sz w:val="24"/>
                <w:szCs w:val="24"/>
                <w:u w:val="none"/>
              </w:rPr>
              <w:t>202</w:t>
            </w:r>
            <w:r>
              <w:rPr>
                <w:rFonts w:hint="eastAsia" w:ascii="Times New Roman" w:hAnsi="Times New Roman" w:eastAsia="宋体" w:cs="Times New Roman"/>
                <w:color w:val="auto"/>
                <w:spacing w:val="0"/>
                <w:sz w:val="24"/>
                <w:szCs w:val="24"/>
                <w:u w:val="none"/>
                <w:lang w:val="en-US" w:eastAsia="zh-CN"/>
              </w:rPr>
              <w:t>6</w:t>
            </w:r>
            <w:r>
              <w:rPr>
                <w:rFonts w:hint="default" w:ascii="Times New Roman" w:hAnsi="Times New Roman" w:eastAsia="宋体" w:cs="Times New Roman"/>
                <w:color w:val="auto"/>
                <w:spacing w:val="0"/>
                <w:sz w:val="24"/>
                <w:szCs w:val="24"/>
                <w:u w:val="none"/>
              </w:rPr>
              <w:t>年</w:t>
            </w:r>
            <w:r>
              <w:rPr>
                <w:rFonts w:hint="eastAsia" w:ascii="Times New Roman" w:hAnsi="Times New Roman" w:eastAsia="宋体" w:cs="Times New Roman"/>
                <w:color w:val="auto"/>
                <w:spacing w:val="0"/>
                <w:sz w:val="24"/>
                <w:szCs w:val="24"/>
                <w:u w:val="none"/>
                <w:lang w:val="en-US" w:eastAsia="zh-CN"/>
              </w:rPr>
              <w:t>2</w:t>
            </w:r>
            <w:r>
              <w:rPr>
                <w:rFonts w:hint="default" w:ascii="Times New Roman" w:hAnsi="Times New Roman" w:eastAsia="宋体" w:cs="Times New Roman"/>
                <w:color w:val="auto"/>
                <w:spacing w:val="0"/>
                <w:sz w:val="24"/>
                <w:szCs w:val="24"/>
                <w:u w:val="none"/>
              </w:rPr>
              <w:t>月</w:t>
            </w:r>
            <w:r>
              <w:rPr>
                <w:rFonts w:hint="eastAsia" w:ascii="Times New Roman" w:hAnsi="Times New Roman" w:eastAsia="宋体" w:cs="Times New Roman"/>
                <w:color w:val="auto"/>
                <w:spacing w:val="0"/>
                <w:sz w:val="24"/>
                <w:szCs w:val="24"/>
                <w:u w:val="none"/>
                <w:lang w:val="en-US" w:eastAsia="zh-CN"/>
              </w:rPr>
              <w:t>26</w:t>
            </w:r>
            <w:r>
              <w:rPr>
                <w:rFonts w:ascii="宋体" w:hAnsi="宋体" w:eastAsia="宋体" w:cs="宋体"/>
                <w:color w:val="auto"/>
                <w:spacing w:val="0"/>
                <w:sz w:val="24"/>
                <w:szCs w:val="24"/>
                <w:u w:val="none"/>
              </w:rPr>
              <w:t>日进行</w:t>
            </w:r>
            <w:r>
              <w:rPr>
                <w:rFonts w:hint="eastAsia" w:ascii="宋体" w:hAnsi="宋体" w:eastAsia="宋体" w:cs="宋体"/>
                <w:color w:val="auto"/>
                <w:spacing w:val="0"/>
                <w:sz w:val="24"/>
                <w:szCs w:val="24"/>
                <w:u w:val="none"/>
                <w:lang w:val="en-US" w:eastAsia="zh-CN"/>
              </w:rPr>
              <w:t>采样</w:t>
            </w:r>
            <w:r>
              <w:rPr>
                <w:rFonts w:ascii="宋体" w:hAnsi="宋体" w:eastAsia="宋体" w:cs="宋体"/>
                <w:color w:val="auto"/>
                <w:spacing w:val="0"/>
                <w:sz w:val="24"/>
                <w:szCs w:val="24"/>
                <w:u w:val="none"/>
              </w:rPr>
              <w:t>监测。</w:t>
            </w:r>
          </w:p>
          <w:p w14:paraId="36BE75B6">
            <w:pPr>
              <w:spacing w:line="360" w:lineRule="auto"/>
              <w:ind w:firstLine="480" w:firstLineChars="200"/>
              <w:rPr>
                <w:rFonts w:ascii="Times New Roman"/>
                <w:color w:val="auto"/>
                <w:sz w:val="24"/>
                <w:u w:val="none"/>
              </w:rPr>
            </w:pPr>
            <w:r>
              <w:rPr>
                <w:rFonts w:ascii="Times New Roman"/>
                <w:color w:val="auto"/>
                <w:sz w:val="24"/>
                <w:u w:val="none"/>
              </w:rPr>
              <w:t>（3）监测方法</w:t>
            </w:r>
          </w:p>
          <w:p w14:paraId="08B16BA7">
            <w:pPr>
              <w:spacing w:line="360" w:lineRule="auto"/>
              <w:ind w:firstLine="480" w:firstLineChars="200"/>
              <w:rPr>
                <w:rFonts w:ascii="Times New Roman"/>
                <w:bCs/>
                <w:color w:val="auto"/>
                <w:sz w:val="24"/>
                <w:u w:val="none"/>
              </w:rPr>
            </w:pPr>
            <w:r>
              <w:rPr>
                <w:rFonts w:ascii="Times New Roman"/>
                <w:color w:val="auto"/>
                <w:sz w:val="24"/>
                <w:u w:val="none"/>
              </w:rPr>
              <w:t>参照</w:t>
            </w:r>
            <w:r>
              <w:rPr>
                <w:rFonts w:hint="default" w:ascii="Times New Roman" w:hAnsi="Times New Roman" w:cs="Times New Roman"/>
                <w:color w:val="auto"/>
                <w:sz w:val="24"/>
                <w:u w:val="none"/>
              </w:rPr>
              <w:t>《土壤环境质量 农用地土壤污染风险管控标准（试行）》(GB 15618</w:t>
            </w:r>
            <w:r>
              <w:rPr>
                <w:rFonts w:hint="eastAsia" w:ascii="Times New Roman" w:hAnsi="Times New Roman" w:cs="Times New Roman"/>
                <w:color w:val="auto"/>
                <w:sz w:val="24"/>
                <w:u w:val="none"/>
                <w:lang w:val="en-US" w:eastAsia="zh-CN"/>
              </w:rPr>
              <w:t>-</w:t>
            </w:r>
            <w:r>
              <w:rPr>
                <w:rFonts w:hint="default" w:ascii="Times New Roman" w:hAnsi="Times New Roman" w:cs="Times New Roman"/>
                <w:color w:val="auto"/>
                <w:sz w:val="24"/>
                <w:u w:val="none"/>
              </w:rPr>
              <w:t>2018）</w:t>
            </w:r>
            <w:r>
              <w:rPr>
                <w:rFonts w:ascii="Times New Roman"/>
                <w:color w:val="auto"/>
                <w:sz w:val="24"/>
                <w:u w:val="none"/>
              </w:rPr>
              <w:t>中相关要求进行</w:t>
            </w:r>
            <w:r>
              <w:rPr>
                <w:rFonts w:ascii="Times New Roman" w:hAnsi="宋体"/>
                <w:bCs/>
                <w:color w:val="auto"/>
                <w:sz w:val="24"/>
                <w:u w:val="none"/>
              </w:rPr>
              <w:t>。</w:t>
            </w:r>
          </w:p>
          <w:p w14:paraId="6155C923">
            <w:pPr>
              <w:spacing w:line="360" w:lineRule="auto"/>
              <w:ind w:firstLine="504" w:firstLineChars="200"/>
              <w:rPr>
                <w:rFonts w:ascii="Times New Roman"/>
                <w:color w:val="auto"/>
                <w:spacing w:val="6"/>
                <w:sz w:val="24"/>
                <w:szCs w:val="24"/>
                <w:u w:val="none"/>
              </w:rPr>
            </w:pPr>
            <w:r>
              <w:rPr>
                <w:rFonts w:ascii="Times New Roman"/>
                <w:color w:val="auto"/>
                <w:spacing w:val="6"/>
                <w:sz w:val="24"/>
                <w:szCs w:val="24"/>
                <w:u w:val="none"/>
              </w:rPr>
              <w:t>（4）土壤质量现状评价</w:t>
            </w:r>
          </w:p>
          <w:p w14:paraId="58689AC7">
            <w:pPr>
              <w:pStyle w:val="12"/>
              <w:spacing w:line="360" w:lineRule="auto"/>
              <w:rPr>
                <w:color w:val="auto"/>
                <w:u w:val="none"/>
              </w:rPr>
            </w:pPr>
            <w:r>
              <w:rPr>
                <w:color w:val="auto"/>
                <w:spacing w:val="6"/>
                <w:sz w:val="24"/>
                <w:szCs w:val="24"/>
                <w:u w:val="none"/>
              </w:rPr>
              <w:t>土壤</w:t>
            </w:r>
            <w:r>
              <w:rPr>
                <w:rFonts w:hint="eastAsia"/>
                <w:color w:val="auto"/>
                <w:spacing w:val="6"/>
                <w:sz w:val="24"/>
                <w:szCs w:val="24"/>
                <w:u w:val="none"/>
                <w:lang w:val="en-US" w:eastAsia="zh-CN"/>
              </w:rPr>
              <w:t>底泥</w:t>
            </w:r>
            <w:r>
              <w:rPr>
                <w:color w:val="auto"/>
                <w:spacing w:val="6"/>
                <w:sz w:val="24"/>
                <w:szCs w:val="24"/>
                <w:u w:val="none"/>
              </w:rPr>
              <w:t>质量现状评价结果见表</w:t>
            </w:r>
            <w:r>
              <w:rPr>
                <w:rFonts w:hint="eastAsia"/>
                <w:color w:val="auto"/>
                <w:spacing w:val="6"/>
                <w:sz w:val="24"/>
                <w:szCs w:val="24"/>
                <w:u w:val="none"/>
                <w:lang w:val="en-US" w:eastAsia="zh-CN"/>
              </w:rPr>
              <w:t>3-6</w:t>
            </w:r>
            <w:r>
              <w:rPr>
                <w:color w:val="auto"/>
                <w:spacing w:val="6"/>
                <w:sz w:val="24"/>
                <w:szCs w:val="24"/>
                <w:u w:val="none"/>
              </w:rPr>
              <w:t>。</w:t>
            </w:r>
          </w:p>
          <w:p w14:paraId="2A865E6D">
            <w:pPr>
              <w:pStyle w:val="30"/>
              <w:jc w:val="center"/>
              <w:rPr>
                <w:rFonts w:ascii="Times New Roman" w:hAnsi="Times New Roman"/>
                <w:b/>
                <w:bCs/>
                <w:color w:val="auto"/>
                <w:kern w:val="0"/>
                <w:sz w:val="24"/>
                <w:u w:val="none"/>
              </w:rPr>
            </w:pPr>
            <w:r>
              <w:rPr>
                <w:rFonts w:hint="eastAsia" w:ascii="Times New Roman" w:hAnsi="Times New Roman"/>
                <w:b/>
                <w:bCs/>
                <w:color w:val="auto"/>
                <w:kern w:val="0"/>
                <w:sz w:val="24"/>
                <w:u w:val="none"/>
              </w:rPr>
              <w:t>表</w:t>
            </w:r>
            <w:r>
              <w:rPr>
                <w:rFonts w:hint="eastAsia" w:ascii="Times New Roman" w:hAnsi="Times New Roman"/>
                <w:b/>
                <w:bCs/>
                <w:color w:val="auto"/>
                <w:kern w:val="0"/>
                <w:sz w:val="24"/>
                <w:u w:val="none"/>
                <w:lang w:val="en-US" w:eastAsia="zh-CN"/>
              </w:rPr>
              <w:t>3-6</w:t>
            </w:r>
            <w:r>
              <w:rPr>
                <w:rFonts w:hint="eastAsia" w:ascii="Times New Roman" w:hAnsi="Times New Roman"/>
                <w:b/>
                <w:bCs/>
                <w:color w:val="auto"/>
                <w:kern w:val="0"/>
                <w:sz w:val="24"/>
                <w:u w:val="none"/>
              </w:rPr>
              <w:t xml:space="preserve"> </w:t>
            </w:r>
            <w:r>
              <w:rPr>
                <w:rFonts w:hint="eastAsia" w:ascii="Times New Roman" w:hAnsi="Times New Roman" w:eastAsia="宋体"/>
                <w:b/>
                <w:bCs/>
                <w:color w:val="auto"/>
                <w:kern w:val="0"/>
                <w:sz w:val="24"/>
                <w:u w:val="none"/>
                <w:lang w:eastAsia="zh-CN"/>
              </w:rPr>
              <w:t>土壤</w:t>
            </w:r>
            <w:r>
              <w:rPr>
                <w:rFonts w:hint="eastAsia" w:ascii="Times New Roman" w:hAnsi="Times New Roman"/>
                <w:b/>
                <w:bCs/>
                <w:color w:val="auto"/>
                <w:kern w:val="0"/>
                <w:sz w:val="24"/>
                <w:u w:val="none"/>
                <w:lang w:eastAsia="zh-CN"/>
              </w:rPr>
              <w:t>、</w:t>
            </w:r>
            <w:r>
              <w:rPr>
                <w:rFonts w:hint="eastAsia" w:ascii="Times New Roman" w:hAnsi="Times New Roman" w:eastAsia="宋体"/>
                <w:b/>
                <w:bCs/>
                <w:color w:val="auto"/>
                <w:kern w:val="0"/>
                <w:sz w:val="24"/>
                <w:u w:val="none"/>
                <w:lang w:val="en-US" w:eastAsia="zh-CN"/>
              </w:rPr>
              <w:t>底泥</w:t>
            </w:r>
            <w:r>
              <w:rPr>
                <w:rFonts w:hint="eastAsia" w:ascii="Times New Roman" w:hAnsi="Times New Roman" w:eastAsia="宋体"/>
                <w:b/>
                <w:bCs/>
                <w:color w:val="auto"/>
                <w:kern w:val="0"/>
                <w:sz w:val="24"/>
                <w:u w:val="none"/>
                <w:lang w:eastAsia="zh-CN"/>
              </w:rPr>
              <w:t>监测</w:t>
            </w:r>
            <w:r>
              <w:rPr>
                <w:rFonts w:hint="eastAsia" w:ascii="Times New Roman" w:hAnsi="Times New Roman"/>
                <w:b/>
                <w:bCs/>
                <w:color w:val="auto"/>
                <w:kern w:val="0"/>
                <w:sz w:val="24"/>
                <w:u w:val="none"/>
              </w:rPr>
              <w:t xml:space="preserve">结果一览表  </w:t>
            </w:r>
          </w:p>
          <w:tbl>
            <w:tblPr>
              <w:tblStyle w:val="46"/>
              <w:tblW w:w="8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925"/>
              <w:gridCol w:w="1055"/>
              <w:gridCol w:w="975"/>
              <w:gridCol w:w="3144"/>
            </w:tblGrid>
            <w:tr w14:paraId="6394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413" w:type="dxa"/>
                  <w:vMerge w:val="restart"/>
                  <w:vAlign w:val="center"/>
                </w:tcPr>
                <w:p w14:paraId="67A749FB">
                  <w:pPr>
                    <w:pStyle w:val="227"/>
                    <w:snapToGrid w:val="0"/>
                    <w:jc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eastAsia="zh-CN"/>
                    </w:rPr>
                    <w:t>检测项目</w:t>
                  </w:r>
                </w:p>
              </w:tc>
              <w:tc>
                <w:tcPr>
                  <w:tcW w:w="2955" w:type="dxa"/>
                  <w:gridSpan w:val="3"/>
                  <w:vAlign w:val="center"/>
                </w:tcPr>
                <w:p w14:paraId="695970A7">
                  <w:pPr>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检测结果</w:t>
                  </w:r>
                  <w:r>
                    <w:rPr>
                      <w:rFonts w:hint="default" w:ascii="Times New Roman" w:hAnsi="Times New Roman" w:eastAsia="宋体" w:cs="Times New Roman"/>
                      <w:color w:val="auto"/>
                      <w:sz w:val="21"/>
                      <w:szCs w:val="21"/>
                      <w:u w:val="none"/>
                      <w:lang w:val="en-US" w:eastAsia="zh-CN"/>
                    </w:rPr>
                    <w:t xml:space="preserve"> </w:t>
                  </w:r>
                  <w:r>
                    <w:rPr>
                      <w:rFonts w:hint="default" w:ascii="Times New Roman" w:hAnsi="Times New Roman" w:eastAsia="宋体" w:cs="Times New Roman"/>
                      <w:color w:val="auto"/>
                      <w:sz w:val="21"/>
                      <w:szCs w:val="21"/>
                      <w:u w:val="none"/>
                    </w:rPr>
                    <w:t>(</w:t>
                  </w:r>
                  <w:r>
                    <w:rPr>
                      <w:rFonts w:hint="default" w:ascii="Times New Roman" w:hAnsi="Times New Roman" w:eastAsia="宋体" w:cs="Times New Roman"/>
                      <w:color w:val="auto"/>
                      <w:sz w:val="21"/>
                      <w:szCs w:val="21"/>
                      <w:u w:val="none"/>
                      <w:lang w:val="en-US" w:eastAsia="zh-CN"/>
                    </w:rPr>
                    <w:t>mg/kg</w:t>
                  </w:r>
                  <w:r>
                    <w:rPr>
                      <w:rFonts w:hint="default" w:ascii="Times New Roman" w:hAnsi="Times New Roman" w:eastAsia="宋体" w:cs="Times New Roman"/>
                      <w:color w:val="auto"/>
                      <w:sz w:val="21"/>
                      <w:szCs w:val="21"/>
                      <w:u w:val="none"/>
                    </w:rPr>
                    <w:t>)</w:t>
                  </w:r>
                </w:p>
              </w:tc>
              <w:tc>
                <w:tcPr>
                  <w:tcW w:w="3144" w:type="dxa"/>
                  <w:vMerge w:val="restart"/>
                  <w:vAlign w:val="center"/>
                </w:tcPr>
                <w:p w14:paraId="40344C6C">
                  <w:pPr>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b w:val="0"/>
                      <w:bCs w:val="0"/>
                      <w:color w:val="auto"/>
                      <w:spacing w:val="-1"/>
                      <w:sz w:val="21"/>
                      <w:szCs w:val="21"/>
                      <w:u w:val="none"/>
                    </w:rPr>
                    <w:t>《土壤环境质量</w:t>
                  </w:r>
                  <w:r>
                    <w:rPr>
                      <w:rFonts w:hint="default" w:ascii="Times New Roman" w:hAnsi="Times New Roman" w:eastAsia="宋体" w:cs="Times New Roman"/>
                      <w:b w:val="0"/>
                      <w:bCs w:val="0"/>
                      <w:color w:val="auto"/>
                      <w:sz w:val="21"/>
                      <w:szCs w:val="21"/>
                      <w:u w:val="none"/>
                    </w:rPr>
                    <w:t>农用地土壤污</w:t>
                  </w:r>
                  <w:r>
                    <w:rPr>
                      <w:rFonts w:hint="default" w:ascii="Times New Roman" w:hAnsi="Times New Roman" w:eastAsia="宋体" w:cs="Times New Roman"/>
                      <w:b w:val="0"/>
                      <w:bCs w:val="0"/>
                      <w:color w:val="auto"/>
                      <w:spacing w:val="12"/>
                      <w:sz w:val="21"/>
                      <w:szCs w:val="21"/>
                      <w:u w:val="none"/>
                    </w:rPr>
                    <w:t>染</w:t>
                  </w:r>
                  <w:r>
                    <w:rPr>
                      <w:rFonts w:hint="default" w:ascii="Times New Roman" w:hAnsi="Times New Roman" w:eastAsia="宋体" w:cs="Times New Roman"/>
                      <w:b w:val="0"/>
                      <w:bCs w:val="0"/>
                      <w:color w:val="auto"/>
                      <w:spacing w:val="9"/>
                      <w:sz w:val="21"/>
                      <w:szCs w:val="21"/>
                      <w:u w:val="none"/>
                    </w:rPr>
                    <w:t>风</w:t>
                  </w:r>
                  <w:r>
                    <w:rPr>
                      <w:rFonts w:hint="default" w:ascii="Times New Roman" w:hAnsi="Times New Roman" w:eastAsia="宋体" w:cs="Times New Roman"/>
                      <w:b w:val="0"/>
                      <w:bCs w:val="0"/>
                      <w:color w:val="auto"/>
                      <w:spacing w:val="6"/>
                      <w:sz w:val="21"/>
                      <w:szCs w:val="21"/>
                      <w:u w:val="none"/>
                    </w:rPr>
                    <w:t>险管控标准</w:t>
                  </w:r>
                  <w:r>
                    <w:rPr>
                      <w:rFonts w:hint="default" w:ascii="Times New Roman" w:hAnsi="Times New Roman" w:eastAsia="宋体" w:cs="Times New Roman"/>
                      <w:b w:val="0"/>
                      <w:bCs w:val="0"/>
                      <w:color w:val="auto"/>
                      <w:spacing w:val="6"/>
                      <w:sz w:val="21"/>
                      <w:szCs w:val="21"/>
                      <w:u w:val="none"/>
                      <w:lang w:eastAsia="zh-CN"/>
                    </w:rPr>
                    <w:t>（</w:t>
                  </w:r>
                  <w:r>
                    <w:rPr>
                      <w:rFonts w:hint="default" w:ascii="Times New Roman" w:hAnsi="Times New Roman" w:eastAsia="宋体" w:cs="Times New Roman"/>
                      <w:b w:val="0"/>
                      <w:bCs w:val="0"/>
                      <w:color w:val="auto"/>
                      <w:spacing w:val="6"/>
                      <w:sz w:val="21"/>
                      <w:szCs w:val="21"/>
                      <w:u w:val="none"/>
                    </w:rPr>
                    <w:t>试行</w:t>
                  </w:r>
                  <w:r>
                    <w:rPr>
                      <w:rFonts w:hint="default" w:ascii="Times New Roman" w:hAnsi="Times New Roman" w:eastAsia="宋体" w:cs="Times New Roman"/>
                      <w:b w:val="0"/>
                      <w:bCs w:val="0"/>
                      <w:color w:val="auto"/>
                      <w:spacing w:val="6"/>
                      <w:sz w:val="21"/>
                      <w:szCs w:val="21"/>
                      <w:u w:val="none"/>
                      <w:lang w:eastAsia="zh-CN"/>
                    </w:rPr>
                    <w:t>）</w:t>
                  </w:r>
                  <w:r>
                    <w:rPr>
                      <w:rFonts w:hint="default" w:ascii="Times New Roman" w:hAnsi="Times New Roman" w:eastAsia="宋体" w:cs="Times New Roman"/>
                      <w:b w:val="0"/>
                      <w:bCs w:val="0"/>
                      <w:color w:val="auto"/>
                      <w:spacing w:val="6"/>
                      <w:sz w:val="21"/>
                      <w:szCs w:val="21"/>
                      <w:u w:val="none"/>
                    </w:rPr>
                    <w:t>》</w:t>
                  </w:r>
                  <w:r>
                    <w:rPr>
                      <w:rFonts w:hint="default" w:ascii="Times New Roman" w:hAnsi="Times New Roman" w:eastAsia="宋体" w:cs="Times New Roman"/>
                      <w:b w:val="0"/>
                      <w:bCs w:val="0"/>
                      <w:color w:val="auto"/>
                      <w:spacing w:val="-1"/>
                      <w:sz w:val="21"/>
                      <w:szCs w:val="21"/>
                      <w:u w:val="none"/>
                      <w:lang w:eastAsia="zh-CN"/>
                    </w:rPr>
                    <w:t>（</w:t>
                  </w:r>
                  <w:r>
                    <w:rPr>
                      <w:rFonts w:hint="default" w:ascii="Times New Roman" w:hAnsi="Times New Roman" w:eastAsia="Times New Roman" w:cs="Times New Roman"/>
                      <w:b w:val="0"/>
                      <w:bCs w:val="0"/>
                      <w:color w:val="auto"/>
                      <w:sz w:val="21"/>
                      <w:szCs w:val="21"/>
                      <w:u w:val="none"/>
                    </w:rPr>
                    <w:t>GB</w:t>
                  </w:r>
                  <w:r>
                    <w:rPr>
                      <w:rFonts w:hint="default" w:ascii="Times New Roman" w:hAnsi="Times New Roman" w:eastAsia="Times New Roman" w:cs="Times New Roman"/>
                      <w:b w:val="0"/>
                      <w:bCs w:val="0"/>
                      <w:color w:val="auto"/>
                      <w:spacing w:val="-1"/>
                      <w:sz w:val="21"/>
                      <w:szCs w:val="21"/>
                      <w:u w:val="none"/>
                    </w:rPr>
                    <w:t>1561</w:t>
                  </w:r>
                  <w:r>
                    <w:rPr>
                      <w:rFonts w:hint="default" w:ascii="Times New Roman" w:hAnsi="Times New Roman" w:eastAsia="Times New Roman" w:cs="Times New Roman"/>
                      <w:b w:val="0"/>
                      <w:bCs w:val="0"/>
                      <w:color w:val="auto"/>
                      <w:sz w:val="21"/>
                      <w:szCs w:val="21"/>
                      <w:u w:val="none"/>
                    </w:rPr>
                    <w:t>8-2018</w:t>
                  </w:r>
                  <w:r>
                    <w:rPr>
                      <w:rFonts w:hint="default" w:ascii="Times New Roman" w:hAnsi="Times New Roman" w:eastAsia="宋体" w:cs="Times New Roman"/>
                      <w:b w:val="0"/>
                      <w:bCs w:val="0"/>
                      <w:color w:val="auto"/>
                      <w:sz w:val="21"/>
                      <w:szCs w:val="21"/>
                      <w:u w:val="none"/>
                      <w:lang w:eastAsia="zh-CN"/>
                    </w:rPr>
                    <w:t>）</w:t>
                  </w:r>
                  <w:r>
                    <w:rPr>
                      <w:rFonts w:hint="default" w:ascii="Times New Roman" w:hAnsi="Times New Roman" w:eastAsia="宋体" w:cs="Times New Roman"/>
                      <w:b w:val="0"/>
                      <w:bCs w:val="0"/>
                      <w:color w:val="auto"/>
                      <w:spacing w:val="-2"/>
                      <w:sz w:val="21"/>
                      <w:szCs w:val="21"/>
                      <w:u w:val="none"/>
                    </w:rPr>
                    <w:t>筛选</w:t>
                  </w:r>
                  <w:r>
                    <w:rPr>
                      <w:rFonts w:hint="default" w:ascii="Times New Roman" w:hAnsi="Times New Roman" w:eastAsia="宋体" w:cs="Times New Roman"/>
                      <w:b w:val="0"/>
                      <w:bCs w:val="0"/>
                      <w:color w:val="auto"/>
                      <w:spacing w:val="-1"/>
                      <w:sz w:val="21"/>
                      <w:szCs w:val="21"/>
                      <w:u w:val="none"/>
                    </w:rPr>
                    <w:t>值</w:t>
                  </w:r>
                </w:p>
              </w:tc>
            </w:tr>
            <w:tr w14:paraId="3989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413" w:type="dxa"/>
                  <w:vMerge w:val="continue"/>
                  <w:vAlign w:val="center"/>
                </w:tcPr>
                <w:p w14:paraId="12BBCA1E">
                  <w:pPr>
                    <w:jc w:val="center"/>
                    <w:rPr>
                      <w:u w:val="none"/>
                    </w:rPr>
                  </w:pPr>
                </w:p>
              </w:tc>
              <w:tc>
                <w:tcPr>
                  <w:tcW w:w="925" w:type="dxa"/>
                  <w:vAlign w:val="center"/>
                </w:tcPr>
                <w:p w14:paraId="73E4F4AF">
                  <w:pPr>
                    <w:jc w:val="center"/>
                    <w:rPr>
                      <w:rFonts w:hint="default" w:ascii="Times New Roman" w:hAnsi="Times New Roman" w:cs="Times New Roman" w:eastAsiaTheme="minorEastAsia"/>
                      <w:u w:val="none"/>
                      <w:lang w:val="en-US" w:eastAsia="zh-CN"/>
                    </w:rPr>
                  </w:pPr>
                  <w:r>
                    <w:rPr>
                      <w:rFonts w:hint="default" w:ascii="Times New Roman" w:hAnsi="Times New Roman" w:cs="Times New Roman"/>
                      <w:u w:val="none"/>
                      <w:lang w:val="en-US" w:eastAsia="zh-CN"/>
                    </w:rPr>
                    <w:t>T1</w:t>
                  </w:r>
                </w:p>
              </w:tc>
              <w:tc>
                <w:tcPr>
                  <w:tcW w:w="1055" w:type="dxa"/>
                  <w:vAlign w:val="center"/>
                </w:tcPr>
                <w:p w14:paraId="74FD4568">
                  <w:pPr>
                    <w:jc w:val="center"/>
                    <w:rPr>
                      <w:rFonts w:hint="default" w:ascii="Times New Roman" w:hAnsi="Times New Roman" w:cs="Times New Roman" w:eastAsiaTheme="minorEastAsia"/>
                      <w:u w:val="none"/>
                      <w:lang w:val="en-US" w:eastAsia="zh-CN"/>
                    </w:rPr>
                  </w:pPr>
                  <w:r>
                    <w:rPr>
                      <w:rFonts w:hint="default" w:ascii="Times New Roman" w:hAnsi="Times New Roman" w:cs="Times New Roman"/>
                      <w:u w:val="none"/>
                      <w:lang w:val="en-US" w:eastAsia="zh-CN"/>
                    </w:rPr>
                    <w:t>T2</w:t>
                  </w:r>
                </w:p>
              </w:tc>
              <w:tc>
                <w:tcPr>
                  <w:tcW w:w="975" w:type="dxa"/>
                  <w:vAlign w:val="center"/>
                </w:tcPr>
                <w:p w14:paraId="4317B2D6">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T3</w:t>
                  </w:r>
                </w:p>
              </w:tc>
              <w:tc>
                <w:tcPr>
                  <w:tcW w:w="3144" w:type="dxa"/>
                  <w:vMerge w:val="continue"/>
                  <w:vAlign w:val="center"/>
                </w:tcPr>
                <w:p w14:paraId="3FB80C09">
                  <w:pPr>
                    <w:jc w:val="center"/>
                    <w:rPr>
                      <w:rFonts w:hint="default" w:ascii="Times New Roman" w:hAnsi="Times New Roman" w:eastAsia="宋体" w:cs="Times New Roman"/>
                      <w:color w:val="auto"/>
                      <w:sz w:val="21"/>
                      <w:szCs w:val="21"/>
                      <w:u w:val="none"/>
                    </w:rPr>
                  </w:pPr>
                </w:p>
              </w:tc>
            </w:tr>
            <w:tr w14:paraId="5AD6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3" w:type="dxa"/>
                  <w:vAlign w:val="center"/>
                </w:tcPr>
                <w:p w14:paraId="34E86701">
                  <w:pPr>
                    <w:keepNext w:val="0"/>
                    <w:keepLines w:val="0"/>
                    <w:widowControl/>
                    <w:suppressLineNumbers w:val="0"/>
                    <w:jc w:val="center"/>
                    <w:textAlignment w:val="center"/>
                    <w:rPr>
                      <w:rFonts w:hint="default" w:ascii="Times New Roman" w:hAnsi="Times New Roman" w:eastAsia="新宋体" w:cs="Times New Roman"/>
                      <w:b w:val="0"/>
                      <w:bCs w:val="0"/>
                      <w:color w:val="auto"/>
                      <w:kern w:val="0"/>
                      <w:sz w:val="21"/>
                      <w:szCs w:val="21"/>
                      <w:u w:val="none"/>
                      <w:lang w:val="en-US" w:eastAsia="zh-CN"/>
                    </w:rPr>
                  </w:pPr>
                  <w:r>
                    <w:rPr>
                      <w:rFonts w:hint="default" w:ascii="Times New Roman" w:hAnsi="Times New Roman" w:eastAsia="新宋体" w:cs="Times New Roman"/>
                      <w:color w:val="auto"/>
                      <w:sz w:val="21"/>
                      <w:szCs w:val="21"/>
                      <w:u w:val="none"/>
                      <w:lang w:val="en-US" w:eastAsia="zh-CN"/>
                    </w:rPr>
                    <w:t>pH值（无量纲）</w:t>
                  </w:r>
                </w:p>
              </w:tc>
              <w:tc>
                <w:tcPr>
                  <w:tcW w:w="925" w:type="dxa"/>
                  <w:vAlign w:val="center"/>
                </w:tcPr>
                <w:p w14:paraId="2C9A0221">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5.67</w:t>
                  </w:r>
                </w:p>
              </w:tc>
              <w:tc>
                <w:tcPr>
                  <w:tcW w:w="1055" w:type="dxa"/>
                  <w:vAlign w:val="center"/>
                </w:tcPr>
                <w:p w14:paraId="3A08F3C1">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5.94</w:t>
                  </w:r>
                </w:p>
              </w:tc>
              <w:tc>
                <w:tcPr>
                  <w:tcW w:w="975" w:type="dxa"/>
                  <w:vAlign w:val="center"/>
                </w:tcPr>
                <w:p w14:paraId="0A19EDDA">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5.81</w:t>
                  </w:r>
                </w:p>
              </w:tc>
              <w:tc>
                <w:tcPr>
                  <w:tcW w:w="3144" w:type="dxa"/>
                  <w:vAlign w:val="center"/>
                </w:tcPr>
                <w:p w14:paraId="60D72071">
                  <w:pPr>
                    <w:jc w:val="center"/>
                    <w:rPr>
                      <w:rFonts w:hint="default" w:ascii="Times New Roman" w:hAnsi="Times New Roman" w:cs="Times New Roman"/>
                      <w:color w:val="auto"/>
                      <w:sz w:val="21"/>
                      <w:szCs w:val="21"/>
                      <w:u w:val="none"/>
                      <w:lang w:val="en-US" w:eastAsia="zh-CN"/>
                    </w:rPr>
                  </w:pPr>
                  <w:r>
                    <w:rPr>
                      <w:rFonts w:hint="eastAsia" w:ascii="Times New Roman" w:hAnsi="Times New Roman" w:eastAsia="宋体" w:cs="Times New Roman"/>
                      <w:b w:val="0"/>
                      <w:bCs w:val="0"/>
                      <w:color w:val="auto"/>
                      <w:spacing w:val="15"/>
                      <w:sz w:val="21"/>
                      <w:szCs w:val="21"/>
                      <w:u w:val="none"/>
                      <w:lang w:val="en-US" w:eastAsia="zh-CN"/>
                    </w:rPr>
                    <w:t>5</w:t>
                  </w:r>
                  <w:r>
                    <w:rPr>
                      <w:rFonts w:hint="default" w:ascii="Times New Roman" w:hAnsi="Times New Roman" w:eastAsia="Times New Roman" w:cs="Times New Roman"/>
                      <w:b w:val="0"/>
                      <w:bCs w:val="0"/>
                      <w:color w:val="auto"/>
                      <w:spacing w:val="14"/>
                      <w:sz w:val="21"/>
                      <w:szCs w:val="21"/>
                      <w:u w:val="none"/>
                    </w:rPr>
                    <w:t>.5</w:t>
                  </w:r>
                  <w:r>
                    <w:rPr>
                      <w:rFonts w:hint="default" w:ascii="Times New Roman" w:hAnsi="Times New Roman" w:eastAsia="宋体" w:cs="Times New Roman"/>
                      <w:b w:val="0"/>
                      <w:bCs w:val="0"/>
                      <w:color w:val="auto"/>
                      <w:spacing w:val="14"/>
                      <w:sz w:val="21"/>
                      <w:szCs w:val="21"/>
                      <w:u w:val="none"/>
                    </w:rPr>
                    <w:t>~</w:t>
                  </w:r>
                  <w:r>
                    <w:rPr>
                      <w:rFonts w:hint="eastAsia" w:ascii="Times New Roman" w:hAnsi="Times New Roman" w:eastAsia="宋体" w:cs="Times New Roman"/>
                      <w:b w:val="0"/>
                      <w:bCs w:val="0"/>
                      <w:color w:val="auto"/>
                      <w:spacing w:val="14"/>
                      <w:sz w:val="21"/>
                      <w:szCs w:val="21"/>
                      <w:u w:val="none"/>
                      <w:lang w:val="en-US" w:eastAsia="zh-CN"/>
                    </w:rPr>
                    <w:t>6</w:t>
                  </w:r>
                  <w:r>
                    <w:rPr>
                      <w:rFonts w:hint="default" w:ascii="Times New Roman" w:hAnsi="Times New Roman" w:eastAsia="Times New Roman" w:cs="Times New Roman"/>
                      <w:b w:val="0"/>
                      <w:bCs w:val="0"/>
                      <w:color w:val="auto"/>
                      <w:spacing w:val="14"/>
                      <w:sz w:val="21"/>
                      <w:szCs w:val="21"/>
                      <w:u w:val="none"/>
                    </w:rPr>
                    <w:t>.5</w:t>
                  </w:r>
                </w:p>
              </w:tc>
            </w:tr>
            <w:tr w14:paraId="0D79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3" w:type="dxa"/>
                  <w:vAlign w:val="center"/>
                </w:tcPr>
                <w:p w14:paraId="2BFD3420">
                  <w:pPr>
                    <w:keepNext w:val="0"/>
                    <w:keepLines w:val="0"/>
                    <w:widowControl/>
                    <w:suppressLineNumbers w:val="0"/>
                    <w:jc w:val="center"/>
                    <w:textAlignment w:val="center"/>
                    <w:rPr>
                      <w:rFonts w:hint="default" w:ascii="Times New Roman" w:hAnsi="Times New Roman" w:eastAsia="新宋体" w:cs="Times New Roman"/>
                      <w:color w:val="auto"/>
                      <w:sz w:val="21"/>
                      <w:szCs w:val="21"/>
                      <w:u w:val="none"/>
                      <w:lang w:val="en-US" w:eastAsia="zh-CN"/>
                    </w:rPr>
                  </w:pPr>
                  <w:r>
                    <w:rPr>
                      <w:rFonts w:hint="default" w:ascii="Times New Roman" w:hAnsi="Times New Roman" w:eastAsia="新宋体" w:cs="Times New Roman"/>
                      <w:color w:val="auto"/>
                      <w:sz w:val="21"/>
                      <w:szCs w:val="21"/>
                      <w:u w:val="none"/>
                      <w:lang w:val="en-US" w:eastAsia="zh-CN"/>
                    </w:rPr>
                    <w:t>铜（mg/kg）</w:t>
                  </w:r>
                </w:p>
              </w:tc>
              <w:tc>
                <w:tcPr>
                  <w:tcW w:w="925" w:type="dxa"/>
                  <w:vAlign w:val="center"/>
                </w:tcPr>
                <w:p w14:paraId="68AA674E">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48</w:t>
                  </w:r>
                </w:p>
              </w:tc>
              <w:tc>
                <w:tcPr>
                  <w:tcW w:w="1055" w:type="dxa"/>
                  <w:vAlign w:val="center"/>
                </w:tcPr>
                <w:p w14:paraId="7F5B85AC">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21</w:t>
                  </w:r>
                </w:p>
              </w:tc>
              <w:tc>
                <w:tcPr>
                  <w:tcW w:w="975" w:type="dxa"/>
                  <w:vAlign w:val="center"/>
                </w:tcPr>
                <w:p w14:paraId="2F79A73D">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30</w:t>
                  </w:r>
                </w:p>
              </w:tc>
              <w:tc>
                <w:tcPr>
                  <w:tcW w:w="3144" w:type="dxa"/>
                  <w:vAlign w:val="center"/>
                </w:tcPr>
                <w:p w14:paraId="65A5CF72">
                  <w:pPr>
                    <w:jc w:val="center"/>
                    <w:rPr>
                      <w:rFonts w:hint="default" w:ascii="Times New Roman" w:hAnsi="Times New Roman" w:cs="Times New Roman" w:eastAsiaTheme="minorEastAsia"/>
                      <w:color w:val="auto"/>
                      <w:sz w:val="21"/>
                      <w:szCs w:val="21"/>
                      <w:u w:val="none"/>
                      <w:lang w:val="en-US" w:eastAsia="zh-CN"/>
                    </w:rPr>
                  </w:pPr>
                  <w:r>
                    <w:rPr>
                      <w:rFonts w:hint="eastAsia" w:ascii="Times New Roman" w:hAnsi="Times New Roman" w:eastAsia="宋体" w:cs="Times New Roman"/>
                      <w:b w:val="0"/>
                      <w:bCs w:val="0"/>
                      <w:color w:val="auto"/>
                      <w:spacing w:val="-6"/>
                      <w:sz w:val="21"/>
                      <w:szCs w:val="21"/>
                      <w:u w:val="none"/>
                      <w:lang w:val="en-US" w:eastAsia="zh-CN"/>
                    </w:rPr>
                    <w:t>50</w:t>
                  </w:r>
                </w:p>
              </w:tc>
            </w:tr>
            <w:tr w14:paraId="564C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3" w:type="dxa"/>
                  <w:vAlign w:val="center"/>
                </w:tcPr>
                <w:p w14:paraId="574AF28C">
                  <w:pPr>
                    <w:keepNext w:val="0"/>
                    <w:keepLines w:val="0"/>
                    <w:widowControl/>
                    <w:suppressLineNumbers w:val="0"/>
                    <w:jc w:val="center"/>
                    <w:textAlignment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镍</w:t>
                  </w:r>
                  <w:r>
                    <w:rPr>
                      <w:rFonts w:hint="default" w:ascii="Times New Roman" w:hAnsi="Times New Roman" w:eastAsia="新宋体" w:cs="Times New Roman"/>
                      <w:color w:val="auto"/>
                      <w:sz w:val="21"/>
                      <w:szCs w:val="21"/>
                      <w:u w:val="none"/>
                      <w:lang w:val="en-US" w:eastAsia="zh-CN"/>
                    </w:rPr>
                    <w:t>（mg/kg）</w:t>
                  </w:r>
                </w:p>
              </w:tc>
              <w:tc>
                <w:tcPr>
                  <w:tcW w:w="925" w:type="dxa"/>
                  <w:vAlign w:val="center"/>
                </w:tcPr>
                <w:p w14:paraId="695DD3E2">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15</w:t>
                  </w:r>
                </w:p>
              </w:tc>
              <w:tc>
                <w:tcPr>
                  <w:tcW w:w="1055" w:type="dxa"/>
                  <w:vAlign w:val="center"/>
                </w:tcPr>
                <w:p w14:paraId="7A825B55">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21</w:t>
                  </w:r>
                </w:p>
              </w:tc>
              <w:tc>
                <w:tcPr>
                  <w:tcW w:w="975" w:type="dxa"/>
                  <w:vAlign w:val="center"/>
                </w:tcPr>
                <w:p w14:paraId="1E0AE863">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16</w:t>
                  </w:r>
                </w:p>
              </w:tc>
              <w:tc>
                <w:tcPr>
                  <w:tcW w:w="3144" w:type="dxa"/>
                  <w:vAlign w:val="center"/>
                </w:tcPr>
                <w:p w14:paraId="447B60AC">
                  <w:pPr>
                    <w:jc w:val="center"/>
                    <w:rPr>
                      <w:rFonts w:hint="default" w:ascii="Times New Roman" w:hAnsi="Times New Roman" w:cs="Times New Roman" w:eastAsiaTheme="minorEastAsia"/>
                      <w:color w:val="auto"/>
                      <w:sz w:val="21"/>
                      <w:szCs w:val="21"/>
                      <w:u w:val="none"/>
                      <w:lang w:val="en-US" w:eastAsia="zh-CN"/>
                    </w:rPr>
                  </w:pPr>
                  <w:r>
                    <w:rPr>
                      <w:rFonts w:hint="eastAsia" w:ascii="Times New Roman" w:hAnsi="Times New Roman" w:eastAsia="宋体" w:cs="Times New Roman"/>
                      <w:b w:val="0"/>
                      <w:bCs w:val="0"/>
                      <w:color w:val="auto"/>
                      <w:spacing w:val="-6"/>
                      <w:sz w:val="21"/>
                      <w:szCs w:val="21"/>
                      <w:u w:val="none"/>
                      <w:lang w:val="en-US" w:eastAsia="zh-CN"/>
                    </w:rPr>
                    <w:t>70</w:t>
                  </w:r>
                </w:p>
              </w:tc>
            </w:tr>
            <w:tr w14:paraId="0774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3" w:type="dxa"/>
                  <w:vAlign w:val="center"/>
                </w:tcPr>
                <w:p w14:paraId="421A52AB">
                  <w:pPr>
                    <w:keepNext w:val="0"/>
                    <w:keepLines w:val="0"/>
                    <w:widowControl/>
                    <w:suppressLineNumbers w:val="0"/>
                    <w:jc w:val="center"/>
                    <w:textAlignment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铅</w:t>
                  </w:r>
                  <w:r>
                    <w:rPr>
                      <w:rFonts w:hint="default" w:ascii="Times New Roman" w:hAnsi="Times New Roman" w:eastAsia="新宋体" w:cs="Times New Roman"/>
                      <w:color w:val="auto"/>
                      <w:sz w:val="21"/>
                      <w:szCs w:val="21"/>
                      <w:u w:val="none"/>
                      <w:lang w:val="en-US" w:eastAsia="zh-CN"/>
                    </w:rPr>
                    <w:t>（mg/kg）</w:t>
                  </w:r>
                </w:p>
              </w:tc>
              <w:tc>
                <w:tcPr>
                  <w:tcW w:w="925" w:type="dxa"/>
                  <w:vAlign w:val="center"/>
                </w:tcPr>
                <w:p w14:paraId="555DF9F6">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6</w:t>
                  </w:r>
                </w:p>
              </w:tc>
              <w:tc>
                <w:tcPr>
                  <w:tcW w:w="1055" w:type="dxa"/>
                  <w:vAlign w:val="center"/>
                </w:tcPr>
                <w:p w14:paraId="526A6AF9">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11</w:t>
                  </w:r>
                </w:p>
              </w:tc>
              <w:tc>
                <w:tcPr>
                  <w:tcW w:w="975" w:type="dxa"/>
                  <w:vAlign w:val="center"/>
                </w:tcPr>
                <w:p w14:paraId="0E44196E">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10</w:t>
                  </w:r>
                </w:p>
              </w:tc>
              <w:tc>
                <w:tcPr>
                  <w:tcW w:w="3144" w:type="dxa"/>
                  <w:vAlign w:val="center"/>
                </w:tcPr>
                <w:p w14:paraId="6C933BDF">
                  <w:pPr>
                    <w:jc w:val="center"/>
                    <w:rPr>
                      <w:rFonts w:hint="default" w:ascii="Times New Roman" w:hAnsi="Times New Roman" w:cs="Times New Roman" w:eastAsiaTheme="minorEastAsia"/>
                      <w:color w:val="auto"/>
                      <w:sz w:val="21"/>
                      <w:szCs w:val="21"/>
                      <w:u w:val="none"/>
                      <w:lang w:val="en-US" w:eastAsia="zh-CN"/>
                    </w:rPr>
                  </w:pPr>
                  <w:r>
                    <w:rPr>
                      <w:rFonts w:hint="eastAsia" w:ascii="Times New Roman" w:hAnsi="Times New Roman" w:eastAsia="宋体" w:cs="Times New Roman"/>
                      <w:b w:val="0"/>
                      <w:bCs w:val="0"/>
                      <w:color w:val="auto"/>
                      <w:spacing w:val="-6"/>
                      <w:sz w:val="21"/>
                      <w:szCs w:val="21"/>
                      <w:u w:val="none"/>
                      <w:lang w:val="en-US" w:eastAsia="zh-CN"/>
                    </w:rPr>
                    <w:t>90</w:t>
                  </w:r>
                </w:p>
              </w:tc>
            </w:tr>
            <w:tr w14:paraId="2642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3" w:type="dxa"/>
                  <w:vAlign w:val="center"/>
                </w:tcPr>
                <w:p w14:paraId="49EC85BB">
                  <w:pPr>
                    <w:keepNext w:val="0"/>
                    <w:keepLines w:val="0"/>
                    <w:widowControl/>
                    <w:suppressLineNumbers w:val="0"/>
                    <w:jc w:val="center"/>
                    <w:textAlignment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砷</w:t>
                  </w:r>
                  <w:r>
                    <w:rPr>
                      <w:rFonts w:hint="default" w:ascii="Times New Roman" w:hAnsi="Times New Roman" w:eastAsia="新宋体" w:cs="Times New Roman"/>
                      <w:color w:val="auto"/>
                      <w:sz w:val="21"/>
                      <w:szCs w:val="21"/>
                      <w:u w:val="none"/>
                      <w:lang w:val="en-US" w:eastAsia="zh-CN"/>
                    </w:rPr>
                    <w:t>（mg/kg）</w:t>
                  </w:r>
                </w:p>
              </w:tc>
              <w:tc>
                <w:tcPr>
                  <w:tcW w:w="925" w:type="dxa"/>
                  <w:vAlign w:val="center"/>
                </w:tcPr>
                <w:p w14:paraId="4EFE61EF">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11.6</w:t>
                  </w:r>
                </w:p>
              </w:tc>
              <w:tc>
                <w:tcPr>
                  <w:tcW w:w="1055" w:type="dxa"/>
                  <w:vAlign w:val="center"/>
                </w:tcPr>
                <w:p w14:paraId="3B1A536B">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27.0</w:t>
                  </w:r>
                </w:p>
              </w:tc>
              <w:tc>
                <w:tcPr>
                  <w:tcW w:w="975" w:type="dxa"/>
                  <w:vAlign w:val="center"/>
                </w:tcPr>
                <w:p w14:paraId="2D77DEC7">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21.3</w:t>
                  </w:r>
                </w:p>
              </w:tc>
              <w:tc>
                <w:tcPr>
                  <w:tcW w:w="3144" w:type="dxa"/>
                  <w:vAlign w:val="center"/>
                </w:tcPr>
                <w:p w14:paraId="0AE894E7">
                  <w:pPr>
                    <w:jc w:val="center"/>
                    <w:rPr>
                      <w:rFonts w:hint="default" w:ascii="Times New Roman" w:hAnsi="Times New Roman" w:cs="Times New Roman"/>
                      <w:color w:val="auto"/>
                      <w:sz w:val="21"/>
                      <w:szCs w:val="21"/>
                      <w:u w:val="none"/>
                      <w:lang w:val="en-US" w:eastAsia="zh-CN"/>
                    </w:rPr>
                  </w:pPr>
                  <w:r>
                    <w:rPr>
                      <w:rFonts w:hint="eastAsia" w:ascii="Times New Roman" w:hAnsi="Times New Roman" w:eastAsia="宋体" w:cs="Times New Roman"/>
                      <w:b w:val="0"/>
                      <w:bCs w:val="0"/>
                      <w:color w:val="auto"/>
                      <w:spacing w:val="-2"/>
                      <w:sz w:val="21"/>
                      <w:szCs w:val="21"/>
                      <w:u w:val="none"/>
                      <w:lang w:val="en-US" w:eastAsia="zh-CN"/>
                    </w:rPr>
                    <w:t>4</w:t>
                  </w:r>
                  <w:r>
                    <w:rPr>
                      <w:rFonts w:hint="default" w:ascii="Times New Roman" w:hAnsi="Times New Roman" w:eastAsia="Times New Roman" w:cs="Times New Roman"/>
                      <w:b w:val="0"/>
                      <w:bCs w:val="0"/>
                      <w:color w:val="auto"/>
                      <w:spacing w:val="-2"/>
                      <w:sz w:val="21"/>
                      <w:szCs w:val="21"/>
                      <w:u w:val="none"/>
                    </w:rPr>
                    <w:t>0</w:t>
                  </w:r>
                </w:p>
              </w:tc>
            </w:tr>
            <w:tr w14:paraId="2351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3" w:type="dxa"/>
                  <w:vAlign w:val="center"/>
                </w:tcPr>
                <w:p w14:paraId="028FD279">
                  <w:pPr>
                    <w:keepNext w:val="0"/>
                    <w:keepLines w:val="0"/>
                    <w:widowControl/>
                    <w:suppressLineNumbers w:val="0"/>
                    <w:jc w:val="center"/>
                    <w:textAlignment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汞</w:t>
                  </w:r>
                  <w:r>
                    <w:rPr>
                      <w:rFonts w:hint="default" w:ascii="Times New Roman" w:hAnsi="Times New Roman" w:eastAsia="新宋体" w:cs="Times New Roman"/>
                      <w:color w:val="auto"/>
                      <w:sz w:val="21"/>
                      <w:szCs w:val="21"/>
                      <w:u w:val="none"/>
                      <w:lang w:val="en-US" w:eastAsia="zh-CN"/>
                    </w:rPr>
                    <w:t>（mg/kg）</w:t>
                  </w:r>
                </w:p>
              </w:tc>
              <w:tc>
                <w:tcPr>
                  <w:tcW w:w="925" w:type="dxa"/>
                  <w:vAlign w:val="center"/>
                </w:tcPr>
                <w:p w14:paraId="7B768975">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0.061</w:t>
                  </w:r>
                </w:p>
              </w:tc>
              <w:tc>
                <w:tcPr>
                  <w:tcW w:w="1055" w:type="dxa"/>
                  <w:vAlign w:val="center"/>
                </w:tcPr>
                <w:p w14:paraId="30EB74DE">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0.101</w:t>
                  </w:r>
                </w:p>
              </w:tc>
              <w:tc>
                <w:tcPr>
                  <w:tcW w:w="975" w:type="dxa"/>
                  <w:vAlign w:val="center"/>
                </w:tcPr>
                <w:p w14:paraId="5B43290E">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0.088</w:t>
                  </w:r>
                </w:p>
              </w:tc>
              <w:tc>
                <w:tcPr>
                  <w:tcW w:w="3144" w:type="dxa"/>
                  <w:vAlign w:val="center"/>
                </w:tcPr>
                <w:p w14:paraId="35F87CF4">
                  <w:pPr>
                    <w:jc w:val="center"/>
                    <w:rPr>
                      <w:rFonts w:hint="default" w:ascii="Times New Roman" w:hAnsi="Times New Roman" w:cs="Times New Roman" w:eastAsiaTheme="minorEastAsia"/>
                      <w:color w:val="auto"/>
                      <w:sz w:val="21"/>
                      <w:szCs w:val="21"/>
                      <w:u w:val="none"/>
                      <w:lang w:val="en-US" w:eastAsia="zh-CN"/>
                    </w:rPr>
                  </w:pPr>
                  <w:r>
                    <w:rPr>
                      <w:rFonts w:hint="eastAsia" w:ascii="Times New Roman" w:hAnsi="Times New Roman" w:eastAsia="宋体" w:cs="Times New Roman"/>
                      <w:b w:val="0"/>
                      <w:bCs w:val="0"/>
                      <w:color w:val="auto"/>
                      <w:spacing w:val="-1"/>
                      <w:sz w:val="21"/>
                      <w:szCs w:val="21"/>
                      <w:u w:val="none"/>
                      <w:lang w:val="en-US" w:eastAsia="zh-CN"/>
                    </w:rPr>
                    <w:t>1.8</w:t>
                  </w:r>
                </w:p>
              </w:tc>
            </w:tr>
            <w:tr w14:paraId="09BA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3" w:type="dxa"/>
                  <w:vAlign w:val="center"/>
                </w:tcPr>
                <w:p w14:paraId="2D2D864D">
                  <w:pPr>
                    <w:keepNext w:val="0"/>
                    <w:keepLines w:val="0"/>
                    <w:widowControl/>
                    <w:suppressLineNumbers w:val="0"/>
                    <w:jc w:val="center"/>
                    <w:textAlignment w:val="center"/>
                    <w:rPr>
                      <w:rFonts w:hint="default" w:ascii="Times New Roman" w:hAnsi="Times New Roman" w:cs="Times New Roman"/>
                      <w:color w:val="auto"/>
                      <w:sz w:val="21"/>
                      <w:szCs w:val="21"/>
                      <w:u w:val="none"/>
                      <w:vertAlign w:val="baseline"/>
                      <w:lang w:eastAsia="zh-CN"/>
                    </w:rPr>
                  </w:pPr>
                  <w:r>
                    <w:rPr>
                      <w:rFonts w:hint="default" w:ascii="Times New Roman" w:hAnsi="Times New Roman" w:eastAsia="新宋体" w:cs="Times New Roman"/>
                      <w:color w:val="auto"/>
                      <w:sz w:val="21"/>
                      <w:szCs w:val="21"/>
                      <w:u w:val="none"/>
                    </w:rPr>
                    <w:t>铬</w:t>
                  </w:r>
                  <w:r>
                    <w:rPr>
                      <w:rFonts w:hint="default" w:ascii="Times New Roman" w:hAnsi="Times New Roman" w:eastAsia="新宋体" w:cs="Times New Roman"/>
                      <w:color w:val="auto"/>
                      <w:sz w:val="21"/>
                      <w:szCs w:val="21"/>
                      <w:u w:val="none"/>
                      <w:lang w:val="en-US" w:eastAsia="zh-CN"/>
                    </w:rPr>
                    <w:t>（mg/kg）</w:t>
                  </w:r>
                </w:p>
              </w:tc>
              <w:tc>
                <w:tcPr>
                  <w:tcW w:w="925" w:type="dxa"/>
                  <w:vAlign w:val="center"/>
                </w:tcPr>
                <w:p w14:paraId="29257484">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23</w:t>
                  </w:r>
                </w:p>
              </w:tc>
              <w:tc>
                <w:tcPr>
                  <w:tcW w:w="1055" w:type="dxa"/>
                  <w:vAlign w:val="center"/>
                </w:tcPr>
                <w:p w14:paraId="40F041AA">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33</w:t>
                  </w:r>
                </w:p>
              </w:tc>
              <w:tc>
                <w:tcPr>
                  <w:tcW w:w="975" w:type="dxa"/>
                  <w:vAlign w:val="center"/>
                </w:tcPr>
                <w:p w14:paraId="4EEA42BE">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41</w:t>
                  </w:r>
                </w:p>
              </w:tc>
              <w:tc>
                <w:tcPr>
                  <w:tcW w:w="3144" w:type="dxa"/>
                  <w:vAlign w:val="center"/>
                </w:tcPr>
                <w:p w14:paraId="3CE148D5">
                  <w:pPr>
                    <w:jc w:val="center"/>
                    <w:rPr>
                      <w:rFonts w:hint="default" w:ascii="Times New Roman" w:hAnsi="Times New Roman" w:cs="Times New Roman"/>
                      <w:color w:val="auto"/>
                      <w:sz w:val="21"/>
                      <w:szCs w:val="21"/>
                      <w:u w:val="none"/>
                      <w:lang w:val="en-US" w:eastAsia="zh-CN"/>
                    </w:rPr>
                  </w:pPr>
                  <w:r>
                    <w:rPr>
                      <w:rFonts w:hint="eastAsia" w:ascii="Times New Roman" w:hAnsi="Times New Roman" w:eastAsia="宋体" w:cs="Times New Roman"/>
                      <w:b w:val="0"/>
                      <w:bCs w:val="0"/>
                      <w:color w:val="auto"/>
                      <w:spacing w:val="-1"/>
                      <w:sz w:val="21"/>
                      <w:szCs w:val="21"/>
                      <w:u w:val="none"/>
                      <w:lang w:val="en-US" w:eastAsia="zh-CN"/>
                    </w:rPr>
                    <w:t>15</w:t>
                  </w:r>
                  <w:r>
                    <w:rPr>
                      <w:rFonts w:hint="default" w:ascii="Times New Roman" w:hAnsi="Times New Roman" w:eastAsia="Times New Roman" w:cs="Times New Roman"/>
                      <w:b w:val="0"/>
                      <w:bCs w:val="0"/>
                      <w:color w:val="auto"/>
                      <w:sz w:val="21"/>
                      <w:szCs w:val="21"/>
                      <w:u w:val="none"/>
                    </w:rPr>
                    <w:t>0</w:t>
                  </w:r>
                </w:p>
              </w:tc>
            </w:tr>
            <w:tr w14:paraId="2561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3" w:type="dxa"/>
                  <w:vAlign w:val="center"/>
                </w:tcPr>
                <w:p w14:paraId="221D89A8">
                  <w:pPr>
                    <w:keepNext w:val="0"/>
                    <w:keepLines w:val="0"/>
                    <w:widowControl/>
                    <w:suppressLineNumbers w:val="0"/>
                    <w:jc w:val="center"/>
                    <w:textAlignment w:val="center"/>
                    <w:rPr>
                      <w:rFonts w:hint="default" w:ascii="Times New Roman" w:hAnsi="Times New Roman" w:eastAsia="新宋体" w:cs="Times New Roman"/>
                      <w:color w:val="auto"/>
                      <w:sz w:val="21"/>
                      <w:szCs w:val="21"/>
                      <w:u w:val="none"/>
                    </w:rPr>
                  </w:pPr>
                  <w:r>
                    <w:rPr>
                      <w:rFonts w:hint="default" w:ascii="Times New Roman" w:hAnsi="Times New Roman" w:eastAsia="新宋体" w:cs="Times New Roman"/>
                      <w:color w:val="auto"/>
                      <w:sz w:val="21"/>
                      <w:szCs w:val="21"/>
                      <w:u w:val="none"/>
                    </w:rPr>
                    <w:t>镉（mg/kg）</w:t>
                  </w:r>
                </w:p>
              </w:tc>
              <w:tc>
                <w:tcPr>
                  <w:tcW w:w="925" w:type="dxa"/>
                  <w:vAlign w:val="center"/>
                </w:tcPr>
                <w:p w14:paraId="24654ABC">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0.16</w:t>
                  </w:r>
                </w:p>
              </w:tc>
              <w:tc>
                <w:tcPr>
                  <w:tcW w:w="1055" w:type="dxa"/>
                  <w:vAlign w:val="center"/>
                </w:tcPr>
                <w:p w14:paraId="020E60DA">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0.29</w:t>
                  </w:r>
                </w:p>
              </w:tc>
              <w:tc>
                <w:tcPr>
                  <w:tcW w:w="975" w:type="dxa"/>
                  <w:vAlign w:val="center"/>
                </w:tcPr>
                <w:p w14:paraId="383C58D1">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0.15</w:t>
                  </w:r>
                </w:p>
              </w:tc>
              <w:tc>
                <w:tcPr>
                  <w:tcW w:w="3144" w:type="dxa"/>
                  <w:vAlign w:val="center"/>
                </w:tcPr>
                <w:p w14:paraId="7EBF979B">
                  <w:pPr>
                    <w:jc w:val="center"/>
                    <w:rPr>
                      <w:rFonts w:hint="default" w:ascii="Times New Roman" w:hAnsi="Times New Roman" w:eastAsia="宋体" w:cs="Times New Roman"/>
                      <w:b w:val="0"/>
                      <w:bCs w:val="0"/>
                      <w:color w:val="auto"/>
                      <w:spacing w:val="-1"/>
                      <w:sz w:val="21"/>
                      <w:szCs w:val="21"/>
                      <w:u w:val="none"/>
                      <w:lang w:val="en-US" w:eastAsia="zh-CN"/>
                    </w:rPr>
                  </w:pPr>
                  <w:r>
                    <w:rPr>
                      <w:rFonts w:hint="eastAsia" w:ascii="Times New Roman" w:hAnsi="Times New Roman" w:eastAsia="宋体" w:cs="Times New Roman"/>
                      <w:b w:val="0"/>
                      <w:bCs w:val="0"/>
                      <w:color w:val="auto"/>
                      <w:spacing w:val="-1"/>
                      <w:sz w:val="21"/>
                      <w:szCs w:val="21"/>
                      <w:u w:val="none"/>
                      <w:lang w:val="en-US" w:eastAsia="zh-CN"/>
                    </w:rPr>
                    <w:t>0.3</w:t>
                  </w:r>
                </w:p>
              </w:tc>
            </w:tr>
            <w:tr w14:paraId="5180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3" w:type="dxa"/>
                  <w:vAlign w:val="center"/>
                </w:tcPr>
                <w:p w14:paraId="437277D6">
                  <w:pPr>
                    <w:keepNext w:val="0"/>
                    <w:keepLines w:val="0"/>
                    <w:widowControl/>
                    <w:suppressLineNumbers w:val="0"/>
                    <w:jc w:val="center"/>
                    <w:textAlignment w:val="center"/>
                    <w:rPr>
                      <w:rFonts w:hint="default" w:ascii="Times New Roman" w:hAnsi="Times New Roman" w:eastAsia="新宋体" w:cs="Times New Roman"/>
                      <w:color w:val="auto"/>
                      <w:sz w:val="21"/>
                      <w:szCs w:val="21"/>
                      <w:u w:val="none"/>
                    </w:rPr>
                  </w:pPr>
                  <w:r>
                    <w:rPr>
                      <w:rFonts w:hint="default" w:ascii="Times New Roman" w:hAnsi="Times New Roman" w:eastAsia="新宋体" w:cs="Times New Roman"/>
                      <w:color w:val="auto"/>
                      <w:sz w:val="21"/>
                      <w:szCs w:val="21"/>
                      <w:u w:val="none"/>
                    </w:rPr>
                    <w:t>锌（mg/kg）</w:t>
                  </w:r>
                </w:p>
              </w:tc>
              <w:tc>
                <w:tcPr>
                  <w:tcW w:w="925" w:type="dxa"/>
                  <w:vAlign w:val="center"/>
                </w:tcPr>
                <w:p w14:paraId="5A0F3BEA">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97</w:t>
                  </w:r>
                </w:p>
              </w:tc>
              <w:tc>
                <w:tcPr>
                  <w:tcW w:w="1055" w:type="dxa"/>
                  <w:vAlign w:val="center"/>
                </w:tcPr>
                <w:p w14:paraId="6EB8582A">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133</w:t>
                  </w:r>
                </w:p>
              </w:tc>
              <w:tc>
                <w:tcPr>
                  <w:tcW w:w="975" w:type="dxa"/>
                  <w:vAlign w:val="center"/>
                </w:tcPr>
                <w:p w14:paraId="50D5B313">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81</w:t>
                  </w:r>
                </w:p>
              </w:tc>
              <w:tc>
                <w:tcPr>
                  <w:tcW w:w="3144" w:type="dxa"/>
                  <w:vAlign w:val="center"/>
                </w:tcPr>
                <w:p w14:paraId="64B39AA1">
                  <w:pPr>
                    <w:jc w:val="center"/>
                    <w:rPr>
                      <w:rFonts w:hint="default" w:ascii="Times New Roman" w:hAnsi="Times New Roman" w:eastAsia="宋体" w:cs="Times New Roman"/>
                      <w:b w:val="0"/>
                      <w:bCs w:val="0"/>
                      <w:color w:val="auto"/>
                      <w:spacing w:val="-1"/>
                      <w:sz w:val="21"/>
                      <w:szCs w:val="21"/>
                      <w:u w:val="none"/>
                      <w:lang w:val="en-US" w:eastAsia="zh-CN"/>
                    </w:rPr>
                  </w:pPr>
                  <w:r>
                    <w:rPr>
                      <w:rFonts w:hint="eastAsia" w:ascii="Times New Roman" w:hAnsi="Times New Roman" w:eastAsia="宋体" w:cs="Times New Roman"/>
                      <w:b w:val="0"/>
                      <w:bCs w:val="0"/>
                      <w:color w:val="auto"/>
                      <w:spacing w:val="-1"/>
                      <w:sz w:val="21"/>
                      <w:szCs w:val="21"/>
                      <w:u w:val="none"/>
                      <w:lang w:val="en-US" w:eastAsia="zh-CN"/>
                    </w:rPr>
                    <w:t>200</w:t>
                  </w:r>
                </w:p>
              </w:tc>
            </w:tr>
            <w:tr w14:paraId="1F0C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3" w:type="dxa"/>
                  <w:vAlign w:val="center"/>
                </w:tcPr>
                <w:p w14:paraId="3276CCD9">
                  <w:pPr>
                    <w:keepNext w:val="0"/>
                    <w:keepLines w:val="0"/>
                    <w:widowControl/>
                    <w:suppressLineNumbers w:val="0"/>
                    <w:jc w:val="center"/>
                    <w:textAlignment w:val="center"/>
                    <w:rPr>
                      <w:rFonts w:hint="default" w:ascii="Times New Roman" w:hAnsi="Times New Roman" w:eastAsia="新宋体" w:cs="Times New Roman"/>
                      <w:color w:val="auto"/>
                      <w:sz w:val="21"/>
                      <w:szCs w:val="21"/>
                      <w:u w:val="none"/>
                      <w:lang w:val="en-US" w:eastAsia="zh-CN"/>
                    </w:rPr>
                  </w:pPr>
                  <w:r>
                    <w:rPr>
                      <w:rFonts w:hint="eastAsia" w:ascii="Times New Roman" w:hAnsi="Times New Roman" w:eastAsia="新宋体" w:cs="Times New Roman"/>
                      <w:color w:val="auto"/>
                      <w:sz w:val="21"/>
                      <w:szCs w:val="21"/>
                      <w:u w:val="none"/>
                      <w:lang w:val="en-US" w:eastAsia="zh-CN"/>
                    </w:rPr>
                    <w:t>土壤含盐量</w:t>
                  </w:r>
                  <w:r>
                    <w:rPr>
                      <w:rFonts w:hint="default" w:ascii="Times New Roman" w:hAnsi="Times New Roman" w:eastAsia="新宋体" w:cs="Times New Roman"/>
                      <w:color w:val="auto"/>
                      <w:sz w:val="21"/>
                      <w:szCs w:val="21"/>
                      <w:u w:val="none"/>
                      <w:lang w:val="en-US" w:eastAsia="zh-CN"/>
                    </w:rPr>
                    <w:t>（g/kg）</w:t>
                  </w:r>
                </w:p>
              </w:tc>
              <w:tc>
                <w:tcPr>
                  <w:tcW w:w="925" w:type="dxa"/>
                  <w:vAlign w:val="center"/>
                </w:tcPr>
                <w:p w14:paraId="79B771E5">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0.7</w:t>
                  </w:r>
                </w:p>
              </w:tc>
              <w:tc>
                <w:tcPr>
                  <w:tcW w:w="1055" w:type="dxa"/>
                  <w:vAlign w:val="center"/>
                </w:tcPr>
                <w:p w14:paraId="070A3CED">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0.8</w:t>
                  </w:r>
                </w:p>
              </w:tc>
              <w:tc>
                <w:tcPr>
                  <w:tcW w:w="975" w:type="dxa"/>
                  <w:vAlign w:val="center"/>
                </w:tcPr>
                <w:p w14:paraId="44A8AE6F">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0.5</w:t>
                  </w:r>
                </w:p>
              </w:tc>
              <w:tc>
                <w:tcPr>
                  <w:tcW w:w="3144" w:type="dxa"/>
                  <w:vAlign w:val="center"/>
                </w:tcPr>
                <w:p w14:paraId="249DD7A9">
                  <w:pPr>
                    <w:jc w:val="center"/>
                    <w:rPr>
                      <w:rFonts w:hint="eastAsia" w:ascii="Times New Roman" w:hAnsi="Times New Roman" w:eastAsia="宋体" w:cs="Times New Roman"/>
                      <w:b w:val="0"/>
                      <w:bCs w:val="0"/>
                      <w:color w:val="auto"/>
                      <w:spacing w:val="-1"/>
                      <w:sz w:val="21"/>
                      <w:szCs w:val="21"/>
                      <w:u w:val="none"/>
                      <w:lang w:val="en-US" w:eastAsia="zh-CN"/>
                    </w:rPr>
                  </w:pPr>
                  <w:r>
                    <w:rPr>
                      <w:rFonts w:hint="eastAsia" w:ascii="Times New Roman" w:hAnsi="Times New Roman" w:eastAsia="宋体" w:cs="Times New Roman"/>
                      <w:b w:val="0"/>
                      <w:bCs w:val="0"/>
                      <w:color w:val="auto"/>
                      <w:spacing w:val="-1"/>
                      <w:sz w:val="21"/>
                      <w:szCs w:val="21"/>
                      <w:u w:val="none"/>
                      <w:lang w:val="en-US" w:eastAsia="zh-CN"/>
                    </w:rPr>
                    <w:t>/</w:t>
                  </w:r>
                </w:p>
              </w:tc>
            </w:tr>
          </w:tbl>
          <w:p w14:paraId="263C3BFF">
            <w:pPr>
              <w:keepNext w:val="0"/>
              <w:keepLines w:val="0"/>
              <w:pageBreakBefore w:val="0"/>
              <w:widowControl w:val="0"/>
              <w:kinsoku/>
              <w:wordWrap/>
              <w:overflowPunct/>
              <w:topLinePunct w:val="0"/>
              <w:autoSpaceDE/>
              <w:autoSpaceDN/>
              <w:bidi w:val="0"/>
              <w:adjustRightInd/>
              <w:snapToGrid/>
              <w:spacing w:before="1" w:line="219" w:lineRule="auto"/>
              <w:ind w:left="323"/>
              <w:textAlignment w:val="auto"/>
              <w:outlineLvl w:val="9"/>
              <w:rPr>
                <w:rFonts w:hint="eastAsia" w:ascii="Times New Roman"/>
                <w:color w:val="auto"/>
                <w:sz w:val="24"/>
                <w:u w:val="none"/>
              </w:rPr>
            </w:pPr>
          </w:p>
          <w:p w14:paraId="4847781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outlineLvl w:val="9"/>
              <w:rPr>
                <w:rFonts w:ascii="Times New Roman"/>
                <w:color w:val="auto"/>
                <w:sz w:val="24"/>
                <w:u w:val="none"/>
              </w:rPr>
            </w:pPr>
            <w:r>
              <w:rPr>
                <w:rFonts w:hint="eastAsia" w:ascii="Times New Roman"/>
                <w:color w:val="auto"/>
                <w:sz w:val="24"/>
                <w:u w:val="none"/>
              </w:rPr>
              <w:t>由上表可知，项目土壤</w:t>
            </w:r>
            <w:r>
              <w:rPr>
                <w:rFonts w:hint="eastAsia" w:ascii="Times New Roman"/>
                <w:color w:val="auto"/>
                <w:sz w:val="24"/>
                <w:u w:val="none"/>
                <w:lang w:eastAsia="zh-CN"/>
              </w:rPr>
              <w:t>、</w:t>
            </w:r>
            <w:r>
              <w:rPr>
                <w:rFonts w:hint="eastAsia" w:ascii="Times New Roman"/>
                <w:color w:val="auto"/>
                <w:sz w:val="24"/>
                <w:u w:val="none"/>
                <w:lang w:val="en-US" w:eastAsia="zh-CN"/>
              </w:rPr>
              <w:t>底泥</w:t>
            </w:r>
            <w:r>
              <w:rPr>
                <w:rFonts w:hint="eastAsia" w:ascii="Times New Roman"/>
                <w:color w:val="auto"/>
                <w:sz w:val="24"/>
                <w:u w:val="none"/>
              </w:rPr>
              <w:t>环境质量现状可满足《土壤环境质量 农用地土壤污染风险管控标准(试行) 》(GB15618-2018)表1中的标准要求</w:t>
            </w:r>
            <w:r>
              <w:rPr>
                <w:rFonts w:hint="eastAsia" w:ascii="Times New Roman"/>
                <w:color w:val="auto"/>
                <w:sz w:val="24"/>
                <w:u w:val="none"/>
                <w:lang w:eastAsia="zh-CN"/>
              </w:rPr>
              <w:t>。</w:t>
            </w:r>
            <w:r>
              <w:rPr>
                <w:rFonts w:hint="eastAsia" w:ascii="Times New Roman"/>
                <w:color w:val="auto"/>
                <w:sz w:val="24"/>
                <w:u w:val="none"/>
              </w:rPr>
              <w:t>项目区域土壤环境质量较好</w:t>
            </w:r>
            <w:r>
              <w:rPr>
                <w:rFonts w:ascii="Times New Roman"/>
                <w:color w:val="auto"/>
                <w:sz w:val="24"/>
                <w:u w:val="none"/>
              </w:rPr>
              <w:t>。</w:t>
            </w:r>
          </w:p>
          <w:p w14:paraId="0F149E7E">
            <w:pPr>
              <w:pStyle w:val="60"/>
              <w:rPr>
                <w:rFonts w:hint="default" w:ascii="Times New Roman" w:hAnsi="Times New Roman" w:eastAsia="宋体" w:cs="Times New Roman"/>
                <w:color w:val="auto"/>
                <w:lang w:val="en-US" w:eastAsia="zh-CN"/>
              </w:rPr>
            </w:pPr>
          </w:p>
          <w:p w14:paraId="687F3225">
            <w:pPr>
              <w:rPr>
                <w:rFonts w:hint="eastAsia"/>
              </w:rPr>
            </w:pPr>
          </w:p>
        </w:tc>
      </w:tr>
      <w:tr w14:paraId="1200C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D089141">
            <w:pPr>
              <w:jc w:val="center"/>
              <w:rPr>
                <w:color w:val="000000"/>
                <w:sz w:val="24"/>
              </w:rPr>
            </w:pPr>
            <w:r>
              <w:rPr>
                <w:rFonts w:hint="eastAsia"/>
                <w:color w:val="000000"/>
                <w:sz w:val="24"/>
              </w:rPr>
              <w:t>与项目有关的原有环境污染和生态破坏问题</w:t>
            </w:r>
          </w:p>
        </w:tc>
        <w:tc>
          <w:tcPr>
            <w:tcW w:w="8604" w:type="dxa"/>
            <w:vAlign w:val="center"/>
          </w:tcPr>
          <w:p w14:paraId="57C60526">
            <w:pPr>
              <w:adjustRightInd w:val="0"/>
              <w:snapToGrid w:val="0"/>
              <w:spacing w:line="360" w:lineRule="auto"/>
              <w:ind w:firstLine="480" w:firstLineChars="200"/>
              <w:rPr>
                <w:rFonts w:hint="eastAsia" w:ascii="Times New Roman" w:hAnsi="宋体" w:eastAsia="宋体" w:cs="Times New Roman"/>
                <w:sz w:val="24"/>
                <w:szCs w:val="32"/>
                <w:lang w:val="en-US" w:eastAsia="zh-CN"/>
              </w:rPr>
            </w:pPr>
            <w:r>
              <w:rPr>
                <w:rFonts w:hint="eastAsia" w:ascii="Times New Roman" w:hAnsi="宋体" w:eastAsia="宋体" w:cs="Times New Roman"/>
                <w:sz w:val="24"/>
                <w:szCs w:val="32"/>
                <w:lang w:val="en-US" w:eastAsia="zh-CN"/>
              </w:rPr>
              <w:t>根据现场踏勘及询问，项目运行至今未有居民投诉等问题，水闸建成至今已运行多年，陆生生态和水生生态系统已趋于稳定，区域属于典型的农村环境，环境空气声环境和生态环境良好，区域内无明显环境问题。</w:t>
            </w:r>
          </w:p>
          <w:p w14:paraId="698E0C16">
            <w:pPr>
              <w:spacing w:line="480" w:lineRule="exact"/>
              <w:ind w:firstLine="480" w:firstLineChars="200"/>
              <w:rPr>
                <w:rFonts w:hint="default" w:ascii="Times New Roman" w:hAnsi="Times New Roman" w:eastAsia="宋体" w:cs="Times New Roman"/>
                <w:b w:val="0"/>
                <w:bCs w:val="0"/>
                <w:color w:val="auto"/>
                <w:sz w:val="24"/>
                <w:lang w:val="en-US" w:eastAsia="zh-CN"/>
              </w:rPr>
            </w:pPr>
          </w:p>
        </w:tc>
      </w:tr>
      <w:tr w14:paraId="514F25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648CF75D">
            <w:pPr>
              <w:jc w:val="center"/>
              <w:rPr>
                <w:color w:val="000000"/>
                <w:sz w:val="24"/>
              </w:rPr>
            </w:pPr>
            <w:r>
              <w:rPr>
                <w:rFonts w:hint="eastAsia"/>
                <w:color w:val="000000"/>
                <w:sz w:val="24"/>
              </w:rPr>
              <w:t>生态环境保护目标</w:t>
            </w:r>
          </w:p>
        </w:tc>
        <w:tc>
          <w:tcPr>
            <w:tcW w:w="8604" w:type="dxa"/>
          </w:tcPr>
          <w:p w14:paraId="0DDE042A">
            <w:pPr>
              <w:spacing w:line="360" w:lineRule="auto"/>
              <w:ind w:firstLine="480" w:firstLineChars="200"/>
              <w:rPr>
                <w:u w:val="none" w:color="auto"/>
              </w:rPr>
            </w:pPr>
            <w:r>
              <w:rPr>
                <w:rFonts w:hint="eastAsia"/>
                <w:b w:val="0"/>
                <w:bCs w:val="0"/>
                <w:color w:val="auto"/>
                <w:sz w:val="24"/>
                <w:u w:val="none" w:color="auto"/>
              </w:rPr>
              <w:t>根据现场踏勘，项目</w:t>
            </w:r>
            <w:r>
              <w:rPr>
                <w:rFonts w:hint="eastAsia"/>
                <w:b w:val="0"/>
                <w:bCs w:val="0"/>
                <w:color w:val="auto"/>
                <w:sz w:val="24"/>
                <w:u w:val="none" w:color="auto"/>
                <w:lang w:val="en-US" w:eastAsia="zh-CN"/>
              </w:rPr>
              <w:t>施工沿线周边</w:t>
            </w:r>
            <w:r>
              <w:rPr>
                <w:rFonts w:hint="eastAsia"/>
                <w:b w:val="0"/>
                <w:bCs w:val="0"/>
                <w:color w:val="auto"/>
                <w:sz w:val="24"/>
                <w:u w:val="none" w:color="auto"/>
              </w:rPr>
              <w:t>主要为当地居民，</w:t>
            </w:r>
            <w:r>
              <w:rPr>
                <w:rFonts w:hint="eastAsia"/>
                <w:b w:val="0"/>
                <w:bCs w:val="0"/>
                <w:color w:val="auto"/>
                <w:sz w:val="24"/>
                <w:u w:val="none" w:color="auto"/>
                <w:lang w:val="en-US" w:eastAsia="zh-CN"/>
              </w:rPr>
              <w:t>大气</w:t>
            </w:r>
            <w:r>
              <w:rPr>
                <w:rFonts w:hint="eastAsia"/>
                <w:b w:val="0"/>
                <w:bCs w:val="0"/>
                <w:color w:val="auto"/>
                <w:sz w:val="24"/>
                <w:u w:val="none" w:color="auto"/>
              </w:rPr>
              <w:t>影响范围主要集中在</w:t>
            </w:r>
            <w:r>
              <w:rPr>
                <w:rFonts w:hint="eastAsia"/>
                <w:b w:val="0"/>
                <w:bCs w:val="0"/>
                <w:color w:val="auto"/>
                <w:sz w:val="24"/>
                <w:u w:val="none" w:color="auto"/>
                <w:lang w:val="en-US" w:eastAsia="zh-CN"/>
              </w:rPr>
              <w:t>5</w:t>
            </w:r>
            <w:r>
              <w:rPr>
                <w:rFonts w:hint="eastAsia"/>
                <w:b w:val="0"/>
                <w:bCs w:val="0"/>
                <w:color w:val="auto"/>
                <w:sz w:val="24"/>
                <w:u w:val="none" w:color="auto"/>
              </w:rPr>
              <w:t>00m范围，所以主要保护目标集中在</w:t>
            </w:r>
            <w:r>
              <w:rPr>
                <w:rFonts w:hint="eastAsia"/>
                <w:b w:val="0"/>
                <w:bCs w:val="0"/>
                <w:color w:val="auto"/>
                <w:sz w:val="24"/>
                <w:u w:val="none" w:color="auto"/>
                <w:lang w:val="en-US" w:eastAsia="zh-CN"/>
              </w:rPr>
              <w:t>5</w:t>
            </w:r>
            <w:r>
              <w:rPr>
                <w:rFonts w:hint="eastAsia"/>
                <w:b w:val="0"/>
                <w:bCs w:val="0"/>
                <w:color w:val="auto"/>
                <w:sz w:val="24"/>
                <w:u w:val="none" w:color="auto"/>
              </w:rPr>
              <w:t>00m范围内，本项目环境保护目标见下表。</w:t>
            </w:r>
          </w:p>
          <w:p w14:paraId="71CE0176">
            <w:pPr>
              <w:adjustRightInd w:val="0"/>
              <w:snapToGrid w:val="0"/>
              <w:spacing w:line="360" w:lineRule="auto"/>
              <w:jc w:val="center"/>
              <w:rPr>
                <w:b/>
                <w:bCs/>
                <w:color w:val="auto"/>
                <w:szCs w:val="21"/>
                <w:u w:val="none" w:color="auto"/>
              </w:rPr>
            </w:pPr>
            <w:r>
              <w:rPr>
                <w:b/>
                <w:bCs/>
                <w:color w:val="auto"/>
                <w:szCs w:val="21"/>
                <w:u w:val="none" w:color="auto"/>
              </w:rPr>
              <w:t>表3</w:t>
            </w:r>
            <w:r>
              <w:rPr>
                <w:rFonts w:hint="eastAsia"/>
                <w:b/>
                <w:bCs/>
                <w:color w:val="auto"/>
                <w:szCs w:val="21"/>
                <w:u w:val="none" w:color="auto"/>
              </w:rPr>
              <w:t>-</w:t>
            </w:r>
            <w:r>
              <w:rPr>
                <w:rFonts w:hint="eastAsia"/>
                <w:b/>
                <w:bCs/>
                <w:color w:val="auto"/>
                <w:szCs w:val="21"/>
                <w:u w:val="none" w:color="auto"/>
                <w:lang w:val="en-US" w:eastAsia="zh-CN"/>
              </w:rPr>
              <w:t>7</w:t>
            </w:r>
            <w:r>
              <w:rPr>
                <w:rFonts w:hint="eastAsia"/>
                <w:b/>
                <w:bCs/>
                <w:color w:val="auto"/>
                <w:szCs w:val="21"/>
                <w:u w:val="none" w:color="auto"/>
              </w:rPr>
              <w:t xml:space="preserve">  </w:t>
            </w:r>
            <w:r>
              <w:rPr>
                <w:rFonts w:hint="eastAsia"/>
                <w:b/>
                <w:bCs/>
                <w:color w:val="auto"/>
                <w:szCs w:val="21"/>
                <w:u w:val="none" w:color="auto"/>
                <w:lang w:val="en-US" w:eastAsia="zh-CN"/>
              </w:rPr>
              <w:t>项目</w:t>
            </w:r>
            <w:r>
              <w:rPr>
                <w:rFonts w:hint="eastAsia"/>
                <w:b/>
                <w:bCs/>
                <w:color w:val="auto"/>
                <w:szCs w:val="21"/>
                <w:u w:val="none" w:color="auto"/>
              </w:rPr>
              <w:t>大气</w:t>
            </w:r>
            <w:r>
              <w:rPr>
                <w:rFonts w:hint="eastAsia"/>
                <w:b/>
                <w:bCs/>
                <w:color w:val="auto"/>
                <w:szCs w:val="21"/>
                <w:u w:val="none" w:color="auto"/>
                <w:lang w:eastAsia="zh-CN"/>
              </w:rPr>
              <w:t>、</w:t>
            </w:r>
            <w:r>
              <w:rPr>
                <w:rFonts w:hint="eastAsia"/>
                <w:b/>
                <w:bCs/>
                <w:color w:val="auto"/>
                <w:szCs w:val="21"/>
                <w:u w:val="none" w:color="auto"/>
                <w:lang w:val="en-US" w:eastAsia="zh-CN"/>
              </w:rPr>
              <w:t>声</w:t>
            </w:r>
            <w:r>
              <w:rPr>
                <w:rFonts w:hint="eastAsia"/>
                <w:b/>
                <w:bCs/>
                <w:color w:val="auto"/>
                <w:szCs w:val="21"/>
                <w:u w:val="none" w:color="auto"/>
              </w:rPr>
              <w:t>环境</w:t>
            </w:r>
            <w:r>
              <w:rPr>
                <w:b/>
                <w:bCs/>
                <w:color w:val="auto"/>
                <w:szCs w:val="21"/>
                <w:u w:val="none" w:color="auto"/>
              </w:rPr>
              <w:t>保护目标一览表</w:t>
            </w:r>
          </w:p>
          <w:tbl>
            <w:tblPr>
              <w:tblStyle w:val="2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32"/>
              <w:gridCol w:w="1249"/>
              <w:gridCol w:w="1362"/>
              <w:gridCol w:w="941"/>
              <w:gridCol w:w="1075"/>
              <w:gridCol w:w="747"/>
              <w:gridCol w:w="1711"/>
            </w:tblGrid>
            <w:tr w14:paraId="1B98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0" w:type="pct"/>
                  <w:vMerge w:val="restart"/>
                  <w:vAlign w:val="center"/>
                </w:tcPr>
                <w:p w14:paraId="12C2656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pacing w:val="-2"/>
                      <w:sz w:val="21"/>
                      <w:szCs w:val="21"/>
                      <w:u w:val="none"/>
                      <w:lang w:val="en-US" w:eastAsia="zh-CN"/>
                    </w:rPr>
                  </w:pPr>
                  <w:r>
                    <w:rPr>
                      <w:rFonts w:hint="eastAsia" w:ascii="Times New Roman" w:hAnsi="Times New Roman" w:eastAsia="宋体" w:cs="Times New Roman"/>
                      <w:b w:val="0"/>
                      <w:bCs w:val="0"/>
                      <w:color w:val="auto"/>
                      <w:spacing w:val="-2"/>
                      <w:sz w:val="21"/>
                      <w:szCs w:val="21"/>
                      <w:u w:val="none"/>
                      <w:lang w:val="en-US" w:eastAsia="zh-CN"/>
                    </w:rPr>
                    <w:t>保护目标名称</w:t>
                  </w:r>
                </w:p>
              </w:tc>
              <w:tc>
                <w:tcPr>
                  <w:tcW w:w="1532" w:type="pct"/>
                  <w:gridSpan w:val="2"/>
                  <w:vAlign w:val="center"/>
                </w:tcPr>
                <w:p w14:paraId="09F7B33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Times New Roman" w:cs="Times New Roman"/>
                      <w:b w:val="0"/>
                      <w:bCs w:val="0"/>
                      <w:color w:val="auto"/>
                      <w:sz w:val="21"/>
                      <w:szCs w:val="21"/>
                      <w:u w:val="none"/>
                    </w:rPr>
                  </w:pPr>
                  <w:r>
                    <w:rPr>
                      <w:rFonts w:hint="eastAsia" w:ascii="Times New Roman" w:hAnsi="Times New Roman" w:eastAsia="宋体" w:cs="Times New Roman"/>
                      <w:b w:val="0"/>
                      <w:bCs w:val="0"/>
                      <w:color w:val="auto"/>
                      <w:spacing w:val="-2"/>
                      <w:sz w:val="21"/>
                      <w:szCs w:val="21"/>
                      <w:u w:val="none"/>
                      <w:lang w:val="en-US" w:eastAsia="zh-CN"/>
                    </w:rPr>
                    <w:t>经纬度</w:t>
                  </w:r>
                  <w:r>
                    <w:rPr>
                      <w:rFonts w:hint="default" w:ascii="Times New Roman" w:hAnsi="Times New Roman" w:eastAsia="Times New Roman" w:cs="Times New Roman"/>
                      <w:b w:val="0"/>
                      <w:bCs w:val="0"/>
                      <w:color w:val="auto"/>
                      <w:spacing w:val="-2"/>
                      <w:sz w:val="21"/>
                      <w:szCs w:val="21"/>
                      <w:u w:val="none"/>
                    </w:rPr>
                    <w:t>/</w:t>
                  </w:r>
                  <w:r>
                    <w:rPr>
                      <w:rFonts w:hint="eastAsia" w:ascii="宋体" w:hAnsi="宋体" w:eastAsia="宋体" w:cs="宋体"/>
                      <w:b w:val="0"/>
                      <w:bCs w:val="0"/>
                      <w:color w:val="auto"/>
                      <w:spacing w:val="-1"/>
                      <w:sz w:val="21"/>
                      <w:szCs w:val="21"/>
                      <w:u w:val="none"/>
                    </w:rPr>
                    <w:t>°</w:t>
                  </w:r>
                </w:p>
              </w:tc>
              <w:tc>
                <w:tcPr>
                  <w:tcW w:w="552" w:type="pct"/>
                  <w:vMerge w:val="restart"/>
                  <w:vAlign w:val="center"/>
                </w:tcPr>
                <w:p w14:paraId="1E92A28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2"/>
                      <w:sz w:val="21"/>
                      <w:szCs w:val="21"/>
                      <w:u w:val="none"/>
                    </w:rPr>
                    <w:t>保护</w:t>
                  </w:r>
                  <w:r>
                    <w:rPr>
                      <w:rFonts w:hint="default" w:ascii="Times New Roman" w:hAnsi="Times New Roman" w:eastAsia="宋体" w:cs="Times New Roman"/>
                      <w:b w:val="0"/>
                      <w:bCs w:val="0"/>
                      <w:color w:val="auto"/>
                      <w:spacing w:val="-1"/>
                      <w:sz w:val="21"/>
                      <w:szCs w:val="21"/>
                      <w:u w:val="none"/>
                    </w:rPr>
                    <w:t>内容</w:t>
                  </w:r>
                </w:p>
              </w:tc>
              <w:tc>
                <w:tcPr>
                  <w:tcW w:w="631" w:type="pct"/>
                  <w:vMerge w:val="restart"/>
                  <w:vAlign w:val="center"/>
                </w:tcPr>
                <w:p w14:paraId="5A9B163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1"/>
                      <w:sz w:val="21"/>
                      <w:szCs w:val="21"/>
                      <w:u w:val="none"/>
                    </w:rPr>
                    <w:t>相对场址方</w:t>
                  </w:r>
                  <w:r>
                    <w:rPr>
                      <w:rFonts w:hint="default" w:ascii="Times New Roman" w:hAnsi="Times New Roman" w:eastAsia="宋体" w:cs="Times New Roman"/>
                      <w:b w:val="0"/>
                      <w:bCs w:val="0"/>
                      <w:color w:val="auto"/>
                      <w:sz w:val="21"/>
                      <w:szCs w:val="21"/>
                      <w:u w:val="none"/>
                    </w:rPr>
                    <w:t>位</w:t>
                  </w:r>
                </w:p>
              </w:tc>
              <w:tc>
                <w:tcPr>
                  <w:tcW w:w="438" w:type="pct"/>
                  <w:vMerge w:val="restart"/>
                  <w:vAlign w:val="center"/>
                </w:tcPr>
                <w:p w14:paraId="63BB619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eastAsia"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pacing w:val="-2"/>
                      <w:sz w:val="21"/>
                      <w:szCs w:val="21"/>
                      <w:u w:val="none"/>
                    </w:rPr>
                    <w:t>相</w:t>
                  </w:r>
                  <w:r>
                    <w:rPr>
                      <w:rFonts w:hint="default" w:ascii="Times New Roman" w:hAnsi="Times New Roman" w:eastAsia="宋体" w:cs="Times New Roman"/>
                      <w:b w:val="0"/>
                      <w:bCs w:val="0"/>
                      <w:color w:val="auto"/>
                      <w:spacing w:val="-1"/>
                      <w:sz w:val="21"/>
                      <w:szCs w:val="21"/>
                      <w:u w:val="none"/>
                    </w:rPr>
                    <w:t>对</w:t>
                  </w:r>
                  <w:r>
                    <w:rPr>
                      <w:rFonts w:hint="default" w:ascii="Times New Roman" w:hAnsi="Times New Roman" w:eastAsia="宋体" w:cs="Times New Roman"/>
                      <w:b w:val="0"/>
                      <w:bCs w:val="0"/>
                      <w:color w:val="auto"/>
                      <w:spacing w:val="-3"/>
                      <w:sz w:val="21"/>
                      <w:szCs w:val="21"/>
                      <w:u w:val="none"/>
                    </w:rPr>
                    <w:t>厂</w:t>
                  </w:r>
                  <w:r>
                    <w:rPr>
                      <w:rFonts w:hint="default" w:ascii="Times New Roman" w:hAnsi="Times New Roman" w:eastAsia="宋体" w:cs="Times New Roman"/>
                      <w:b w:val="0"/>
                      <w:bCs w:val="0"/>
                      <w:color w:val="auto"/>
                      <w:spacing w:val="-2"/>
                      <w:sz w:val="21"/>
                      <w:szCs w:val="21"/>
                      <w:u w:val="none"/>
                    </w:rPr>
                    <w:t>界距</w:t>
                  </w:r>
                  <w:r>
                    <w:rPr>
                      <w:rFonts w:hint="default" w:ascii="Times New Roman" w:hAnsi="Times New Roman" w:eastAsia="宋体" w:cs="Times New Roman"/>
                      <w:b w:val="0"/>
                      <w:bCs w:val="0"/>
                      <w:color w:val="auto"/>
                      <w:spacing w:val="-1"/>
                      <w:sz w:val="21"/>
                      <w:szCs w:val="21"/>
                      <w:u w:val="none"/>
                    </w:rPr>
                    <w:t>离</w:t>
                  </w:r>
                  <w:r>
                    <w:rPr>
                      <w:rFonts w:hint="eastAsia" w:ascii="Times New Roman" w:hAnsi="Times New Roman" w:eastAsia="宋体" w:cs="Times New Roman"/>
                      <w:b w:val="0"/>
                      <w:bCs w:val="0"/>
                      <w:color w:val="auto"/>
                      <w:spacing w:val="-1"/>
                      <w:sz w:val="21"/>
                      <w:szCs w:val="21"/>
                      <w:u w:val="none"/>
                      <w:lang w:val="en-US" w:eastAsia="zh-CN"/>
                    </w:rPr>
                    <w:t>m</w:t>
                  </w:r>
                </w:p>
              </w:tc>
              <w:tc>
                <w:tcPr>
                  <w:tcW w:w="1004" w:type="pct"/>
                  <w:vMerge w:val="restart"/>
                  <w:vAlign w:val="center"/>
                </w:tcPr>
                <w:p w14:paraId="2DCE77C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p w14:paraId="0D2D43A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eastAsia" w:ascii="Times New Roman" w:hAnsi="Times New Roman" w:eastAsia="宋体" w:cs="Times New Roman"/>
                      <w:b w:val="0"/>
                      <w:bCs w:val="0"/>
                      <w:color w:val="auto"/>
                      <w:sz w:val="21"/>
                      <w:szCs w:val="21"/>
                      <w:u w:val="none"/>
                      <w:lang w:val="en-US" w:eastAsia="zh-CN"/>
                    </w:rPr>
                    <w:t>保护标准</w:t>
                  </w:r>
                </w:p>
              </w:tc>
            </w:tr>
            <w:tr w14:paraId="64A6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0" w:type="pct"/>
                  <w:vMerge w:val="continue"/>
                  <w:vAlign w:val="center"/>
                </w:tcPr>
                <w:p w14:paraId="5CFBEDA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p>
              </w:tc>
              <w:tc>
                <w:tcPr>
                  <w:tcW w:w="733" w:type="pct"/>
                  <w:vAlign w:val="center"/>
                </w:tcPr>
                <w:p w14:paraId="1296000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Times New Roman" w:cs="Times New Roman"/>
                      <w:b w:val="0"/>
                      <w:bCs w:val="0"/>
                      <w:color w:val="auto"/>
                      <w:sz w:val="21"/>
                      <w:szCs w:val="21"/>
                      <w:u w:val="none"/>
                    </w:rPr>
                  </w:pPr>
                  <w:r>
                    <w:rPr>
                      <w:rFonts w:hint="default" w:ascii="Times New Roman" w:hAnsi="Times New Roman" w:eastAsia="Times New Roman" w:cs="Times New Roman"/>
                      <w:b w:val="0"/>
                      <w:bCs w:val="0"/>
                      <w:color w:val="auto"/>
                      <w:sz w:val="21"/>
                      <w:szCs w:val="21"/>
                      <w:u w:val="none"/>
                    </w:rPr>
                    <w:t>X</w:t>
                  </w:r>
                </w:p>
              </w:tc>
              <w:tc>
                <w:tcPr>
                  <w:tcW w:w="799" w:type="pct"/>
                  <w:vAlign w:val="center"/>
                </w:tcPr>
                <w:p w14:paraId="75B7121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Times New Roman" w:cs="Times New Roman"/>
                      <w:b w:val="0"/>
                      <w:bCs w:val="0"/>
                      <w:color w:val="auto"/>
                      <w:sz w:val="21"/>
                      <w:szCs w:val="21"/>
                      <w:u w:val="none"/>
                    </w:rPr>
                  </w:pPr>
                  <w:r>
                    <w:rPr>
                      <w:rFonts w:hint="default" w:ascii="Times New Roman" w:hAnsi="Times New Roman" w:eastAsia="Times New Roman" w:cs="Times New Roman"/>
                      <w:b w:val="0"/>
                      <w:bCs w:val="0"/>
                      <w:color w:val="auto"/>
                      <w:sz w:val="21"/>
                      <w:szCs w:val="21"/>
                      <w:u w:val="none"/>
                    </w:rPr>
                    <w:t>Y</w:t>
                  </w:r>
                </w:p>
              </w:tc>
              <w:tc>
                <w:tcPr>
                  <w:tcW w:w="552" w:type="pct"/>
                  <w:vMerge w:val="continue"/>
                  <w:vAlign w:val="center"/>
                </w:tcPr>
                <w:p w14:paraId="4792432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c>
                <w:tcPr>
                  <w:tcW w:w="631" w:type="pct"/>
                  <w:vMerge w:val="continue"/>
                  <w:vAlign w:val="center"/>
                </w:tcPr>
                <w:p w14:paraId="27F626A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c>
                <w:tcPr>
                  <w:tcW w:w="438" w:type="pct"/>
                  <w:vMerge w:val="continue"/>
                  <w:tcBorders>
                    <w:bottom w:val="single" w:color="000000" w:sz="4" w:space="0"/>
                  </w:tcBorders>
                  <w:vAlign w:val="center"/>
                </w:tcPr>
                <w:p w14:paraId="28D97A8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c>
                <w:tcPr>
                  <w:tcW w:w="1004" w:type="pct"/>
                  <w:vMerge w:val="continue"/>
                  <w:tcBorders>
                    <w:bottom w:val="single" w:color="000000" w:sz="4" w:space="0"/>
                  </w:tcBorders>
                  <w:vAlign w:val="center"/>
                </w:tcPr>
                <w:p w14:paraId="4C55ECB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1A59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0" w:type="pct"/>
                  <w:vAlign w:val="center"/>
                </w:tcPr>
                <w:p w14:paraId="12BB555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eastAsia" w:ascii="Times New Roman" w:hAnsi="Times New Roman" w:eastAsia="宋体" w:cs="Times New Roman"/>
                      <w:b w:val="0"/>
                      <w:bCs w:val="0"/>
                      <w:color w:val="auto"/>
                      <w:sz w:val="21"/>
                      <w:szCs w:val="21"/>
                      <w:u w:val="none"/>
                      <w:lang w:val="en-US" w:eastAsia="zh-CN"/>
                    </w:rPr>
                    <w:t>对门院</w:t>
                  </w:r>
                </w:p>
              </w:tc>
              <w:tc>
                <w:tcPr>
                  <w:tcW w:w="733" w:type="pct"/>
                  <w:vAlign w:val="center"/>
                </w:tcPr>
                <w:p w14:paraId="32FDBEA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111.822738</w:t>
                  </w:r>
                </w:p>
              </w:tc>
              <w:tc>
                <w:tcPr>
                  <w:tcW w:w="799" w:type="pct"/>
                  <w:vAlign w:val="center"/>
                </w:tcPr>
                <w:p w14:paraId="53FBD97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26.752006</w:t>
                  </w:r>
                </w:p>
              </w:tc>
              <w:tc>
                <w:tcPr>
                  <w:tcW w:w="552" w:type="pct"/>
                  <w:vAlign w:val="center"/>
                </w:tcPr>
                <w:p w14:paraId="27DB65B9">
                  <w:pPr>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居民</w:t>
                  </w:r>
                  <w:r>
                    <w:rPr>
                      <w:rFonts w:hint="eastAsia" w:cs="Times New Roman"/>
                      <w:b w:val="0"/>
                      <w:bCs w:val="0"/>
                      <w:color w:val="auto"/>
                      <w:kern w:val="2"/>
                      <w:sz w:val="21"/>
                      <w:szCs w:val="21"/>
                      <w:u w:val="none"/>
                      <w:lang w:val="en-US" w:eastAsia="zh-CN" w:bidi="ar-SA"/>
                    </w:rPr>
                    <w:t>，约100人</w:t>
                  </w:r>
                </w:p>
              </w:tc>
              <w:tc>
                <w:tcPr>
                  <w:tcW w:w="631" w:type="pct"/>
                  <w:vAlign w:val="center"/>
                </w:tcPr>
                <w:p w14:paraId="1C4171F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eastAsia" w:ascii="Times New Roman" w:hAnsi="Times New Roman" w:eastAsia="宋体" w:cs="Times New Roman"/>
                      <w:b w:val="0"/>
                      <w:bCs w:val="0"/>
                      <w:color w:val="auto"/>
                      <w:sz w:val="21"/>
                      <w:szCs w:val="21"/>
                      <w:u w:val="none"/>
                      <w:lang w:val="en-US" w:eastAsia="zh-CN"/>
                    </w:rPr>
                    <w:t>北</w:t>
                  </w:r>
                </w:p>
              </w:tc>
              <w:tc>
                <w:tcPr>
                  <w:tcW w:w="438" w:type="pct"/>
                  <w:tcBorders>
                    <w:top w:val="single" w:color="000000" w:sz="4" w:space="0"/>
                  </w:tcBorders>
                  <w:vAlign w:val="center"/>
                </w:tcPr>
                <w:p w14:paraId="4F4E060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282-528</w:t>
                  </w:r>
                </w:p>
              </w:tc>
              <w:tc>
                <w:tcPr>
                  <w:tcW w:w="1004" w:type="pct"/>
                  <w:vMerge w:val="restart"/>
                  <w:tcBorders>
                    <w:top w:val="single" w:color="000000" w:sz="4" w:space="0"/>
                  </w:tcBorders>
                  <w:vAlign w:val="center"/>
                </w:tcPr>
                <w:p w14:paraId="107ECD2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shd w:val="clear" w:color="auto" w:fill="FFFFFF"/>
                    </w:rPr>
                    <w:t>《环境空气质量标准》（</w:t>
                  </w:r>
                  <w:r>
                    <w:rPr>
                      <w:rFonts w:hint="eastAsia" w:ascii="Times New Roman" w:hAnsi="Times New Roman" w:cs="Times New Roman"/>
                      <w:b w:val="0"/>
                      <w:bCs w:val="0"/>
                      <w:color w:val="auto"/>
                      <w:sz w:val="21"/>
                      <w:szCs w:val="21"/>
                      <w:u w:val="none"/>
                      <w:shd w:val="clear" w:color="auto" w:fill="FFFFFF"/>
                      <w:lang w:eastAsia="zh-CN"/>
                    </w:rPr>
                    <w:t>GB3095-2026</w:t>
                  </w:r>
                  <w:r>
                    <w:rPr>
                      <w:rFonts w:hint="default" w:ascii="Times New Roman" w:hAnsi="Times New Roman" w:cs="Times New Roman"/>
                      <w:b w:val="0"/>
                      <w:bCs w:val="0"/>
                      <w:color w:val="auto"/>
                      <w:sz w:val="21"/>
                      <w:szCs w:val="21"/>
                      <w:u w:val="none"/>
                      <w:shd w:val="clear" w:color="auto" w:fill="FFFFFF"/>
                    </w:rPr>
                    <w:t>）二类区</w:t>
                  </w:r>
                </w:p>
              </w:tc>
            </w:tr>
            <w:tr w14:paraId="6144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0" w:type="pct"/>
                  <w:vAlign w:val="center"/>
                </w:tcPr>
                <w:p w14:paraId="68CADC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亮楼院</w:t>
                  </w:r>
                </w:p>
              </w:tc>
              <w:tc>
                <w:tcPr>
                  <w:tcW w:w="733" w:type="pct"/>
                  <w:vAlign w:val="center"/>
                </w:tcPr>
                <w:p w14:paraId="4E92DD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111.820928</w:t>
                  </w:r>
                </w:p>
              </w:tc>
              <w:tc>
                <w:tcPr>
                  <w:tcW w:w="799" w:type="pct"/>
                  <w:vAlign w:val="center"/>
                </w:tcPr>
                <w:p w14:paraId="0F6BB9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26.750803</w:t>
                  </w:r>
                </w:p>
              </w:tc>
              <w:tc>
                <w:tcPr>
                  <w:tcW w:w="552" w:type="pct"/>
                  <w:vAlign w:val="center"/>
                </w:tcPr>
                <w:p w14:paraId="0FC32F22">
                  <w:pPr>
                    <w:adjustRightInd w:val="0"/>
                    <w:snapToGrid w:val="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居民</w:t>
                  </w:r>
                  <w:r>
                    <w:rPr>
                      <w:rFonts w:hint="eastAsia" w:cs="Times New Roman"/>
                      <w:b w:val="0"/>
                      <w:bCs w:val="0"/>
                      <w:color w:val="auto"/>
                      <w:kern w:val="2"/>
                      <w:sz w:val="21"/>
                      <w:szCs w:val="21"/>
                      <w:u w:val="none"/>
                      <w:lang w:val="en-US" w:eastAsia="zh-CN" w:bidi="ar-SA"/>
                    </w:rPr>
                    <w:t>，约110人</w:t>
                  </w:r>
                </w:p>
              </w:tc>
              <w:tc>
                <w:tcPr>
                  <w:tcW w:w="631" w:type="pct"/>
                  <w:vAlign w:val="center"/>
                </w:tcPr>
                <w:p w14:paraId="186544E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eastAsia" w:ascii="Times New Roman" w:hAnsi="Times New Roman" w:eastAsia="宋体" w:cs="Times New Roman"/>
                      <w:b w:val="0"/>
                      <w:bCs w:val="0"/>
                      <w:color w:val="auto"/>
                      <w:sz w:val="21"/>
                      <w:szCs w:val="21"/>
                      <w:u w:val="none"/>
                      <w:lang w:val="en-US" w:eastAsia="zh-CN"/>
                    </w:rPr>
                    <w:t>西北</w:t>
                  </w:r>
                </w:p>
              </w:tc>
              <w:tc>
                <w:tcPr>
                  <w:tcW w:w="438" w:type="pct"/>
                  <w:vAlign w:val="center"/>
                </w:tcPr>
                <w:p w14:paraId="2B145B1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10-383</w:t>
                  </w:r>
                </w:p>
              </w:tc>
              <w:tc>
                <w:tcPr>
                  <w:tcW w:w="1004" w:type="pct"/>
                  <w:vMerge w:val="continue"/>
                  <w:vAlign w:val="center"/>
                </w:tcPr>
                <w:p w14:paraId="39F3716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04E7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0" w:type="pct"/>
                  <w:vAlign w:val="center"/>
                </w:tcPr>
                <w:p w14:paraId="422876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桂家院</w:t>
                  </w:r>
                </w:p>
              </w:tc>
              <w:tc>
                <w:tcPr>
                  <w:tcW w:w="733" w:type="pct"/>
                  <w:vAlign w:val="center"/>
                </w:tcPr>
                <w:p w14:paraId="5BCCBF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111.822716</w:t>
                  </w:r>
                </w:p>
              </w:tc>
              <w:tc>
                <w:tcPr>
                  <w:tcW w:w="799" w:type="pct"/>
                  <w:vAlign w:val="center"/>
                </w:tcPr>
                <w:p w14:paraId="3C3444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26.746469</w:t>
                  </w:r>
                </w:p>
              </w:tc>
              <w:tc>
                <w:tcPr>
                  <w:tcW w:w="552" w:type="pct"/>
                  <w:vAlign w:val="center"/>
                </w:tcPr>
                <w:p w14:paraId="2FEF81F3">
                  <w:pPr>
                    <w:adjustRightInd w:val="0"/>
                    <w:snapToGrid w:val="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居民</w:t>
                  </w:r>
                  <w:r>
                    <w:rPr>
                      <w:rFonts w:hint="eastAsia" w:cs="Times New Roman"/>
                      <w:b w:val="0"/>
                      <w:bCs w:val="0"/>
                      <w:color w:val="auto"/>
                      <w:kern w:val="2"/>
                      <w:sz w:val="21"/>
                      <w:szCs w:val="21"/>
                      <w:u w:val="none"/>
                      <w:lang w:val="en-US" w:eastAsia="zh-CN" w:bidi="ar-SA"/>
                    </w:rPr>
                    <w:t>，约4人</w:t>
                  </w:r>
                </w:p>
              </w:tc>
              <w:tc>
                <w:tcPr>
                  <w:tcW w:w="631" w:type="pct"/>
                  <w:vAlign w:val="center"/>
                </w:tcPr>
                <w:p w14:paraId="78E9AFD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eastAsia" w:ascii="Times New Roman" w:hAnsi="Times New Roman" w:eastAsia="宋体" w:cs="Times New Roman"/>
                      <w:b w:val="0"/>
                      <w:bCs w:val="0"/>
                      <w:color w:val="auto"/>
                      <w:sz w:val="21"/>
                      <w:szCs w:val="21"/>
                      <w:u w:val="none"/>
                      <w:lang w:val="en-US" w:eastAsia="zh-CN"/>
                    </w:rPr>
                    <w:t>西南</w:t>
                  </w:r>
                </w:p>
              </w:tc>
              <w:tc>
                <w:tcPr>
                  <w:tcW w:w="438" w:type="pct"/>
                  <w:vAlign w:val="center"/>
                </w:tcPr>
                <w:p w14:paraId="2DB0DC2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140-184</w:t>
                  </w:r>
                </w:p>
              </w:tc>
              <w:tc>
                <w:tcPr>
                  <w:tcW w:w="1004" w:type="pct"/>
                  <w:vMerge w:val="continue"/>
                  <w:vAlign w:val="center"/>
                </w:tcPr>
                <w:p w14:paraId="0A38098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1683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0" w:type="pct"/>
                  <w:vAlign w:val="center"/>
                </w:tcPr>
                <w:p w14:paraId="5FF603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花屋院子</w:t>
                  </w:r>
                </w:p>
              </w:tc>
              <w:tc>
                <w:tcPr>
                  <w:tcW w:w="733" w:type="pct"/>
                  <w:vAlign w:val="center"/>
                </w:tcPr>
                <w:p w14:paraId="7E589E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111.825157</w:t>
                  </w:r>
                </w:p>
              </w:tc>
              <w:tc>
                <w:tcPr>
                  <w:tcW w:w="799" w:type="pct"/>
                  <w:vAlign w:val="center"/>
                </w:tcPr>
                <w:p w14:paraId="3FED2E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26.747278</w:t>
                  </w:r>
                </w:p>
              </w:tc>
              <w:tc>
                <w:tcPr>
                  <w:tcW w:w="552" w:type="pct"/>
                  <w:vAlign w:val="center"/>
                </w:tcPr>
                <w:p w14:paraId="2EEE1F1D">
                  <w:pPr>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居民</w:t>
                  </w:r>
                  <w:r>
                    <w:rPr>
                      <w:rFonts w:hint="eastAsia" w:cs="Times New Roman"/>
                      <w:b w:val="0"/>
                      <w:bCs w:val="0"/>
                      <w:color w:val="auto"/>
                      <w:kern w:val="2"/>
                      <w:sz w:val="21"/>
                      <w:szCs w:val="21"/>
                      <w:u w:val="none"/>
                      <w:lang w:val="en-US" w:eastAsia="zh-CN" w:bidi="ar-SA"/>
                    </w:rPr>
                    <w:t>，约20人</w:t>
                  </w:r>
                </w:p>
              </w:tc>
              <w:tc>
                <w:tcPr>
                  <w:tcW w:w="631" w:type="pct"/>
                  <w:vAlign w:val="center"/>
                </w:tcPr>
                <w:p w14:paraId="1905834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eastAsia" w:ascii="Times New Roman" w:hAnsi="Times New Roman" w:eastAsia="宋体" w:cs="Times New Roman"/>
                      <w:b w:val="0"/>
                      <w:bCs w:val="0"/>
                      <w:color w:val="auto"/>
                      <w:sz w:val="21"/>
                      <w:szCs w:val="21"/>
                      <w:u w:val="none"/>
                      <w:lang w:val="en-US" w:eastAsia="zh-CN"/>
                    </w:rPr>
                    <w:t>东南</w:t>
                  </w:r>
                </w:p>
              </w:tc>
              <w:tc>
                <w:tcPr>
                  <w:tcW w:w="438" w:type="pct"/>
                  <w:vAlign w:val="center"/>
                </w:tcPr>
                <w:p w14:paraId="0A692C8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55-228</w:t>
                  </w:r>
                </w:p>
              </w:tc>
              <w:tc>
                <w:tcPr>
                  <w:tcW w:w="1004" w:type="pct"/>
                  <w:vMerge w:val="continue"/>
                  <w:vAlign w:val="center"/>
                </w:tcPr>
                <w:p w14:paraId="5E609EF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2831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0" w:type="pct"/>
                  <w:vAlign w:val="center"/>
                </w:tcPr>
                <w:p w14:paraId="34C834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吊楼屋</w:t>
                  </w:r>
                </w:p>
              </w:tc>
              <w:tc>
                <w:tcPr>
                  <w:tcW w:w="733" w:type="pct"/>
                  <w:vAlign w:val="center"/>
                </w:tcPr>
                <w:p w14:paraId="6225E9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111.827834</w:t>
                  </w:r>
                </w:p>
              </w:tc>
              <w:tc>
                <w:tcPr>
                  <w:tcW w:w="799" w:type="pct"/>
                  <w:vAlign w:val="center"/>
                </w:tcPr>
                <w:p w14:paraId="7ADBE0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26.749065</w:t>
                  </w:r>
                </w:p>
              </w:tc>
              <w:tc>
                <w:tcPr>
                  <w:tcW w:w="552" w:type="pct"/>
                  <w:vAlign w:val="center"/>
                </w:tcPr>
                <w:p w14:paraId="03C33606">
                  <w:pPr>
                    <w:adjustRightInd w:val="0"/>
                    <w:snapToGrid w:val="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居民</w:t>
                  </w:r>
                  <w:r>
                    <w:rPr>
                      <w:rFonts w:hint="eastAsia" w:cs="Times New Roman"/>
                      <w:b w:val="0"/>
                      <w:bCs w:val="0"/>
                      <w:color w:val="auto"/>
                      <w:kern w:val="2"/>
                      <w:sz w:val="21"/>
                      <w:szCs w:val="21"/>
                      <w:u w:val="none"/>
                      <w:lang w:val="en-US" w:eastAsia="zh-CN" w:bidi="ar-SA"/>
                    </w:rPr>
                    <w:t>，约40人</w:t>
                  </w:r>
                </w:p>
              </w:tc>
              <w:tc>
                <w:tcPr>
                  <w:tcW w:w="631" w:type="pct"/>
                  <w:vAlign w:val="center"/>
                </w:tcPr>
                <w:p w14:paraId="7BCB9EE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eastAsia" w:ascii="Times New Roman" w:hAnsi="Times New Roman" w:eastAsia="宋体" w:cs="Times New Roman"/>
                      <w:b w:val="0"/>
                      <w:bCs w:val="0"/>
                      <w:color w:val="auto"/>
                      <w:sz w:val="21"/>
                      <w:szCs w:val="21"/>
                      <w:u w:val="none"/>
                      <w:lang w:val="en-US" w:eastAsia="zh-CN"/>
                    </w:rPr>
                    <w:t>东</w:t>
                  </w:r>
                </w:p>
              </w:tc>
              <w:tc>
                <w:tcPr>
                  <w:tcW w:w="438" w:type="pct"/>
                  <w:vAlign w:val="center"/>
                </w:tcPr>
                <w:p w14:paraId="23BCE56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192-389</w:t>
                  </w:r>
                </w:p>
              </w:tc>
              <w:tc>
                <w:tcPr>
                  <w:tcW w:w="1004" w:type="pct"/>
                  <w:vMerge w:val="continue"/>
                  <w:vAlign w:val="center"/>
                </w:tcPr>
                <w:p w14:paraId="0C4C9B2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6A56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0" w:type="pct"/>
                  <w:vAlign w:val="center"/>
                </w:tcPr>
                <w:p w14:paraId="0985CC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项目东北侧居民</w:t>
                  </w:r>
                </w:p>
              </w:tc>
              <w:tc>
                <w:tcPr>
                  <w:tcW w:w="733" w:type="pct"/>
                  <w:vAlign w:val="center"/>
                </w:tcPr>
                <w:p w14:paraId="4CDB75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111.824996</w:t>
                  </w:r>
                </w:p>
              </w:tc>
              <w:tc>
                <w:tcPr>
                  <w:tcW w:w="799" w:type="pct"/>
                  <w:vAlign w:val="center"/>
                </w:tcPr>
                <w:p w14:paraId="016789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26.748908</w:t>
                  </w:r>
                </w:p>
              </w:tc>
              <w:tc>
                <w:tcPr>
                  <w:tcW w:w="552" w:type="pct"/>
                  <w:vAlign w:val="center"/>
                </w:tcPr>
                <w:p w14:paraId="11CE2E58">
                  <w:pPr>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居民</w:t>
                  </w:r>
                  <w:r>
                    <w:rPr>
                      <w:rFonts w:hint="eastAsia" w:cs="Times New Roman"/>
                      <w:b w:val="0"/>
                      <w:bCs w:val="0"/>
                      <w:color w:val="auto"/>
                      <w:kern w:val="2"/>
                      <w:sz w:val="21"/>
                      <w:szCs w:val="21"/>
                      <w:u w:val="none"/>
                      <w:lang w:val="en-US" w:eastAsia="zh-CN" w:bidi="ar-SA"/>
                    </w:rPr>
                    <w:t>，约4人</w:t>
                  </w:r>
                </w:p>
              </w:tc>
              <w:tc>
                <w:tcPr>
                  <w:tcW w:w="631" w:type="pct"/>
                  <w:vAlign w:val="center"/>
                </w:tcPr>
                <w:p w14:paraId="727E7E2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eastAsia" w:ascii="Times New Roman" w:hAnsi="Times New Roman" w:eastAsia="宋体" w:cs="Times New Roman"/>
                      <w:b w:val="0"/>
                      <w:bCs w:val="0"/>
                      <w:color w:val="auto"/>
                      <w:sz w:val="21"/>
                      <w:szCs w:val="21"/>
                      <w:u w:val="none"/>
                      <w:lang w:val="en-US" w:eastAsia="zh-CN"/>
                    </w:rPr>
                  </w:pPr>
                  <w:r>
                    <w:rPr>
                      <w:rFonts w:hint="eastAsia" w:ascii="Times New Roman" w:hAnsi="Times New Roman" w:eastAsia="宋体" w:cs="Times New Roman"/>
                      <w:b w:val="0"/>
                      <w:bCs w:val="0"/>
                      <w:color w:val="auto"/>
                      <w:sz w:val="21"/>
                      <w:szCs w:val="21"/>
                      <w:u w:val="none"/>
                      <w:lang w:val="en-US" w:eastAsia="zh-CN"/>
                    </w:rPr>
                    <w:t>东北</w:t>
                  </w:r>
                </w:p>
              </w:tc>
              <w:tc>
                <w:tcPr>
                  <w:tcW w:w="438" w:type="pct"/>
                  <w:vAlign w:val="center"/>
                </w:tcPr>
                <w:p w14:paraId="26D4B73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50-105</w:t>
                  </w:r>
                </w:p>
              </w:tc>
              <w:tc>
                <w:tcPr>
                  <w:tcW w:w="1004" w:type="pct"/>
                  <w:vMerge w:val="continue"/>
                  <w:vAlign w:val="center"/>
                </w:tcPr>
                <w:p w14:paraId="4204CBA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527A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0" w:type="pct"/>
                  <w:shd w:val="clear" w:color="auto" w:fill="auto"/>
                  <w:vAlign w:val="center"/>
                </w:tcPr>
                <w:p w14:paraId="7C467D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亮楼院</w:t>
                  </w:r>
                </w:p>
              </w:tc>
              <w:tc>
                <w:tcPr>
                  <w:tcW w:w="733" w:type="pct"/>
                  <w:shd w:val="clear" w:color="auto" w:fill="auto"/>
                  <w:vAlign w:val="center"/>
                </w:tcPr>
                <w:p w14:paraId="3BBE29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111.820928</w:t>
                  </w:r>
                </w:p>
              </w:tc>
              <w:tc>
                <w:tcPr>
                  <w:tcW w:w="799" w:type="pct"/>
                  <w:shd w:val="clear" w:color="auto" w:fill="auto"/>
                  <w:vAlign w:val="center"/>
                </w:tcPr>
                <w:p w14:paraId="7BBAE7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26.750803</w:t>
                  </w:r>
                </w:p>
              </w:tc>
              <w:tc>
                <w:tcPr>
                  <w:tcW w:w="941" w:type="dxa"/>
                  <w:shd w:val="clear" w:color="auto" w:fill="auto"/>
                  <w:vAlign w:val="center"/>
                </w:tcPr>
                <w:p w14:paraId="516124E3">
                  <w:pPr>
                    <w:adjustRightInd w:val="0"/>
                    <w:snapToGrid w:val="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居民</w:t>
                  </w:r>
                  <w:r>
                    <w:rPr>
                      <w:rFonts w:hint="eastAsia" w:cs="Times New Roman"/>
                      <w:b w:val="0"/>
                      <w:bCs w:val="0"/>
                      <w:color w:val="auto"/>
                      <w:kern w:val="2"/>
                      <w:sz w:val="21"/>
                      <w:szCs w:val="21"/>
                      <w:u w:val="none"/>
                      <w:lang w:val="en-US" w:eastAsia="zh-CN" w:bidi="ar-SA"/>
                    </w:rPr>
                    <w:t>，约80人</w:t>
                  </w:r>
                </w:p>
              </w:tc>
              <w:tc>
                <w:tcPr>
                  <w:tcW w:w="631" w:type="pct"/>
                  <w:shd w:val="clear" w:color="auto" w:fill="auto"/>
                  <w:vAlign w:val="center"/>
                </w:tcPr>
                <w:p w14:paraId="33F86E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rPr>
                    <w:t>西北</w:t>
                  </w:r>
                </w:p>
              </w:tc>
              <w:tc>
                <w:tcPr>
                  <w:tcW w:w="438" w:type="pct"/>
                  <w:shd w:val="clear" w:color="auto" w:fill="auto"/>
                  <w:vAlign w:val="center"/>
                </w:tcPr>
                <w:p w14:paraId="0440CC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sz w:val="21"/>
                      <w:szCs w:val="21"/>
                      <w:u w:val="none"/>
                      <w:lang w:val="en-US" w:eastAsia="zh-CN"/>
                    </w:rPr>
                    <w:t>10-200</w:t>
                  </w:r>
                </w:p>
              </w:tc>
              <w:tc>
                <w:tcPr>
                  <w:tcW w:w="1004" w:type="pct"/>
                  <w:vMerge w:val="restart"/>
                  <w:vAlign w:val="center"/>
                </w:tcPr>
                <w:p w14:paraId="7B1ED1B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2"/>
                      <w:sz w:val="21"/>
                      <w:szCs w:val="21"/>
                      <w:u w:val="none"/>
                    </w:rPr>
                    <w:t>《声</w:t>
                  </w:r>
                  <w:r>
                    <w:rPr>
                      <w:rFonts w:hint="default" w:ascii="Times New Roman" w:hAnsi="Times New Roman" w:eastAsia="宋体" w:cs="Times New Roman"/>
                      <w:b w:val="0"/>
                      <w:bCs w:val="0"/>
                      <w:color w:val="auto"/>
                      <w:spacing w:val="-1"/>
                      <w:sz w:val="21"/>
                      <w:szCs w:val="21"/>
                      <w:u w:val="none"/>
                    </w:rPr>
                    <w:t>环境质量标准》</w:t>
                  </w:r>
                </w:p>
                <w:p w14:paraId="1C4B708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rPr>
                  </w:pPr>
                  <w:r>
                    <w:rPr>
                      <w:rFonts w:hint="eastAsia" w:ascii="Times New Roman" w:hAnsi="Times New Roman" w:eastAsia="宋体" w:cs="Times New Roman"/>
                      <w:b w:val="0"/>
                      <w:bCs w:val="0"/>
                      <w:color w:val="auto"/>
                      <w:spacing w:val="10"/>
                      <w:sz w:val="21"/>
                      <w:szCs w:val="21"/>
                      <w:u w:val="none"/>
                      <w:lang w:eastAsia="zh-CN"/>
                    </w:rPr>
                    <w:t>（</w:t>
                  </w:r>
                  <w:r>
                    <w:rPr>
                      <w:rFonts w:hint="default" w:ascii="Times New Roman" w:hAnsi="Times New Roman" w:eastAsia="Times New Roman" w:cs="Times New Roman"/>
                      <w:b w:val="0"/>
                      <w:bCs w:val="0"/>
                      <w:color w:val="auto"/>
                      <w:sz w:val="21"/>
                      <w:szCs w:val="21"/>
                      <w:u w:val="none"/>
                    </w:rPr>
                    <w:t>GB</w:t>
                  </w:r>
                  <w:r>
                    <w:rPr>
                      <w:rFonts w:hint="default" w:ascii="Times New Roman" w:hAnsi="Times New Roman" w:eastAsia="Times New Roman" w:cs="Times New Roman"/>
                      <w:b w:val="0"/>
                      <w:bCs w:val="0"/>
                      <w:color w:val="auto"/>
                      <w:spacing w:val="8"/>
                      <w:sz w:val="21"/>
                      <w:szCs w:val="21"/>
                      <w:u w:val="none"/>
                    </w:rPr>
                    <w:t>3</w:t>
                  </w:r>
                  <w:r>
                    <w:rPr>
                      <w:rFonts w:hint="default" w:ascii="Times New Roman" w:hAnsi="Times New Roman" w:eastAsia="Times New Roman" w:cs="Times New Roman"/>
                      <w:b w:val="0"/>
                      <w:bCs w:val="0"/>
                      <w:color w:val="auto"/>
                      <w:spacing w:val="5"/>
                      <w:sz w:val="21"/>
                      <w:szCs w:val="21"/>
                      <w:u w:val="none"/>
                    </w:rPr>
                    <w:t>096-2008</w:t>
                  </w:r>
                  <w:r>
                    <w:rPr>
                      <w:rFonts w:hint="eastAsia" w:ascii="Times New Roman" w:hAnsi="Times New Roman" w:eastAsia="宋体" w:cs="Times New Roman"/>
                      <w:b w:val="0"/>
                      <w:bCs w:val="0"/>
                      <w:color w:val="auto"/>
                      <w:spacing w:val="5"/>
                      <w:sz w:val="21"/>
                      <w:szCs w:val="21"/>
                      <w:u w:val="none"/>
                      <w:lang w:eastAsia="zh-CN"/>
                    </w:rPr>
                    <w:t>）</w:t>
                  </w:r>
                  <w:r>
                    <w:rPr>
                      <w:rFonts w:hint="default" w:ascii="Times New Roman" w:hAnsi="Times New Roman" w:eastAsia="Times New Roman" w:cs="Times New Roman"/>
                      <w:b w:val="0"/>
                      <w:bCs w:val="0"/>
                      <w:color w:val="auto"/>
                      <w:spacing w:val="5"/>
                      <w:sz w:val="21"/>
                      <w:szCs w:val="21"/>
                      <w:u w:val="none"/>
                    </w:rPr>
                    <w:t>2</w:t>
                  </w:r>
                  <w:r>
                    <w:rPr>
                      <w:rFonts w:hint="default" w:ascii="Times New Roman" w:hAnsi="Times New Roman" w:eastAsia="宋体" w:cs="Times New Roman"/>
                      <w:b w:val="0"/>
                      <w:bCs w:val="0"/>
                      <w:color w:val="auto"/>
                      <w:spacing w:val="5"/>
                      <w:sz w:val="21"/>
                      <w:szCs w:val="21"/>
                      <w:u w:val="none"/>
                    </w:rPr>
                    <w:t>类标准</w:t>
                  </w:r>
                </w:p>
              </w:tc>
            </w:tr>
            <w:tr w14:paraId="4405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0" w:type="pct"/>
                  <w:shd w:val="clear" w:color="auto" w:fill="auto"/>
                  <w:vAlign w:val="center"/>
                </w:tcPr>
                <w:p w14:paraId="2A9E97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桂家院</w:t>
                  </w:r>
                </w:p>
              </w:tc>
              <w:tc>
                <w:tcPr>
                  <w:tcW w:w="733" w:type="pct"/>
                  <w:shd w:val="clear" w:color="auto" w:fill="auto"/>
                  <w:vAlign w:val="center"/>
                </w:tcPr>
                <w:p w14:paraId="00906E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111.822716</w:t>
                  </w:r>
                </w:p>
              </w:tc>
              <w:tc>
                <w:tcPr>
                  <w:tcW w:w="799" w:type="pct"/>
                  <w:shd w:val="clear" w:color="auto" w:fill="auto"/>
                  <w:vAlign w:val="center"/>
                </w:tcPr>
                <w:p w14:paraId="085B96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26.746469</w:t>
                  </w:r>
                </w:p>
              </w:tc>
              <w:tc>
                <w:tcPr>
                  <w:tcW w:w="941" w:type="dxa"/>
                  <w:shd w:val="clear" w:color="auto" w:fill="auto"/>
                  <w:vAlign w:val="center"/>
                </w:tcPr>
                <w:p w14:paraId="76AE52AA">
                  <w:pPr>
                    <w:adjustRightInd w:val="0"/>
                    <w:snapToGrid w:val="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居民</w:t>
                  </w:r>
                  <w:r>
                    <w:rPr>
                      <w:rFonts w:hint="eastAsia" w:cs="Times New Roman"/>
                      <w:b w:val="0"/>
                      <w:bCs w:val="0"/>
                      <w:color w:val="auto"/>
                      <w:kern w:val="2"/>
                      <w:sz w:val="21"/>
                      <w:szCs w:val="21"/>
                      <w:u w:val="none"/>
                      <w:lang w:val="en-US" w:eastAsia="zh-CN" w:bidi="ar-SA"/>
                    </w:rPr>
                    <w:t>，约4人</w:t>
                  </w:r>
                </w:p>
              </w:tc>
              <w:tc>
                <w:tcPr>
                  <w:tcW w:w="631" w:type="pct"/>
                  <w:shd w:val="clear" w:color="auto" w:fill="auto"/>
                  <w:vAlign w:val="center"/>
                </w:tcPr>
                <w:p w14:paraId="554737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rPr>
                    <w:t>西南</w:t>
                  </w:r>
                </w:p>
              </w:tc>
              <w:tc>
                <w:tcPr>
                  <w:tcW w:w="438" w:type="pct"/>
                  <w:shd w:val="clear" w:color="auto" w:fill="auto"/>
                  <w:vAlign w:val="center"/>
                </w:tcPr>
                <w:p w14:paraId="6A75CA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sz w:val="21"/>
                      <w:szCs w:val="21"/>
                      <w:u w:val="none"/>
                      <w:lang w:val="en-US" w:eastAsia="zh-CN"/>
                    </w:rPr>
                    <w:t>140-184</w:t>
                  </w:r>
                </w:p>
              </w:tc>
              <w:tc>
                <w:tcPr>
                  <w:tcW w:w="1004" w:type="pct"/>
                  <w:vMerge w:val="continue"/>
                  <w:vAlign w:val="center"/>
                </w:tcPr>
                <w:p w14:paraId="2070C3A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0283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0" w:type="pct"/>
                  <w:shd w:val="clear" w:color="auto" w:fill="auto"/>
                  <w:vAlign w:val="center"/>
                </w:tcPr>
                <w:p w14:paraId="278F9C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花屋院子</w:t>
                  </w:r>
                </w:p>
              </w:tc>
              <w:tc>
                <w:tcPr>
                  <w:tcW w:w="733" w:type="pct"/>
                  <w:shd w:val="clear" w:color="auto" w:fill="auto"/>
                  <w:vAlign w:val="center"/>
                </w:tcPr>
                <w:p w14:paraId="1B964C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111.825157</w:t>
                  </w:r>
                </w:p>
              </w:tc>
              <w:tc>
                <w:tcPr>
                  <w:tcW w:w="799" w:type="pct"/>
                  <w:shd w:val="clear" w:color="auto" w:fill="auto"/>
                  <w:vAlign w:val="center"/>
                </w:tcPr>
                <w:p w14:paraId="08DB95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26.747278</w:t>
                  </w:r>
                </w:p>
              </w:tc>
              <w:tc>
                <w:tcPr>
                  <w:tcW w:w="941" w:type="dxa"/>
                  <w:shd w:val="clear" w:color="auto" w:fill="auto"/>
                  <w:vAlign w:val="center"/>
                </w:tcPr>
                <w:p w14:paraId="6BE77B49">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居民</w:t>
                  </w:r>
                  <w:r>
                    <w:rPr>
                      <w:rFonts w:hint="eastAsia" w:cs="Times New Roman"/>
                      <w:b w:val="0"/>
                      <w:bCs w:val="0"/>
                      <w:color w:val="auto"/>
                      <w:kern w:val="2"/>
                      <w:sz w:val="21"/>
                      <w:szCs w:val="21"/>
                      <w:u w:val="none"/>
                      <w:lang w:val="en-US" w:eastAsia="zh-CN" w:bidi="ar-SA"/>
                    </w:rPr>
                    <w:t>，约12人</w:t>
                  </w:r>
                </w:p>
              </w:tc>
              <w:tc>
                <w:tcPr>
                  <w:tcW w:w="631" w:type="pct"/>
                  <w:shd w:val="clear" w:color="auto" w:fill="auto"/>
                  <w:vAlign w:val="center"/>
                </w:tcPr>
                <w:p w14:paraId="168C06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rPr>
                    <w:t>东南</w:t>
                  </w:r>
                </w:p>
              </w:tc>
              <w:tc>
                <w:tcPr>
                  <w:tcW w:w="438" w:type="pct"/>
                  <w:shd w:val="clear" w:color="auto" w:fill="auto"/>
                  <w:vAlign w:val="center"/>
                </w:tcPr>
                <w:p w14:paraId="223C61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sz w:val="21"/>
                      <w:szCs w:val="21"/>
                      <w:u w:val="none"/>
                      <w:lang w:val="en-US" w:eastAsia="zh-CN"/>
                    </w:rPr>
                    <w:t>55-200</w:t>
                  </w:r>
                </w:p>
              </w:tc>
              <w:tc>
                <w:tcPr>
                  <w:tcW w:w="1004" w:type="pct"/>
                  <w:vMerge w:val="continue"/>
                  <w:vAlign w:val="center"/>
                </w:tcPr>
                <w:p w14:paraId="4FD8FB4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4A6A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0" w:type="pct"/>
                  <w:shd w:val="clear" w:color="auto" w:fill="auto"/>
                  <w:vAlign w:val="center"/>
                </w:tcPr>
                <w:p w14:paraId="2BEF63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吊楼屋</w:t>
                  </w:r>
                </w:p>
              </w:tc>
              <w:tc>
                <w:tcPr>
                  <w:tcW w:w="733" w:type="pct"/>
                  <w:shd w:val="clear" w:color="auto" w:fill="auto"/>
                  <w:vAlign w:val="center"/>
                </w:tcPr>
                <w:p w14:paraId="33D364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111.827834</w:t>
                  </w:r>
                </w:p>
              </w:tc>
              <w:tc>
                <w:tcPr>
                  <w:tcW w:w="799" w:type="pct"/>
                  <w:shd w:val="clear" w:color="auto" w:fill="auto"/>
                  <w:vAlign w:val="center"/>
                </w:tcPr>
                <w:p w14:paraId="44922C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26.749065</w:t>
                  </w:r>
                </w:p>
              </w:tc>
              <w:tc>
                <w:tcPr>
                  <w:tcW w:w="941" w:type="dxa"/>
                  <w:shd w:val="clear" w:color="auto" w:fill="auto"/>
                  <w:vAlign w:val="center"/>
                </w:tcPr>
                <w:p w14:paraId="7AF541BC">
                  <w:pPr>
                    <w:adjustRightInd w:val="0"/>
                    <w:snapToGrid w:val="0"/>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居民</w:t>
                  </w:r>
                  <w:r>
                    <w:rPr>
                      <w:rFonts w:hint="eastAsia" w:cs="Times New Roman"/>
                      <w:b w:val="0"/>
                      <w:bCs w:val="0"/>
                      <w:color w:val="auto"/>
                      <w:kern w:val="2"/>
                      <w:sz w:val="21"/>
                      <w:szCs w:val="21"/>
                      <w:u w:val="none"/>
                      <w:lang w:val="en-US" w:eastAsia="zh-CN" w:bidi="ar-SA"/>
                    </w:rPr>
                    <w:t>，约35人</w:t>
                  </w:r>
                </w:p>
              </w:tc>
              <w:tc>
                <w:tcPr>
                  <w:tcW w:w="631" w:type="pct"/>
                  <w:shd w:val="clear" w:color="auto" w:fill="auto"/>
                  <w:vAlign w:val="center"/>
                </w:tcPr>
                <w:p w14:paraId="3FF3FE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rPr>
                    <w:t>东</w:t>
                  </w:r>
                </w:p>
              </w:tc>
              <w:tc>
                <w:tcPr>
                  <w:tcW w:w="438" w:type="pct"/>
                  <w:shd w:val="clear" w:color="auto" w:fill="auto"/>
                  <w:vAlign w:val="center"/>
                </w:tcPr>
                <w:p w14:paraId="07A653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sz w:val="21"/>
                      <w:szCs w:val="21"/>
                      <w:u w:val="none"/>
                      <w:lang w:val="en-US" w:eastAsia="zh-CN"/>
                    </w:rPr>
                    <w:t>192-200</w:t>
                  </w:r>
                </w:p>
              </w:tc>
              <w:tc>
                <w:tcPr>
                  <w:tcW w:w="1004" w:type="pct"/>
                  <w:vMerge w:val="continue"/>
                  <w:vAlign w:val="center"/>
                </w:tcPr>
                <w:p w14:paraId="1F7A950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6943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0" w:type="auto"/>
                  <w:shd w:val="clear" w:color="auto" w:fill="auto"/>
                  <w:vAlign w:val="center"/>
                </w:tcPr>
                <w:p w14:paraId="1A0B10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项目东北侧居民</w:t>
                  </w:r>
                </w:p>
              </w:tc>
              <w:tc>
                <w:tcPr>
                  <w:tcW w:w="0" w:type="auto"/>
                  <w:shd w:val="clear" w:color="auto" w:fill="auto"/>
                  <w:vAlign w:val="center"/>
                </w:tcPr>
                <w:p w14:paraId="157CE9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111.824996</w:t>
                  </w:r>
                </w:p>
              </w:tc>
              <w:tc>
                <w:tcPr>
                  <w:tcW w:w="0" w:type="auto"/>
                  <w:shd w:val="clear" w:color="auto" w:fill="auto"/>
                  <w:vAlign w:val="center"/>
                </w:tcPr>
                <w:p w14:paraId="15CF31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26.748908</w:t>
                  </w:r>
                </w:p>
              </w:tc>
              <w:tc>
                <w:tcPr>
                  <w:tcW w:w="941" w:type="dxa"/>
                  <w:shd w:val="clear" w:color="auto" w:fill="auto"/>
                  <w:vAlign w:val="center"/>
                </w:tcPr>
                <w:p w14:paraId="6166A5AF">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居民</w:t>
                  </w:r>
                  <w:r>
                    <w:rPr>
                      <w:rFonts w:hint="eastAsia" w:cs="Times New Roman"/>
                      <w:b w:val="0"/>
                      <w:bCs w:val="0"/>
                      <w:color w:val="auto"/>
                      <w:kern w:val="2"/>
                      <w:sz w:val="21"/>
                      <w:szCs w:val="21"/>
                      <w:u w:val="none"/>
                      <w:lang w:val="en-US" w:eastAsia="zh-CN" w:bidi="ar-SA"/>
                    </w:rPr>
                    <w:t>，约4人</w:t>
                  </w:r>
                </w:p>
              </w:tc>
              <w:tc>
                <w:tcPr>
                  <w:tcW w:w="0" w:type="auto"/>
                  <w:shd w:val="clear" w:color="auto" w:fill="auto"/>
                  <w:vAlign w:val="center"/>
                </w:tcPr>
                <w:p w14:paraId="3F6E73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rPr>
                    <w:t>东北</w:t>
                  </w:r>
                </w:p>
              </w:tc>
              <w:tc>
                <w:tcPr>
                  <w:tcW w:w="0" w:type="auto"/>
                  <w:shd w:val="clear" w:color="auto" w:fill="auto"/>
                  <w:vAlign w:val="center"/>
                </w:tcPr>
                <w:p w14:paraId="5804F2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sz w:val="21"/>
                      <w:szCs w:val="21"/>
                      <w:u w:val="none"/>
                      <w:lang w:val="en-US" w:eastAsia="zh-CN"/>
                    </w:rPr>
                    <w:t>50-105</w:t>
                  </w:r>
                </w:p>
              </w:tc>
              <w:tc>
                <w:tcPr>
                  <w:tcW w:w="1004" w:type="pct"/>
                  <w:vMerge w:val="continue"/>
                </w:tcPr>
                <w:p w14:paraId="05749CB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bl>
          <w:p w14:paraId="4415D7B9">
            <w:pPr>
              <w:adjustRightInd w:val="0"/>
              <w:snapToGrid w:val="0"/>
              <w:jc w:val="center"/>
              <w:rPr>
                <w:b/>
                <w:bCs/>
                <w:color w:val="auto"/>
                <w:szCs w:val="21"/>
                <w:u w:val="none" w:color="auto"/>
              </w:rPr>
            </w:pPr>
            <w:r>
              <w:rPr>
                <w:b/>
                <w:bCs/>
                <w:color w:val="auto"/>
                <w:szCs w:val="21"/>
                <w:u w:val="none" w:color="auto"/>
              </w:rPr>
              <w:t>表3-</w:t>
            </w:r>
            <w:r>
              <w:rPr>
                <w:rFonts w:hint="eastAsia"/>
                <w:b/>
                <w:bCs/>
                <w:color w:val="auto"/>
                <w:szCs w:val="21"/>
                <w:u w:val="none" w:color="auto"/>
                <w:lang w:val="en-US" w:eastAsia="zh-CN"/>
              </w:rPr>
              <w:t>8</w:t>
            </w:r>
            <w:r>
              <w:rPr>
                <w:b/>
                <w:bCs/>
                <w:color w:val="auto"/>
                <w:szCs w:val="21"/>
                <w:u w:val="none" w:color="auto"/>
              </w:rPr>
              <w:t xml:space="preserve"> </w:t>
            </w:r>
            <w:r>
              <w:rPr>
                <w:rFonts w:hint="eastAsia"/>
                <w:b/>
                <w:bCs/>
                <w:color w:val="auto"/>
                <w:szCs w:val="21"/>
                <w:u w:val="none" w:color="auto"/>
              </w:rPr>
              <w:t>其</w:t>
            </w:r>
            <w:r>
              <w:rPr>
                <w:rFonts w:hint="eastAsia"/>
                <w:b/>
                <w:bCs/>
                <w:color w:val="auto"/>
                <w:szCs w:val="21"/>
                <w:u w:val="none" w:color="auto"/>
                <w:lang w:val="en-US" w:eastAsia="zh-CN"/>
              </w:rPr>
              <w:t>他</w:t>
            </w:r>
            <w:r>
              <w:rPr>
                <w:b/>
                <w:bCs/>
                <w:color w:val="auto"/>
                <w:szCs w:val="21"/>
                <w:u w:val="none" w:color="auto"/>
              </w:rPr>
              <w:t>主要环境保护目标一览表</w:t>
            </w:r>
          </w:p>
          <w:tbl>
            <w:tblPr>
              <w:tblStyle w:val="45"/>
              <w:tblW w:w="4998" w:type="pct"/>
              <w:jc w:val="center"/>
              <w:tblBorders>
                <w:top w:val="single" w:color="000000" w:sz="4" w:space="0"/>
                <w:left w:val="single" w:color="000000" w:sz="4" w:space="0"/>
                <w:bottom w:val="single" w:color="000000" w:sz="4" w:space="0"/>
                <w:right w:val="single" w:color="000000" w:sz="4" w:space="0"/>
                <w:insideH w:val="single" w:color="auto" w:sz="8" w:space="0"/>
                <w:insideV w:val="single" w:color="auto" w:sz="8" w:space="0"/>
              </w:tblBorders>
              <w:tblLayout w:type="autofit"/>
              <w:tblCellMar>
                <w:top w:w="0" w:type="dxa"/>
                <w:left w:w="108" w:type="dxa"/>
                <w:bottom w:w="0" w:type="dxa"/>
                <w:right w:w="108" w:type="dxa"/>
              </w:tblCellMar>
            </w:tblPr>
            <w:tblGrid>
              <w:gridCol w:w="662"/>
              <w:gridCol w:w="1406"/>
              <w:gridCol w:w="1271"/>
              <w:gridCol w:w="1563"/>
              <w:gridCol w:w="1045"/>
              <w:gridCol w:w="2572"/>
            </w:tblGrid>
            <w:tr w14:paraId="15A09C72">
              <w:tblPrEx>
                <w:tblBorders>
                  <w:top w:val="single" w:color="000000" w:sz="4" w:space="0"/>
                  <w:left w:val="single" w:color="000000" w:sz="4" w:space="0"/>
                  <w:bottom w:val="single" w:color="000000" w:sz="4" w:space="0"/>
                  <w:right w:val="single" w:color="000000" w:sz="4"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89" w:type="pct"/>
                  <w:vAlign w:val="center"/>
                </w:tcPr>
                <w:p w14:paraId="51EF86A4">
                  <w:pPr>
                    <w:snapToGrid w:val="0"/>
                    <w:spacing w:line="300" w:lineRule="exact"/>
                    <w:jc w:val="center"/>
                    <w:rPr>
                      <w:b/>
                      <w:bCs/>
                      <w:color w:val="auto"/>
                      <w:szCs w:val="21"/>
                      <w:u w:val="none" w:color="auto"/>
                    </w:rPr>
                  </w:pPr>
                  <w:r>
                    <w:rPr>
                      <w:b/>
                      <w:bCs/>
                      <w:color w:val="auto"/>
                      <w:szCs w:val="21"/>
                      <w:u w:val="none" w:color="auto"/>
                    </w:rPr>
                    <w:t>环境要素</w:t>
                  </w:r>
                </w:p>
              </w:tc>
              <w:tc>
                <w:tcPr>
                  <w:tcW w:w="825" w:type="pct"/>
                  <w:vAlign w:val="center"/>
                </w:tcPr>
                <w:p w14:paraId="5A070645">
                  <w:pPr>
                    <w:snapToGrid w:val="0"/>
                    <w:spacing w:line="300" w:lineRule="exact"/>
                    <w:jc w:val="center"/>
                    <w:rPr>
                      <w:b/>
                      <w:bCs/>
                      <w:color w:val="auto"/>
                      <w:szCs w:val="21"/>
                      <w:u w:val="none" w:color="auto"/>
                    </w:rPr>
                  </w:pPr>
                  <w:r>
                    <w:rPr>
                      <w:b/>
                      <w:bCs/>
                      <w:color w:val="auto"/>
                      <w:szCs w:val="21"/>
                      <w:u w:val="none" w:color="auto"/>
                    </w:rPr>
                    <w:t>保护目标</w:t>
                  </w:r>
                </w:p>
              </w:tc>
              <w:tc>
                <w:tcPr>
                  <w:tcW w:w="746" w:type="pct"/>
                  <w:vAlign w:val="center"/>
                </w:tcPr>
                <w:p w14:paraId="083EB89A">
                  <w:pPr>
                    <w:snapToGrid w:val="0"/>
                    <w:spacing w:line="300" w:lineRule="exact"/>
                    <w:jc w:val="center"/>
                    <w:rPr>
                      <w:b/>
                      <w:bCs/>
                      <w:color w:val="auto"/>
                      <w:szCs w:val="21"/>
                      <w:u w:val="none" w:color="auto"/>
                    </w:rPr>
                  </w:pPr>
                  <w:r>
                    <w:rPr>
                      <w:b/>
                      <w:bCs/>
                      <w:color w:val="auto"/>
                      <w:szCs w:val="21"/>
                      <w:u w:val="none" w:color="auto"/>
                    </w:rPr>
                    <w:t>方位距离</w:t>
                  </w:r>
                </w:p>
              </w:tc>
              <w:tc>
                <w:tcPr>
                  <w:tcW w:w="917" w:type="pct"/>
                  <w:vAlign w:val="center"/>
                </w:tcPr>
                <w:p w14:paraId="25485A74">
                  <w:pPr>
                    <w:snapToGrid w:val="0"/>
                    <w:spacing w:line="300" w:lineRule="exact"/>
                    <w:jc w:val="center"/>
                    <w:rPr>
                      <w:rFonts w:hint="default" w:eastAsia="宋体"/>
                      <w:b/>
                      <w:bCs/>
                      <w:color w:val="auto"/>
                      <w:szCs w:val="21"/>
                      <w:u w:val="none" w:color="auto"/>
                      <w:lang w:val="en-US" w:eastAsia="zh-CN"/>
                    </w:rPr>
                  </w:pPr>
                  <w:r>
                    <w:rPr>
                      <w:rFonts w:hint="eastAsia"/>
                      <w:b/>
                      <w:bCs/>
                      <w:color w:val="auto"/>
                      <w:szCs w:val="21"/>
                      <w:u w:val="none" w:color="auto"/>
                      <w:lang w:val="en-US" w:eastAsia="zh-CN"/>
                    </w:rPr>
                    <w:t>与本项目是否存在水力联系</w:t>
                  </w:r>
                </w:p>
              </w:tc>
              <w:tc>
                <w:tcPr>
                  <w:tcW w:w="612" w:type="pct"/>
                  <w:vAlign w:val="center"/>
                </w:tcPr>
                <w:p w14:paraId="4DA2CE89">
                  <w:pPr>
                    <w:snapToGrid w:val="0"/>
                    <w:spacing w:line="300" w:lineRule="exact"/>
                    <w:jc w:val="center"/>
                    <w:rPr>
                      <w:b/>
                      <w:bCs/>
                      <w:color w:val="auto"/>
                      <w:szCs w:val="21"/>
                      <w:u w:val="none" w:color="auto"/>
                    </w:rPr>
                  </w:pPr>
                  <w:r>
                    <w:rPr>
                      <w:b/>
                      <w:bCs/>
                      <w:color w:val="auto"/>
                      <w:szCs w:val="21"/>
                      <w:u w:val="none" w:color="auto"/>
                    </w:rPr>
                    <w:t>功能/规模</w:t>
                  </w:r>
                </w:p>
              </w:tc>
              <w:tc>
                <w:tcPr>
                  <w:tcW w:w="1509" w:type="pct"/>
                  <w:vAlign w:val="center"/>
                </w:tcPr>
                <w:p w14:paraId="4B20A339">
                  <w:pPr>
                    <w:snapToGrid w:val="0"/>
                    <w:spacing w:line="300" w:lineRule="exact"/>
                    <w:jc w:val="center"/>
                    <w:rPr>
                      <w:b/>
                      <w:bCs/>
                      <w:color w:val="auto"/>
                      <w:szCs w:val="21"/>
                      <w:u w:val="none" w:color="auto"/>
                    </w:rPr>
                  </w:pPr>
                  <w:r>
                    <w:rPr>
                      <w:b/>
                      <w:bCs/>
                      <w:color w:val="auto"/>
                      <w:szCs w:val="21"/>
                      <w:u w:val="none" w:color="auto"/>
                    </w:rPr>
                    <w:t>环境保护区域标准</w:t>
                  </w:r>
                </w:p>
              </w:tc>
            </w:tr>
            <w:tr w14:paraId="6E04DE32">
              <w:tblPrEx>
                <w:tblBorders>
                  <w:top w:val="single" w:color="000000" w:sz="4" w:space="0"/>
                  <w:left w:val="single" w:color="000000" w:sz="4" w:space="0"/>
                  <w:bottom w:val="single" w:color="000000" w:sz="4" w:space="0"/>
                  <w:right w:val="single" w:color="000000" w:sz="4"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89" w:type="pct"/>
                  <w:vAlign w:val="center"/>
                </w:tcPr>
                <w:p w14:paraId="46D38C9E">
                  <w:pPr>
                    <w:snapToGrid w:val="0"/>
                    <w:spacing w:line="300" w:lineRule="exact"/>
                    <w:jc w:val="center"/>
                    <w:rPr>
                      <w:b w:val="0"/>
                      <w:bCs w:val="0"/>
                      <w:color w:val="auto"/>
                      <w:szCs w:val="21"/>
                      <w:u w:val="none" w:color="auto"/>
                    </w:rPr>
                  </w:pPr>
                  <w:r>
                    <w:rPr>
                      <w:b w:val="0"/>
                      <w:bCs w:val="0"/>
                      <w:color w:val="auto"/>
                      <w:szCs w:val="21"/>
                      <w:u w:val="none" w:color="auto"/>
                    </w:rPr>
                    <w:t>水环境</w:t>
                  </w:r>
                </w:p>
              </w:tc>
              <w:tc>
                <w:tcPr>
                  <w:tcW w:w="825" w:type="pct"/>
                  <w:vAlign w:val="center"/>
                </w:tcPr>
                <w:p w14:paraId="64C5147A">
                  <w:pPr>
                    <w:snapToGrid w:val="0"/>
                    <w:spacing w:line="300" w:lineRule="exact"/>
                    <w:jc w:val="center"/>
                    <w:rPr>
                      <w:rFonts w:hint="default" w:eastAsia="宋体"/>
                      <w:b w:val="0"/>
                      <w:bCs w:val="0"/>
                      <w:color w:val="auto"/>
                      <w:szCs w:val="21"/>
                      <w:u w:val="none" w:color="auto"/>
                      <w:lang w:val="en-US" w:eastAsia="zh-CN"/>
                    </w:rPr>
                  </w:pPr>
                  <w:r>
                    <w:rPr>
                      <w:rFonts w:hint="eastAsia" w:ascii="Times New Roman" w:hAnsi="Times New Roman" w:cs="Times New Roman"/>
                      <w:b w:val="0"/>
                      <w:bCs w:val="0"/>
                      <w:color w:val="auto"/>
                      <w:kern w:val="0"/>
                      <w:sz w:val="21"/>
                      <w:szCs w:val="21"/>
                      <w:u w:val="none" w:color="auto"/>
                      <w:lang w:val="en-US" w:eastAsia="zh-CN"/>
                    </w:rPr>
                    <w:t>祁水-本工程影响河段</w:t>
                  </w:r>
                </w:p>
              </w:tc>
              <w:tc>
                <w:tcPr>
                  <w:tcW w:w="746" w:type="pct"/>
                  <w:vAlign w:val="center"/>
                </w:tcPr>
                <w:p w14:paraId="42410A2C">
                  <w:pPr>
                    <w:snapToGrid w:val="0"/>
                    <w:spacing w:line="300" w:lineRule="exact"/>
                    <w:jc w:val="center"/>
                    <w:rPr>
                      <w:rFonts w:hint="default" w:eastAsia="宋体"/>
                      <w:b w:val="0"/>
                      <w:bCs w:val="0"/>
                      <w:color w:val="auto"/>
                      <w:szCs w:val="21"/>
                      <w:u w:val="none" w:color="auto"/>
                      <w:lang w:val="en-US" w:eastAsia="zh-CN"/>
                    </w:rPr>
                  </w:pPr>
                  <w:r>
                    <w:rPr>
                      <w:rFonts w:hint="eastAsia"/>
                      <w:b w:val="0"/>
                      <w:bCs w:val="0"/>
                      <w:color w:val="auto"/>
                      <w:szCs w:val="21"/>
                      <w:u w:val="none" w:color="auto"/>
                      <w:lang w:val="en-US" w:eastAsia="zh-CN"/>
                    </w:rPr>
                    <w:t>/</w:t>
                  </w:r>
                </w:p>
              </w:tc>
              <w:tc>
                <w:tcPr>
                  <w:tcW w:w="917" w:type="pct"/>
                  <w:vAlign w:val="center"/>
                </w:tcPr>
                <w:p w14:paraId="62544935">
                  <w:pPr>
                    <w:snapToGrid w:val="0"/>
                    <w:spacing w:line="300" w:lineRule="exact"/>
                    <w:jc w:val="center"/>
                    <w:rPr>
                      <w:rFonts w:hint="default"/>
                      <w:b w:val="0"/>
                      <w:bCs w:val="0"/>
                      <w:color w:val="auto"/>
                      <w:szCs w:val="21"/>
                      <w:u w:val="none" w:color="auto"/>
                      <w:lang w:val="en-US" w:eastAsia="zh-CN"/>
                    </w:rPr>
                  </w:pPr>
                  <w:r>
                    <w:rPr>
                      <w:rFonts w:hint="eastAsia"/>
                      <w:b w:val="0"/>
                      <w:bCs w:val="0"/>
                      <w:color w:val="auto"/>
                      <w:szCs w:val="21"/>
                      <w:u w:val="none" w:color="auto"/>
                      <w:lang w:val="en-US" w:eastAsia="zh-CN"/>
                    </w:rPr>
                    <w:t>工程扰动水体</w:t>
                  </w:r>
                </w:p>
              </w:tc>
              <w:tc>
                <w:tcPr>
                  <w:tcW w:w="612" w:type="pct"/>
                  <w:vAlign w:val="center"/>
                </w:tcPr>
                <w:p w14:paraId="77226B18">
                  <w:pPr>
                    <w:snapToGrid w:val="0"/>
                    <w:spacing w:line="300" w:lineRule="exact"/>
                    <w:jc w:val="center"/>
                    <w:rPr>
                      <w:b w:val="0"/>
                      <w:bCs w:val="0"/>
                      <w:color w:val="auto"/>
                      <w:szCs w:val="21"/>
                      <w:u w:val="none" w:color="auto"/>
                    </w:rPr>
                  </w:pPr>
                  <w:r>
                    <w:rPr>
                      <w:rFonts w:hint="eastAsia" w:ascii="宋体" w:hAnsi="宋体" w:eastAsia="宋体" w:cs="宋体"/>
                      <w:b w:val="0"/>
                      <w:bCs w:val="0"/>
                      <w:color w:val="auto"/>
                      <w:sz w:val="21"/>
                      <w:szCs w:val="21"/>
                      <w:u w:val="none" w:color="auto"/>
                      <w:lang w:val="en-US" w:eastAsia="zh-CN"/>
                    </w:rPr>
                    <w:t>农业用水</w:t>
                  </w:r>
                </w:p>
              </w:tc>
              <w:tc>
                <w:tcPr>
                  <w:tcW w:w="1509" w:type="pct"/>
                  <w:vAlign w:val="center"/>
                </w:tcPr>
                <w:p w14:paraId="4C07E827">
                  <w:pPr>
                    <w:snapToGrid w:val="0"/>
                    <w:spacing w:line="300" w:lineRule="exact"/>
                    <w:jc w:val="center"/>
                    <w:rPr>
                      <w:b w:val="0"/>
                      <w:bCs w:val="0"/>
                      <w:color w:val="auto"/>
                      <w:szCs w:val="21"/>
                      <w:u w:val="none" w:color="auto"/>
                    </w:rPr>
                  </w:pPr>
                  <w:r>
                    <w:rPr>
                      <w:b w:val="0"/>
                      <w:bCs w:val="0"/>
                      <w:color w:val="auto"/>
                      <w:szCs w:val="21"/>
                      <w:u w:val="none" w:color="auto"/>
                    </w:rPr>
                    <w:t>《地表水环境质量标准》（GB3838-2002）</w:t>
                  </w:r>
                  <w:r>
                    <w:rPr>
                      <w:b w:val="0"/>
                      <w:bCs w:val="0"/>
                      <w:color w:val="auto"/>
                      <w:szCs w:val="21"/>
                      <w:u w:val="none" w:color="auto"/>
                    </w:rPr>
                    <w:fldChar w:fldCharType="begin"/>
                  </w:r>
                  <w:r>
                    <w:rPr>
                      <w:b w:val="0"/>
                      <w:bCs w:val="0"/>
                      <w:color w:val="auto"/>
                      <w:szCs w:val="21"/>
                      <w:u w:val="none" w:color="auto"/>
                    </w:rPr>
                    <w:instrText xml:space="preserve"> = 3 \* ROMAN </w:instrText>
                  </w:r>
                  <w:r>
                    <w:rPr>
                      <w:b w:val="0"/>
                      <w:bCs w:val="0"/>
                      <w:color w:val="auto"/>
                      <w:szCs w:val="21"/>
                      <w:u w:val="none" w:color="auto"/>
                    </w:rPr>
                    <w:fldChar w:fldCharType="separate"/>
                  </w:r>
                  <w:r>
                    <w:rPr>
                      <w:b w:val="0"/>
                      <w:bCs w:val="0"/>
                      <w:color w:val="auto"/>
                      <w:szCs w:val="21"/>
                      <w:u w:val="none" w:color="auto"/>
                    </w:rPr>
                    <w:t>III</w:t>
                  </w:r>
                  <w:r>
                    <w:rPr>
                      <w:b w:val="0"/>
                      <w:bCs w:val="0"/>
                      <w:color w:val="auto"/>
                      <w:szCs w:val="21"/>
                      <w:u w:val="none" w:color="auto"/>
                    </w:rPr>
                    <w:fldChar w:fldCharType="end"/>
                  </w:r>
                  <w:r>
                    <w:rPr>
                      <w:b w:val="0"/>
                      <w:bCs w:val="0"/>
                      <w:color w:val="auto"/>
                      <w:szCs w:val="21"/>
                      <w:u w:val="none" w:color="auto"/>
                    </w:rPr>
                    <w:t>类标准</w:t>
                  </w:r>
                </w:p>
              </w:tc>
            </w:tr>
            <w:tr w14:paraId="4E3BA8FA">
              <w:tblPrEx>
                <w:tblBorders>
                  <w:top w:val="single" w:color="000000" w:sz="4" w:space="0"/>
                  <w:left w:val="single" w:color="000000" w:sz="4" w:space="0"/>
                  <w:bottom w:val="single" w:color="000000" w:sz="4" w:space="0"/>
                  <w:right w:val="single" w:color="000000" w:sz="4"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89" w:type="pct"/>
                  <w:vAlign w:val="center"/>
                </w:tcPr>
                <w:p w14:paraId="440F2B20">
                  <w:pPr>
                    <w:snapToGrid w:val="0"/>
                    <w:spacing w:line="300" w:lineRule="exact"/>
                    <w:jc w:val="center"/>
                    <w:rPr>
                      <w:b w:val="0"/>
                      <w:bCs w:val="0"/>
                      <w:color w:val="auto"/>
                      <w:szCs w:val="21"/>
                      <w:u w:val="none" w:color="auto"/>
                    </w:rPr>
                  </w:pPr>
                  <w:r>
                    <w:rPr>
                      <w:b w:val="0"/>
                      <w:bCs w:val="0"/>
                      <w:color w:val="auto"/>
                      <w:szCs w:val="21"/>
                      <w:u w:val="none" w:color="auto"/>
                    </w:rPr>
                    <w:t>生态环境</w:t>
                  </w:r>
                </w:p>
              </w:tc>
              <w:tc>
                <w:tcPr>
                  <w:tcW w:w="3101" w:type="pct"/>
                  <w:gridSpan w:val="4"/>
                  <w:vAlign w:val="center"/>
                </w:tcPr>
                <w:p w14:paraId="4D9ADCDC">
                  <w:pPr>
                    <w:snapToGrid w:val="0"/>
                    <w:spacing w:line="300" w:lineRule="exact"/>
                    <w:jc w:val="center"/>
                    <w:rPr>
                      <w:rFonts w:ascii="Times New Roman" w:hAnsi="Times New Roman" w:eastAsia="宋体" w:cs="Times New Roman"/>
                      <w:b w:val="0"/>
                      <w:bCs w:val="0"/>
                      <w:color w:val="auto"/>
                      <w:kern w:val="2"/>
                      <w:sz w:val="21"/>
                      <w:szCs w:val="21"/>
                      <w:u w:val="none" w:color="auto"/>
                      <w:lang w:val="en-US" w:eastAsia="zh-CN" w:bidi="ar-SA"/>
                    </w:rPr>
                  </w:pPr>
                  <w:r>
                    <w:rPr>
                      <w:b w:val="0"/>
                      <w:bCs w:val="0"/>
                      <w:color w:val="auto"/>
                      <w:szCs w:val="21"/>
                      <w:u w:val="none" w:color="auto"/>
                    </w:rPr>
                    <w:t>项目占地区周边</w:t>
                  </w:r>
                </w:p>
              </w:tc>
              <w:tc>
                <w:tcPr>
                  <w:tcW w:w="1509" w:type="pct"/>
                  <w:vAlign w:val="center"/>
                </w:tcPr>
                <w:p w14:paraId="69B25D56">
                  <w:pPr>
                    <w:snapToGrid w:val="0"/>
                    <w:spacing w:line="300" w:lineRule="exact"/>
                    <w:jc w:val="center"/>
                    <w:rPr>
                      <w:rFonts w:ascii="Times New Roman" w:hAnsi="Times New Roman" w:eastAsia="宋体" w:cs="Times New Roman"/>
                      <w:b w:val="0"/>
                      <w:bCs w:val="0"/>
                      <w:color w:val="auto"/>
                      <w:kern w:val="2"/>
                      <w:sz w:val="21"/>
                      <w:szCs w:val="21"/>
                      <w:u w:val="none" w:color="auto"/>
                      <w:lang w:val="en-US" w:eastAsia="zh-CN" w:bidi="ar-SA"/>
                    </w:rPr>
                  </w:pPr>
                  <w:r>
                    <w:rPr>
                      <w:b w:val="0"/>
                      <w:bCs w:val="0"/>
                      <w:color w:val="auto"/>
                      <w:szCs w:val="21"/>
                      <w:u w:val="none" w:color="auto"/>
                    </w:rPr>
                    <w:t>植被恢复，控制水土流失</w:t>
                  </w:r>
                </w:p>
              </w:tc>
            </w:tr>
          </w:tbl>
          <w:p w14:paraId="0D93C661">
            <w:pPr>
              <w:rPr>
                <w:color w:val="0000FF"/>
                <w:sz w:val="24"/>
              </w:rPr>
            </w:pPr>
          </w:p>
        </w:tc>
      </w:tr>
      <w:tr w14:paraId="1DE029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E0CAF5E">
            <w:pPr>
              <w:jc w:val="center"/>
              <w:rPr>
                <w:color w:val="000000"/>
                <w:sz w:val="24"/>
              </w:rPr>
            </w:pPr>
            <w:r>
              <w:rPr>
                <w:rFonts w:hint="eastAsia"/>
                <w:color w:val="000000"/>
                <w:sz w:val="24"/>
              </w:rPr>
              <w:t>评价标准</w:t>
            </w:r>
          </w:p>
        </w:tc>
        <w:tc>
          <w:tcPr>
            <w:tcW w:w="8604" w:type="dxa"/>
          </w:tcPr>
          <w:p w14:paraId="1E9D9D15">
            <w:pPr>
              <w:adjustRightInd w:val="0"/>
              <w:snapToGrid w:val="0"/>
              <w:spacing w:line="480" w:lineRule="exact"/>
              <w:ind w:firstLine="482" w:firstLineChars="200"/>
              <w:jc w:val="left"/>
              <w:rPr>
                <w:b/>
                <w:color w:val="000000"/>
                <w:sz w:val="24"/>
              </w:rPr>
            </w:pPr>
            <w:r>
              <w:rPr>
                <w:rFonts w:hint="eastAsia"/>
                <w:b/>
                <w:color w:val="000000"/>
                <w:sz w:val="24"/>
              </w:rPr>
              <w:t>1、环境质量标准</w:t>
            </w:r>
          </w:p>
          <w:p w14:paraId="119B05F2">
            <w:pPr>
              <w:adjustRightInd w:val="0"/>
              <w:snapToGrid w:val="0"/>
              <w:spacing w:line="480" w:lineRule="exact"/>
              <w:ind w:firstLine="480" w:firstLineChars="200"/>
              <w:jc w:val="left"/>
              <w:rPr>
                <w:color w:val="000000"/>
                <w:sz w:val="24"/>
              </w:rPr>
            </w:pPr>
            <w:r>
              <w:rPr>
                <w:rFonts w:hint="eastAsia"/>
                <w:color w:val="000000"/>
                <w:sz w:val="24"/>
              </w:rPr>
              <w:t>（1）空气质量</w:t>
            </w:r>
          </w:p>
          <w:p w14:paraId="1EA3B79E">
            <w:pPr>
              <w:adjustRightInd w:val="0"/>
              <w:snapToGrid w:val="0"/>
              <w:spacing w:line="480" w:lineRule="exact"/>
              <w:ind w:firstLine="480" w:firstLineChars="200"/>
              <w:jc w:val="left"/>
              <w:rPr>
                <w:color w:val="000000"/>
                <w:sz w:val="24"/>
              </w:rPr>
            </w:pPr>
            <w:r>
              <w:rPr>
                <w:rFonts w:hint="eastAsia"/>
                <w:bCs/>
                <w:color w:val="000000"/>
                <w:sz w:val="24"/>
              </w:rPr>
              <w:t>项目区域</w:t>
            </w:r>
            <w:r>
              <w:rPr>
                <w:rFonts w:hint="eastAsia"/>
                <w:color w:val="000000"/>
                <w:sz w:val="24"/>
              </w:rPr>
              <w:t>执行《环境空气质量标准》（</w:t>
            </w:r>
            <w:r>
              <w:rPr>
                <w:color w:val="000000"/>
                <w:sz w:val="24"/>
              </w:rPr>
              <w:t>GB3095-20</w:t>
            </w:r>
            <w:r>
              <w:rPr>
                <w:rFonts w:hint="eastAsia"/>
                <w:color w:val="000000"/>
                <w:sz w:val="24"/>
                <w:lang w:val="en-US" w:eastAsia="zh-CN"/>
              </w:rPr>
              <w:t>26</w:t>
            </w:r>
            <w:r>
              <w:rPr>
                <w:rFonts w:hint="eastAsia"/>
                <w:color w:val="000000"/>
                <w:sz w:val="24"/>
              </w:rPr>
              <w:t>）中二级标准，具体见表3-</w:t>
            </w:r>
            <w:r>
              <w:rPr>
                <w:rFonts w:hint="eastAsia"/>
                <w:color w:val="000000"/>
                <w:sz w:val="24"/>
                <w:lang w:val="en-US" w:eastAsia="zh-CN"/>
              </w:rPr>
              <w:t>9</w:t>
            </w:r>
            <w:r>
              <w:rPr>
                <w:rFonts w:hint="eastAsia"/>
                <w:color w:val="000000"/>
                <w:sz w:val="24"/>
              </w:rPr>
              <w:t>。</w:t>
            </w:r>
          </w:p>
          <w:p w14:paraId="2B9E36BA">
            <w:pPr>
              <w:adjustRightInd w:val="0"/>
              <w:snapToGrid w:val="0"/>
              <w:spacing w:line="480" w:lineRule="exact"/>
              <w:ind w:firstLine="422" w:firstLineChars="200"/>
              <w:jc w:val="center"/>
              <w:rPr>
                <w:b/>
                <w:color w:val="000000"/>
                <w:szCs w:val="21"/>
              </w:rPr>
            </w:pPr>
            <w:r>
              <w:rPr>
                <w:rFonts w:hint="eastAsia"/>
                <w:b/>
                <w:bCs/>
                <w:color w:val="000000"/>
                <w:szCs w:val="21"/>
              </w:rPr>
              <w:t>表3-</w:t>
            </w:r>
            <w:r>
              <w:rPr>
                <w:rFonts w:hint="eastAsia"/>
                <w:b/>
                <w:bCs/>
                <w:color w:val="000000"/>
                <w:szCs w:val="21"/>
                <w:lang w:val="en-US" w:eastAsia="zh-CN"/>
              </w:rPr>
              <w:t>9</w:t>
            </w:r>
            <w:r>
              <w:rPr>
                <w:b/>
                <w:bCs/>
                <w:color w:val="000000"/>
                <w:szCs w:val="21"/>
              </w:rPr>
              <w:t xml:space="preserve">  </w:t>
            </w:r>
            <w:r>
              <w:rPr>
                <w:rFonts w:hint="eastAsia"/>
                <w:b/>
                <w:bCs/>
                <w:color w:val="000000"/>
                <w:szCs w:val="21"/>
              </w:rPr>
              <w:t>环境空气质量标准</w:t>
            </w:r>
            <w:r>
              <w:rPr>
                <w:b/>
                <w:bCs/>
                <w:color w:val="000000"/>
                <w:szCs w:val="21"/>
              </w:rPr>
              <w:t xml:space="preserve">  </w:t>
            </w:r>
            <w:r>
              <w:rPr>
                <w:rFonts w:hint="eastAsia"/>
                <w:b/>
                <w:bCs/>
                <w:color w:val="000000"/>
                <w:szCs w:val="21"/>
              </w:rPr>
              <w:t>单位：</w:t>
            </w:r>
            <w:r>
              <w:rPr>
                <w:b/>
                <w:bCs/>
                <w:color w:val="000000"/>
                <w:szCs w:val="21"/>
              </w:rPr>
              <w:t>mg/m</w:t>
            </w:r>
            <w:r>
              <w:rPr>
                <w:b/>
                <w:bCs/>
                <w:color w:val="000000"/>
                <w:szCs w:val="21"/>
                <w:vertAlign w:val="superscript"/>
              </w:rPr>
              <w:t>3</w:t>
            </w:r>
          </w:p>
          <w:tbl>
            <w:tblPr>
              <w:tblStyle w:val="236"/>
              <w:tblW w:w="83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9"/>
              <w:gridCol w:w="1553"/>
              <w:gridCol w:w="1271"/>
              <w:gridCol w:w="1424"/>
              <w:gridCol w:w="1049"/>
              <w:gridCol w:w="2260"/>
            </w:tblGrid>
            <w:tr w14:paraId="0365B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9" w:type="dxa"/>
                  <w:vMerge w:val="restart"/>
                  <w:tcBorders>
                    <w:tl2br w:val="nil"/>
                    <w:tr2bl w:val="nil"/>
                  </w:tcBorders>
                  <w:vAlign w:val="center"/>
                </w:tcPr>
                <w:p w14:paraId="1FB1C7B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2"/>
                      <w:sz w:val="21"/>
                      <w:szCs w:val="21"/>
                      <w:u w:val="none"/>
                    </w:rPr>
                    <w:t>序</w:t>
                  </w:r>
                  <w:r>
                    <w:rPr>
                      <w:rFonts w:hint="default" w:ascii="Times New Roman" w:hAnsi="Times New Roman" w:eastAsia="宋体" w:cs="Times New Roman"/>
                      <w:b w:val="0"/>
                      <w:bCs w:val="0"/>
                      <w:color w:val="auto"/>
                      <w:spacing w:val="-1"/>
                      <w:sz w:val="21"/>
                      <w:szCs w:val="21"/>
                      <w:u w:val="none"/>
                    </w:rPr>
                    <w:t>号</w:t>
                  </w:r>
                </w:p>
              </w:tc>
              <w:tc>
                <w:tcPr>
                  <w:tcW w:w="1553" w:type="dxa"/>
                  <w:vMerge w:val="restart"/>
                  <w:tcBorders>
                    <w:tl2br w:val="nil"/>
                    <w:tr2bl w:val="nil"/>
                  </w:tcBorders>
                  <w:vAlign w:val="center"/>
                </w:tcPr>
                <w:p w14:paraId="60AC1CB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2"/>
                      <w:sz w:val="21"/>
                      <w:szCs w:val="21"/>
                      <w:u w:val="none"/>
                    </w:rPr>
                    <w:t>污染</w:t>
                  </w:r>
                  <w:r>
                    <w:rPr>
                      <w:rFonts w:hint="default" w:ascii="Times New Roman" w:hAnsi="Times New Roman" w:eastAsia="宋体" w:cs="Times New Roman"/>
                      <w:b w:val="0"/>
                      <w:bCs w:val="0"/>
                      <w:color w:val="auto"/>
                      <w:spacing w:val="-1"/>
                      <w:sz w:val="21"/>
                      <w:szCs w:val="21"/>
                      <w:u w:val="none"/>
                    </w:rPr>
                    <w:t>物名称</w:t>
                  </w:r>
                </w:p>
              </w:tc>
              <w:tc>
                <w:tcPr>
                  <w:tcW w:w="3744" w:type="dxa"/>
                  <w:gridSpan w:val="3"/>
                  <w:tcBorders>
                    <w:tl2br w:val="nil"/>
                    <w:tr2bl w:val="nil"/>
                  </w:tcBorders>
                  <w:vAlign w:val="center"/>
                </w:tcPr>
                <w:p w14:paraId="0EB0FC7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1"/>
                      <w:sz w:val="21"/>
                      <w:szCs w:val="21"/>
                      <w:u w:val="none"/>
                    </w:rPr>
                    <w:t>评价标准</w:t>
                  </w:r>
                </w:p>
              </w:tc>
              <w:tc>
                <w:tcPr>
                  <w:tcW w:w="2260" w:type="dxa"/>
                  <w:vMerge w:val="restart"/>
                  <w:tcBorders>
                    <w:tl2br w:val="nil"/>
                    <w:tr2bl w:val="nil"/>
                  </w:tcBorders>
                  <w:vAlign w:val="center"/>
                </w:tcPr>
                <w:p w14:paraId="41FD974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2"/>
                      <w:sz w:val="21"/>
                      <w:szCs w:val="21"/>
                      <w:u w:val="none"/>
                    </w:rPr>
                    <w:t>标准</w:t>
                  </w:r>
                  <w:r>
                    <w:rPr>
                      <w:rFonts w:hint="default" w:ascii="Times New Roman" w:hAnsi="Times New Roman" w:eastAsia="宋体" w:cs="Times New Roman"/>
                      <w:b w:val="0"/>
                      <w:bCs w:val="0"/>
                      <w:color w:val="auto"/>
                      <w:spacing w:val="-1"/>
                      <w:sz w:val="21"/>
                      <w:szCs w:val="21"/>
                      <w:u w:val="none"/>
                    </w:rPr>
                    <w:t>来源</w:t>
                  </w:r>
                </w:p>
              </w:tc>
            </w:tr>
            <w:tr w14:paraId="242D0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9" w:type="dxa"/>
                  <w:vMerge w:val="continue"/>
                  <w:tcBorders>
                    <w:tl2br w:val="nil"/>
                    <w:tr2bl w:val="nil"/>
                  </w:tcBorders>
                  <w:vAlign w:val="center"/>
                </w:tcPr>
                <w:p w14:paraId="47FD545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c>
                <w:tcPr>
                  <w:tcW w:w="1553" w:type="dxa"/>
                  <w:vMerge w:val="continue"/>
                  <w:tcBorders>
                    <w:tl2br w:val="nil"/>
                    <w:tr2bl w:val="nil"/>
                  </w:tcBorders>
                  <w:vAlign w:val="center"/>
                </w:tcPr>
                <w:p w14:paraId="34C24D7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c>
                <w:tcPr>
                  <w:tcW w:w="1271" w:type="dxa"/>
                  <w:tcBorders>
                    <w:tl2br w:val="nil"/>
                    <w:tr2bl w:val="nil"/>
                  </w:tcBorders>
                  <w:vAlign w:val="center"/>
                </w:tcPr>
                <w:p w14:paraId="7027321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2"/>
                      <w:sz w:val="21"/>
                      <w:szCs w:val="21"/>
                      <w:u w:val="none"/>
                    </w:rPr>
                    <w:t>年</w:t>
                  </w:r>
                  <w:r>
                    <w:rPr>
                      <w:rFonts w:hint="default" w:ascii="Times New Roman" w:hAnsi="Times New Roman" w:eastAsia="宋体" w:cs="Times New Roman"/>
                      <w:b w:val="0"/>
                      <w:bCs w:val="0"/>
                      <w:color w:val="auto"/>
                      <w:spacing w:val="-1"/>
                      <w:sz w:val="21"/>
                      <w:szCs w:val="21"/>
                      <w:u w:val="none"/>
                    </w:rPr>
                    <w:t>均值</w:t>
                  </w:r>
                </w:p>
              </w:tc>
              <w:tc>
                <w:tcPr>
                  <w:tcW w:w="1424" w:type="dxa"/>
                  <w:tcBorders>
                    <w:tl2br w:val="nil"/>
                    <w:tr2bl w:val="nil"/>
                  </w:tcBorders>
                  <w:vAlign w:val="center"/>
                </w:tcPr>
                <w:p w14:paraId="3AE56C2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10"/>
                      <w:sz w:val="21"/>
                      <w:szCs w:val="21"/>
                      <w:u w:val="none"/>
                    </w:rPr>
                    <w:t>日</w:t>
                  </w:r>
                  <w:r>
                    <w:rPr>
                      <w:rFonts w:hint="default" w:ascii="Times New Roman" w:hAnsi="Times New Roman" w:eastAsia="宋体" w:cs="Times New Roman"/>
                      <w:b w:val="0"/>
                      <w:bCs w:val="0"/>
                      <w:color w:val="auto"/>
                      <w:spacing w:val="-9"/>
                      <w:sz w:val="21"/>
                      <w:szCs w:val="21"/>
                      <w:u w:val="none"/>
                    </w:rPr>
                    <w:t>均值</w:t>
                  </w:r>
                </w:p>
              </w:tc>
              <w:tc>
                <w:tcPr>
                  <w:tcW w:w="1049" w:type="dxa"/>
                  <w:tcBorders>
                    <w:tl2br w:val="nil"/>
                    <w:tr2bl w:val="nil"/>
                  </w:tcBorders>
                  <w:vAlign w:val="center"/>
                </w:tcPr>
                <w:p w14:paraId="3FA66E5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3"/>
                      <w:sz w:val="21"/>
                      <w:szCs w:val="21"/>
                      <w:u w:val="none"/>
                    </w:rPr>
                    <w:t>小</w:t>
                  </w:r>
                  <w:r>
                    <w:rPr>
                      <w:rFonts w:hint="default" w:ascii="Times New Roman" w:hAnsi="Times New Roman" w:eastAsia="宋体" w:cs="Times New Roman"/>
                      <w:b w:val="0"/>
                      <w:bCs w:val="0"/>
                      <w:color w:val="auto"/>
                      <w:spacing w:val="-2"/>
                      <w:sz w:val="21"/>
                      <w:szCs w:val="21"/>
                      <w:u w:val="none"/>
                    </w:rPr>
                    <w:t>时值</w:t>
                  </w:r>
                </w:p>
              </w:tc>
              <w:tc>
                <w:tcPr>
                  <w:tcW w:w="2260" w:type="dxa"/>
                  <w:vMerge w:val="continue"/>
                  <w:tcBorders>
                    <w:tl2br w:val="nil"/>
                    <w:tr2bl w:val="nil"/>
                  </w:tcBorders>
                  <w:vAlign w:val="center"/>
                </w:tcPr>
                <w:p w14:paraId="5182463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73FB7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9" w:type="dxa"/>
                  <w:tcBorders>
                    <w:tl2br w:val="nil"/>
                    <w:tr2bl w:val="nil"/>
                  </w:tcBorders>
                  <w:vAlign w:val="center"/>
                </w:tcPr>
                <w:p w14:paraId="1D8A5F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1</w:t>
                  </w:r>
                </w:p>
              </w:tc>
              <w:tc>
                <w:tcPr>
                  <w:tcW w:w="1553" w:type="dxa"/>
                  <w:tcBorders>
                    <w:tl2br w:val="nil"/>
                    <w:tr2bl w:val="nil"/>
                  </w:tcBorders>
                  <w:shd w:val="clear" w:color="auto" w:fill="auto"/>
                  <w:vAlign w:val="center"/>
                </w:tcPr>
                <w:p w14:paraId="6BB586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2"/>
                      <w:sz w:val="21"/>
                      <w:szCs w:val="21"/>
                      <w:u w:val="none"/>
                    </w:rPr>
                    <w:t>SO</w:t>
                  </w:r>
                  <w:r>
                    <w:rPr>
                      <w:rFonts w:hint="default" w:ascii="Times New Roman" w:hAnsi="Times New Roman" w:eastAsia="Times New Roman" w:cs="Times New Roman"/>
                      <w:b w:val="0"/>
                      <w:bCs w:val="0"/>
                      <w:color w:val="auto"/>
                      <w:spacing w:val="-2"/>
                      <w:position w:val="-1"/>
                      <w:sz w:val="21"/>
                      <w:szCs w:val="21"/>
                      <w:u w:val="none"/>
                      <w:vertAlign w:val="subscript"/>
                    </w:rPr>
                    <w:t>2</w:t>
                  </w:r>
                </w:p>
              </w:tc>
              <w:tc>
                <w:tcPr>
                  <w:tcW w:w="1271" w:type="dxa"/>
                  <w:tcBorders>
                    <w:tl2br w:val="nil"/>
                    <w:tr2bl w:val="nil"/>
                  </w:tcBorders>
                  <w:shd w:val="clear" w:color="auto" w:fill="auto"/>
                  <w:vAlign w:val="center"/>
                </w:tcPr>
                <w:p w14:paraId="2A7EFE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2"/>
                      <w:sz w:val="21"/>
                      <w:szCs w:val="21"/>
                      <w:u w:val="none"/>
                    </w:rPr>
                    <w:t>60</w:t>
                  </w:r>
                </w:p>
              </w:tc>
              <w:tc>
                <w:tcPr>
                  <w:tcW w:w="1424" w:type="dxa"/>
                  <w:tcBorders>
                    <w:tl2br w:val="nil"/>
                    <w:tr2bl w:val="nil"/>
                  </w:tcBorders>
                  <w:shd w:val="clear" w:color="auto" w:fill="auto"/>
                  <w:vAlign w:val="center"/>
                </w:tcPr>
                <w:p w14:paraId="0B6333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6"/>
                      <w:sz w:val="21"/>
                      <w:szCs w:val="21"/>
                      <w:u w:val="none"/>
                    </w:rPr>
                    <w:t>1</w:t>
                  </w:r>
                  <w:r>
                    <w:rPr>
                      <w:rFonts w:hint="default" w:ascii="Times New Roman" w:hAnsi="Times New Roman" w:eastAsia="Times New Roman" w:cs="Times New Roman"/>
                      <w:b w:val="0"/>
                      <w:bCs w:val="0"/>
                      <w:color w:val="auto"/>
                      <w:spacing w:val="-5"/>
                      <w:sz w:val="21"/>
                      <w:szCs w:val="21"/>
                      <w:u w:val="none"/>
                    </w:rPr>
                    <w:t>50</w:t>
                  </w:r>
                </w:p>
              </w:tc>
              <w:tc>
                <w:tcPr>
                  <w:tcW w:w="1049" w:type="dxa"/>
                  <w:tcBorders>
                    <w:tl2br w:val="nil"/>
                    <w:tr2bl w:val="nil"/>
                  </w:tcBorders>
                  <w:shd w:val="clear" w:color="auto" w:fill="auto"/>
                  <w:vAlign w:val="center"/>
                </w:tcPr>
                <w:p w14:paraId="76139E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2"/>
                      <w:sz w:val="21"/>
                      <w:szCs w:val="21"/>
                      <w:u w:val="none"/>
                    </w:rPr>
                    <w:t>500</w:t>
                  </w:r>
                </w:p>
              </w:tc>
              <w:tc>
                <w:tcPr>
                  <w:tcW w:w="2260" w:type="dxa"/>
                  <w:vMerge w:val="restart"/>
                  <w:tcBorders>
                    <w:tl2br w:val="nil"/>
                    <w:tr2bl w:val="nil"/>
                  </w:tcBorders>
                  <w:vAlign w:val="center"/>
                </w:tcPr>
                <w:p w14:paraId="4286E0C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《环境空气质量标准》（GB3095-2026）中的</w:t>
                  </w:r>
                  <w:r>
                    <w:rPr>
                      <w:rFonts w:hint="eastAsia" w:ascii="Times New Roman" w:hAnsi="Times New Roman" w:cs="Times New Roman"/>
                      <w:b w:val="0"/>
                      <w:bCs w:val="0"/>
                      <w:color w:val="auto"/>
                      <w:sz w:val="21"/>
                      <w:szCs w:val="21"/>
                      <w:u w:val="none"/>
                      <w:lang w:val="en-US" w:eastAsia="zh-CN"/>
                    </w:rPr>
                    <w:t>过渡阶段</w:t>
                  </w:r>
                  <w:r>
                    <w:rPr>
                      <w:rFonts w:hint="default" w:ascii="Times New Roman" w:hAnsi="Times New Roman" w:cs="Times New Roman"/>
                      <w:b w:val="0"/>
                      <w:bCs w:val="0"/>
                      <w:color w:val="auto"/>
                      <w:sz w:val="21"/>
                      <w:szCs w:val="21"/>
                      <w:u w:val="none"/>
                    </w:rPr>
                    <w:t>二级标准</w:t>
                  </w:r>
                </w:p>
              </w:tc>
            </w:tr>
            <w:tr w14:paraId="05190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9" w:type="dxa"/>
                  <w:tcBorders>
                    <w:tl2br w:val="nil"/>
                    <w:tr2bl w:val="nil"/>
                  </w:tcBorders>
                  <w:vAlign w:val="center"/>
                </w:tcPr>
                <w:p w14:paraId="7EC80A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2</w:t>
                  </w:r>
                </w:p>
              </w:tc>
              <w:tc>
                <w:tcPr>
                  <w:tcW w:w="1553" w:type="dxa"/>
                  <w:tcBorders>
                    <w:tl2br w:val="nil"/>
                    <w:tr2bl w:val="nil"/>
                  </w:tcBorders>
                  <w:shd w:val="clear" w:color="auto" w:fill="auto"/>
                  <w:vAlign w:val="center"/>
                </w:tcPr>
                <w:p w14:paraId="0F7675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NO</w:t>
                  </w:r>
                  <w:r>
                    <w:rPr>
                      <w:rFonts w:hint="default" w:ascii="Times New Roman" w:hAnsi="Times New Roman" w:eastAsia="Times New Roman" w:cs="Times New Roman"/>
                      <w:b w:val="0"/>
                      <w:bCs w:val="0"/>
                      <w:color w:val="auto"/>
                      <w:spacing w:val="8"/>
                      <w:position w:val="-1"/>
                      <w:sz w:val="21"/>
                      <w:szCs w:val="21"/>
                      <w:u w:val="none"/>
                      <w:vertAlign w:val="subscript"/>
                    </w:rPr>
                    <w:t>2</w:t>
                  </w:r>
                </w:p>
              </w:tc>
              <w:tc>
                <w:tcPr>
                  <w:tcW w:w="1271" w:type="dxa"/>
                  <w:tcBorders>
                    <w:tl2br w:val="nil"/>
                    <w:tr2bl w:val="nil"/>
                  </w:tcBorders>
                  <w:shd w:val="clear" w:color="auto" w:fill="auto"/>
                  <w:vAlign w:val="center"/>
                </w:tcPr>
                <w:p w14:paraId="3ABDD7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1"/>
                      <w:sz w:val="21"/>
                      <w:szCs w:val="21"/>
                      <w:u w:val="none"/>
                    </w:rPr>
                    <w:t>40</w:t>
                  </w:r>
                </w:p>
              </w:tc>
              <w:tc>
                <w:tcPr>
                  <w:tcW w:w="1424" w:type="dxa"/>
                  <w:tcBorders>
                    <w:tl2br w:val="nil"/>
                    <w:tr2bl w:val="nil"/>
                  </w:tcBorders>
                  <w:shd w:val="clear" w:color="auto" w:fill="auto"/>
                  <w:vAlign w:val="center"/>
                </w:tcPr>
                <w:p w14:paraId="086BD3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3"/>
                      <w:sz w:val="21"/>
                      <w:szCs w:val="21"/>
                      <w:u w:val="none"/>
                    </w:rPr>
                    <w:t>80</w:t>
                  </w:r>
                </w:p>
              </w:tc>
              <w:tc>
                <w:tcPr>
                  <w:tcW w:w="1049" w:type="dxa"/>
                  <w:tcBorders>
                    <w:tl2br w:val="nil"/>
                    <w:tr2bl w:val="nil"/>
                  </w:tcBorders>
                  <w:shd w:val="clear" w:color="auto" w:fill="auto"/>
                  <w:vAlign w:val="center"/>
                </w:tcPr>
                <w:p w14:paraId="474D10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1"/>
                      <w:sz w:val="21"/>
                      <w:szCs w:val="21"/>
                      <w:u w:val="none"/>
                    </w:rPr>
                    <w:t>20</w:t>
                  </w:r>
                  <w:r>
                    <w:rPr>
                      <w:rFonts w:hint="default" w:ascii="Times New Roman" w:hAnsi="Times New Roman" w:eastAsia="Times New Roman" w:cs="Times New Roman"/>
                      <w:b w:val="0"/>
                      <w:bCs w:val="0"/>
                      <w:color w:val="auto"/>
                      <w:sz w:val="21"/>
                      <w:szCs w:val="21"/>
                      <w:u w:val="none"/>
                    </w:rPr>
                    <w:t>0</w:t>
                  </w:r>
                </w:p>
              </w:tc>
              <w:tc>
                <w:tcPr>
                  <w:tcW w:w="2260" w:type="dxa"/>
                  <w:vMerge w:val="continue"/>
                  <w:tcBorders>
                    <w:tl2br w:val="nil"/>
                    <w:tr2bl w:val="nil"/>
                  </w:tcBorders>
                  <w:vAlign w:val="center"/>
                </w:tcPr>
                <w:p w14:paraId="4C047AB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409D8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9" w:type="dxa"/>
                  <w:tcBorders>
                    <w:tl2br w:val="nil"/>
                    <w:tr2bl w:val="nil"/>
                  </w:tcBorders>
                  <w:vAlign w:val="center"/>
                </w:tcPr>
                <w:p w14:paraId="691E78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3</w:t>
                  </w:r>
                </w:p>
              </w:tc>
              <w:tc>
                <w:tcPr>
                  <w:tcW w:w="1553" w:type="dxa"/>
                  <w:tcBorders>
                    <w:tl2br w:val="nil"/>
                    <w:tr2bl w:val="nil"/>
                  </w:tcBorders>
                  <w:shd w:val="clear" w:color="auto" w:fill="auto"/>
                  <w:vAlign w:val="center"/>
                </w:tcPr>
                <w:p w14:paraId="4E941D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PM</w:t>
                  </w:r>
                  <w:r>
                    <w:rPr>
                      <w:rFonts w:hint="default" w:ascii="Times New Roman" w:hAnsi="Times New Roman" w:eastAsia="Times New Roman" w:cs="Times New Roman"/>
                      <w:b w:val="0"/>
                      <w:bCs w:val="0"/>
                      <w:color w:val="auto"/>
                      <w:spacing w:val="5"/>
                      <w:position w:val="-1"/>
                      <w:sz w:val="21"/>
                      <w:szCs w:val="21"/>
                      <w:u w:val="none"/>
                      <w:vertAlign w:val="subscript"/>
                    </w:rPr>
                    <w:t>10</w:t>
                  </w:r>
                </w:p>
              </w:tc>
              <w:tc>
                <w:tcPr>
                  <w:tcW w:w="1271" w:type="dxa"/>
                  <w:tcBorders>
                    <w:tl2br w:val="nil"/>
                    <w:tr2bl w:val="nil"/>
                  </w:tcBorders>
                  <w:shd w:val="clear" w:color="auto" w:fill="auto"/>
                  <w:vAlign w:val="center"/>
                </w:tcPr>
                <w:p w14:paraId="784F4C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pacing w:val="-2"/>
                      <w:sz w:val="21"/>
                      <w:szCs w:val="21"/>
                      <w:u w:val="none"/>
                      <w:lang w:val="en-US" w:eastAsia="zh-CN"/>
                    </w:rPr>
                    <w:t>6</w:t>
                  </w:r>
                  <w:r>
                    <w:rPr>
                      <w:rFonts w:hint="default" w:ascii="Times New Roman" w:hAnsi="Times New Roman" w:eastAsia="Times New Roman" w:cs="Times New Roman"/>
                      <w:b w:val="0"/>
                      <w:bCs w:val="0"/>
                      <w:color w:val="auto"/>
                      <w:spacing w:val="-2"/>
                      <w:sz w:val="21"/>
                      <w:szCs w:val="21"/>
                      <w:u w:val="none"/>
                    </w:rPr>
                    <w:t>0</w:t>
                  </w:r>
                </w:p>
              </w:tc>
              <w:tc>
                <w:tcPr>
                  <w:tcW w:w="1424" w:type="dxa"/>
                  <w:tcBorders>
                    <w:tl2br w:val="nil"/>
                    <w:tr2bl w:val="nil"/>
                  </w:tcBorders>
                  <w:shd w:val="clear" w:color="auto" w:fill="auto"/>
                  <w:vAlign w:val="center"/>
                </w:tcPr>
                <w:p w14:paraId="7F8DCA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6"/>
                      <w:sz w:val="21"/>
                      <w:szCs w:val="21"/>
                      <w:u w:val="none"/>
                    </w:rPr>
                    <w:t>1</w:t>
                  </w:r>
                  <w:r>
                    <w:rPr>
                      <w:rFonts w:hint="eastAsia" w:ascii="Times New Roman" w:hAnsi="Times New Roman" w:eastAsia="宋体" w:cs="Times New Roman"/>
                      <w:b w:val="0"/>
                      <w:bCs w:val="0"/>
                      <w:color w:val="auto"/>
                      <w:spacing w:val="-5"/>
                      <w:sz w:val="21"/>
                      <w:szCs w:val="21"/>
                      <w:u w:val="none"/>
                      <w:lang w:val="en-US" w:eastAsia="zh-CN"/>
                    </w:rPr>
                    <w:t>2</w:t>
                  </w:r>
                  <w:r>
                    <w:rPr>
                      <w:rFonts w:hint="default" w:ascii="Times New Roman" w:hAnsi="Times New Roman" w:eastAsia="Times New Roman" w:cs="Times New Roman"/>
                      <w:b w:val="0"/>
                      <w:bCs w:val="0"/>
                      <w:color w:val="auto"/>
                      <w:spacing w:val="-5"/>
                      <w:sz w:val="21"/>
                      <w:szCs w:val="21"/>
                      <w:u w:val="none"/>
                    </w:rPr>
                    <w:t>0</w:t>
                  </w:r>
                </w:p>
              </w:tc>
              <w:tc>
                <w:tcPr>
                  <w:tcW w:w="1049" w:type="dxa"/>
                  <w:tcBorders>
                    <w:tl2br w:val="nil"/>
                    <w:tr2bl w:val="nil"/>
                  </w:tcBorders>
                  <w:shd w:val="clear" w:color="auto" w:fill="auto"/>
                  <w:vAlign w:val="center"/>
                </w:tcPr>
                <w:p w14:paraId="2B478E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w:t>
                  </w:r>
                </w:p>
              </w:tc>
              <w:tc>
                <w:tcPr>
                  <w:tcW w:w="2260" w:type="dxa"/>
                  <w:vMerge w:val="continue"/>
                  <w:tcBorders>
                    <w:tl2br w:val="nil"/>
                    <w:tr2bl w:val="nil"/>
                  </w:tcBorders>
                  <w:vAlign w:val="center"/>
                </w:tcPr>
                <w:p w14:paraId="105BA66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53A73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9" w:type="dxa"/>
                  <w:tcBorders>
                    <w:tl2br w:val="nil"/>
                    <w:tr2bl w:val="nil"/>
                  </w:tcBorders>
                  <w:vAlign w:val="center"/>
                </w:tcPr>
                <w:p w14:paraId="58F964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4</w:t>
                  </w:r>
                </w:p>
              </w:tc>
              <w:tc>
                <w:tcPr>
                  <w:tcW w:w="1553" w:type="dxa"/>
                  <w:tcBorders>
                    <w:tl2br w:val="nil"/>
                    <w:tr2bl w:val="nil"/>
                  </w:tcBorders>
                  <w:shd w:val="clear" w:color="auto" w:fill="auto"/>
                  <w:vAlign w:val="center"/>
                </w:tcPr>
                <w:p w14:paraId="266982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PM</w:t>
                  </w:r>
                  <w:r>
                    <w:rPr>
                      <w:rFonts w:hint="default" w:ascii="Times New Roman" w:hAnsi="Times New Roman" w:eastAsia="Times New Roman" w:cs="Times New Roman"/>
                      <w:b w:val="0"/>
                      <w:bCs w:val="0"/>
                      <w:color w:val="auto"/>
                      <w:spacing w:val="4"/>
                      <w:position w:val="-1"/>
                      <w:sz w:val="21"/>
                      <w:szCs w:val="21"/>
                      <w:u w:val="none"/>
                      <w:vertAlign w:val="subscript"/>
                    </w:rPr>
                    <w:t>2</w:t>
                  </w:r>
                  <w:r>
                    <w:rPr>
                      <w:rFonts w:hint="default" w:ascii="Times New Roman" w:hAnsi="Times New Roman" w:eastAsia="Times New Roman" w:cs="Times New Roman"/>
                      <w:b w:val="0"/>
                      <w:bCs w:val="0"/>
                      <w:color w:val="auto"/>
                      <w:spacing w:val="3"/>
                      <w:position w:val="-1"/>
                      <w:sz w:val="21"/>
                      <w:szCs w:val="21"/>
                      <w:u w:val="none"/>
                      <w:vertAlign w:val="subscript"/>
                    </w:rPr>
                    <w:t>.5</w:t>
                  </w:r>
                </w:p>
              </w:tc>
              <w:tc>
                <w:tcPr>
                  <w:tcW w:w="1271" w:type="dxa"/>
                  <w:tcBorders>
                    <w:tl2br w:val="nil"/>
                    <w:tr2bl w:val="nil"/>
                  </w:tcBorders>
                  <w:shd w:val="clear" w:color="auto" w:fill="auto"/>
                  <w:vAlign w:val="center"/>
                </w:tcPr>
                <w:p w14:paraId="52085E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2"/>
                      <w:sz w:val="21"/>
                      <w:szCs w:val="21"/>
                      <w:u w:val="none"/>
                    </w:rPr>
                    <w:t>3</w:t>
                  </w:r>
                  <w:r>
                    <w:rPr>
                      <w:rFonts w:hint="eastAsia" w:ascii="Times New Roman" w:hAnsi="Times New Roman" w:eastAsia="宋体" w:cs="Times New Roman"/>
                      <w:b w:val="0"/>
                      <w:bCs w:val="0"/>
                      <w:color w:val="auto"/>
                      <w:spacing w:val="-2"/>
                      <w:sz w:val="21"/>
                      <w:szCs w:val="21"/>
                      <w:u w:val="none"/>
                      <w:lang w:val="en-US" w:eastAsia="zh-CN"/>
                    </w:rPr>
                    <w:t>0</w:t>
                  </w:r>
                </w:p>
              </w:tc>
              <w:tc>
                <w:tcPr>
                  <w:tcW w:w="1424" w:type="dxa"/>
                  <w:tcBorders>
                    <w:tl2br w:val="nil"/>
                    <w:tr2bl w:val="nil"/>
                  </w:tcBorders>
                  <w:shd w:val="clear" w:color="auto" w:fill="auto"/>
                  <w:vAlign w:val="center"/>
                </w:tcPr>
                <w:p w14:paraId="0D28D8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pacing w:val="-2"/>
                      <w:sz w:val="21"/>
                      <w:szCs w:val="21"/>
                      <w:u w:val="none"/>
                      <w:lang w:val="en-US" w:eastAsia="zh-CN"/>
                    </w:rPr>
                    <w:t>60</w:t>
                  </w:r>
                </w:p>
              </w:tc>
              <w:tc>
                <w:tcPr>
                  <w:tcW w:w="1049" w:type="dxa"/>
                  <w:tcBorders>
                    <w:tl2br w:val="nil"/>
                    <w:tr2bl w:val="nil"/>
                  </w:tcBorders>
                  <w:shd w:val="clear" w:color="auto" w:fill="auto"/>
                  <w:vAlign w:val="center"/>
                </w:tcPr>
                <w:p w14:paraId="42919C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w:t>
                  </w:r>
                </w:p>
              </w:tc>
              <w:tc>
                <w:tcPr>
                  <w:tcW w:w="2260" w:type="dxa"/>
                  <w:vMerge w:val="continue"/>
                  <w:tcBorders>
                    <w:tl2br w:val="nil"/>
                    <w:tr2bl w:val="nil"/>
                  </w:tcBorders>
                  <w:vAlign w:val="center"/>
                </w:tcPr>
                <w:p w14:paraId="3EE0F54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7A713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9" w:type="dxa"/>
                  <w:tcBorders>
                    <w:tl2br w:val="nil"/>
                    <w:tr2bl w:val="nil"/>
                  </w:tcBorders>
                  <w:vAlign w:val="center"/>
                </w:tcPr>
                <w:p w14:paraId="7C67FC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5</w:t>
                  </w:r>
                </w:p>
              </w:tc>
              <w:tc>
                <w:tcPr>
                  <w:tcW w:w="1553" w:type="dxa"/>
                  <w:tcBorders>
                    <w:tl2br w:val="nil"/>
                    <w:tr2bl w:val="nil"/>
                  </w:tcBorders>
                  <w:shd w:val="clear" w:color="auto" w:fill="auto"/>
                  <w:vAlign w:val="center"/>
                </w:tcPr>
                <w:p w14:paraId="37DCF7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2"/>
                      <w:sz w:val="21"/>
                      <w:szCs w:val="21"/>
                      <w:u w:val="none"/>
                    </w:rPr>
                    <w:t>C</w:t>
                  </w:r>
                  <w:r>
                    <w:rPr>
                      <w:rFonts w:hint="default" w:ascii="Times New Roman" w:hAnsi="Times New Roman" w:eastAsia="Times New Roman" w:cs="Times New Roman"/>
                      <w:b w:val="0"/>
                      <w:bCs w:val="0"/>
                      <w:color w:val="auto"/>
                      <w:spacing w:val="-1"/>
                      <w:sz w:val="21"/>
                      <w:szCs w:val="21"/>
                      <w:u w:val="none"/>
                    </w:rPr>
                    <w:t>O</w:t>
                  </w:r>
                </w:p>
              </w:tc>
              <w:tc>
                <w:tcPr>
                  <w:tcW w:w="1271" w:type="dxa"/>
                  <w:tcBorders>
                    <w:tl2br w:val="nil"/>
                    <w:tr2bl w:val="nil"/>
                  </w:tcBorders>
                  <w:shd w:val="clear" w:color="auto" w:fill="auto"/>
                  <w:vAlign w:val="center"/>
                </w:tcPr>
                <w:p w14:paraId="43093D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w:t>
                  </w:r>
                </w:p>
              </w:tc>
              <w:tc>
                <w:tcPr>
                  <w:tcW w:w="1424" w:type="dxa"/>
                  <w:tcBorders>
                    <w:tl2br w:val="nil"/>
                    <w:tr2bl w:val="nil"/>
                  </w:tcBorders>
                  <w:shd w:val="clear" w:color="auto" w:fill="auto"/>
                  <w:vAlign w:val="center"/>
                </w:tcPr>
                <w:p w14:paraId="7049CE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4</w:t>
                  </w:r>
                  <w:r>
                    <w:rPr>
                      <w:rFonts w:hint="eastAsia" w:ascii="Times New Roman" w:hAnsi="Times New Roman" w:eastAsia="宋体" w:cs="Times New Roman"/>
                      <w:b w:val="0"/>
                      <w:bCs w:val="0"/>
                      <w:color w:val="auto"/>
                      <w:sz w:val="21"/>
                      <w:szCs w:val="21"/>
                      <w:u w:val="none"/>
                      <w:lang w:val="en-US" w:eastAsia="zh-CN"/>
                    </w:rPr>
                    <w:t>000</w:t>
                  </w:r>
                </w:p>
              </w:tc>
              <w:tc>
                <w:tcPr>
                  <w:tcW w:w="1049" w:type="dxa"/>
                  <w:tcBorders>
                    <w:tl2br w:val="nil"/>
                    <w:tr2bl w:val="nil"/>
                  </w:tcBorders>
                  <w:shd w:val="clear" w:color="auto" w:fill="auto"/>
                  <w:vAlign w:val="center"/>
                </w:tcPr>
                <w:p w14:paraId="5F9D2F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6"/>
                      <w:sz w:val="21"/>
                      <w:szCs w:val="21"/>
                      <w:u w:val="none"/>
                    </w:rPr>
                    <w:t>10</w:t>
                  </w:r>
                  <w:r>
                    <w:rPr>
                      <w:rFonts w:hint="eastAsia" w:ascii="Times New Roman" w:hAnsi="Times New Roman" w:eastAsia="宋体" w:cs="Times New Roman"/>
                      <w:b w:val="0"/>
                      <w:bCs w:val="0"/>
                      <w:color w:val="auto"/>
                      <w:spacing w:val="-6"/>
                      <w:sz w:val="21"/>
                      <w:szCs w:val="21"/>
                      <w:u w:val="none"/>
                      <w:lang w:val="en-US" w:eastAsia="zh-CN"/>
                    </w:rPr>
                    <w:t>000</w:t>
                  </w:r>
                </w:p>
              </w:tc>
              <w:tc>
                <w:tcPr>
                  <w:tcW w:w="2260" w:type="dxa"/>
                  <w:vMerge w:val="continue"/>
                  <w:tcBorders>
                    <w:tl2br w:val="nil"/>
                    <w:tr2bl w:val="nil"/>
                  </w:tcBorders>
                  <w:vAlign w:val="center"/>
                </w:tcPr>
                <w:p w14:paraId="0401525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3161B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9" w:type="dxa"/>
                  <w:tcBorders>
                    <w:tl2br w:val="nil"/>
                    <w:tr2bl w:val="nil"/>
                  </w:tcBorders>
                  <w:vAlign w:val="center"/>
                </w:tcPr>
                <w:p w14:paraId="486919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6</w:t>
                  </w:r>
                </w:p>
              </w:tc>
              <w:tc>
                <w:tcPr>
                  <w:tcW w:w="1553" w:type="dxa"/>
                  <w:tcBorders>
                    <w:tl2br w:val="nil"/>
                    <w:tr2bl w:val="nil"/>
                  </w:tcBorders>
                  <w:shd w:val="clear" w:color="auto" w:fill="auto"/>
                  <w:vAlign w:val="center"/>
                </w:tcPr>
                <w:p w14:paraId="04CD18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O</w:t>
                  </w:r>
                  <w:r>
                    <w:rPr>
                      <w:rFonts w:hint="default" w:ascii="Times New Roman" w:hAnsi="Times New Roman" w:eastAsia="Times New Roman" w:cs="Times New Roman"/>
                      <w:b w:val="0"/>
                      <w:bCs w:val="0"/>
                      <w:color w:val="auto"/>
                      <w:spacing w:val="-1"/>
                      <w:position w:val="-1"/>
                      <w:sz w:val="21"/>
                      <w:szCs w:val="21"/>
                      <w:u w:val="none"/>
                      <w:vertAlign w:val="subscript"/>
                    </w:rPr>
                    <w:t>3</w:t>
                  </w:r>
                </w:p>
              </w:tc>
              <w:tc>
                <w:tcPr>
                  <w:tcW w:w="1271" w:type="dxa"/>
                  <w:tcBorders>
                    <w:tl2br w:val="nil"/>
                    <w:tr2bl w:val="nil"/>
                  </w:tcBorders>
                  <w:shd w:val="clear" w:color="auto" w:fill="auto"/>
                  <w:vAlign w:val="center"/>
                </w:tcPr>
                <w:p w14:paraId="7ADB69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w:t>
                  </w:r>
                </w:p>
              </w:tc>
              <w:tc>
                <w:tcPr>
                  <w:tcW w:w="1424" w:type="dxa"/>
                  <w:tcBorders>
                    <w:tl2br w:val="nil"/>
                    <w:tr2bl w:val="nil"/>
                  </w:tcBorders>
                  <w:shd w:val="clear" w:color="auto" w:fill="auto"/>
                  <w:vAlign w:val="center"/>
                </w:tcPr>
                <w:p w14:paraId="7199B7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3"/>
                      <w:sz w:val="21"/>
                      <w:szCs w:val="21"/>
                      <w:u w:val="none"/>
                    </w:rPr>
                    <w:t>1</w:t>
                  </w:r>
                  <w:r>
                    <w:rPr>
                      <w:rFonts w:hint="default" w:ascii="Times New Roman" w:hAnsi="Times New Roman" w:eastAsia="Times New Roman" w:cs="Times New Roman"/>
                      <w:b w:val="0"/>
                      <w:bCs w:val="0"/>
                      <w:color w:val="auto"/>
                      <w:spacing w:val="-2"/>
                      <w:sz w:val="21"/>
                      <w:szCs w:val="21"/>
                      <w:u w:val="none"/>
                    </w:rPr>
                    <w:t>60</w:t>
                  </w:r>
                  <w:r>
                    <w:rPr>
                      <w:rFonts w:hint="eastAsia" w:ascii="Times New Roman" w:hAnsi="Times New Roman" w:eastAsia="宋体" w:cs="Times New Roman"/>
                      <w:b w:val="0"/>
                      <w:bCs w:val="0"/>
                      <w:color w:val="auto"/>
                      <w:spacing w:val="-2"/>
                      <w:sz w:val="21"/>
                      <w:szCs w:val="21"/>
                      <w:u w:val="none"/>
                      <w:lang w:eastAsia="zh-CN"/>
                    </w:rPr>
                    <w:t>（</w:t>
                  </w:r>
                  <w:r>
                    <w:rPr>
                      <w:rFonts w:hint="default" w:ascii="Times New Roman" w:hAnsi="Times New Roman" w:eastAsia="Times New Roman" w:cs="Times New Roman"/>
                      <w:b w:val="0"/>
                      <w:bCs w:val="0"/>
                      <w:color w:val="auto"/>
                      <w:spacing w:val="-2"/>
                      <w:sz w:val="21"/>
                      <w:szCs w:val="21"/>
                      <w:u w:val="none"/>
                    </w:rPr>
                    <w:t>8h</w:t>
                  </w:r>
                  <w:r>
                    <w:rPr>
                      <w:rFonts w:hint="default" w:ascii="Times New Roman" w:hAnsi="Times New Roman" w:eastAsia="宋体" w:cs="Times New Roman"/>
                      <w:b w:val="0"/>
                      <w:bCs w:val="0"/>
                      <w:color w:val="auto"/>
                      <w:spacing w:val="-2"/>
                      <w:sz w:val="21"/>
                      <w:szCs w:val="21"/>
                      <w:u w:val="none"/>
                    </w:rPr>
                    <w:t>平均</w:t>
                  </w:r>
                  <w:r>
                    <w:rPr>
                      <w:rFonts w:hint="eastAsia" w:ascii="Times New Roman" w:hAnsi="Times New Roman" w:eastAsia="宋体" w:cs="Times New Roman"/>
                      <w:b w:val="0"/>
                      <w:bCs w:val="0"/>
                      <w:color w:val="auto"/>
                      <w:spacing w:val="-2"/>
                      <w:sz w:val="21"/>
                      <w:szCs w:val="21"/>
                      <w:u w:val="none"/>
                      <w:lang w:eastAsia="zh-CN"/>
                    </w:rPr>
                    <w:t>）</w:t>
                  </w:r>
                </w:p>
              </w:tc>
              <w:tc>
                <w:tcPr>
                  <w:tcW w:w="1049" w:type="dxa"/>
                  <w:tcBorders>
                    <w:tl2br w:val="nil"/>
                    <w:tr2bl w:val="nil"/>
                  </w:tcBorders>
                  <w:shd w:val="clear" w:color="auto" w:fill="auto"/>
                  <w:vAlign w:val="center"/>
                </w:tcPr>
                <w:p w14:paraId="1FDD71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1"/>
                      <w:sz w:val="21"/>
                      <w:szCs w:val="21"/>
                      <w:u w:val="none"/>
                    </w:rPr>
                    <w:t>20</w:t>
                  </w:r>
                  <w:r>
                    <w:rPr>
                      <w:rFonts w:hint="default" w:ascii="Times New Roman" w:hAnsi="Times New Roman" w:eastAsia="Times New Roman" w:cs="Times New Roman"/>
                      <w:b w:val="0"/>
                      <w:bCs w:val="0"/>
                      <w:color w:val="auto"/>
                      <w:sz w:val="21"/>
                      <w:szCs w:val="21"/>
                      <w:u w:val="none"/>
                    </w:rPr>
                    <w:t>0</w:t>
                  </w:r>
                </w:p>
              </w:tc>
              <w:tc>
                <w:tcPr>
                  <w:tcW w:w="2260" w:type="dxa"/>
                  <w:vMerge w:val="continue"/>
                  <w:tcBorders>
                    <w:tl2br w:val="nil"/>
                    <w:tr2bl w:val="nil"/>
                  </w:tcBorders>
                  <w:vAlign w:val="center"/>
                </w:tcPr>
                <w:p w14:paraId="600BF0E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4EDB4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9" w:type="dxa"/>
                  <w:tcBorders>
                    <w:tl2br w:val="nil"/>
                    <w:tr2bl w:val="nil"/>
                  </w:tcBorders>
                  <w:vAlign w:val="center"/>
                </w:tcPr>
                <w:p w14:paraId="065254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7</w:t>
                  </w:r>
                </w:p>
              </w:tc>
              <w:tc>
                <w:tcPr>
                  <w:tcW w:w="1553" w:type="dxa"/>
                  <w:tcBorders>
                    <w:tl2br w:val="nil"/>
                    <w:tr2bl w:val="nil"/>
                  </w:tcBorders>
                  <w:shd w:val="clear" w:color="auto" w:fill="auto"/>
                  <w:vAlign w:val="center"/>
                </w:tcPr>
                <w:p w14:paraId="402721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2"/>
                      <w:sz w:val="21"/>
                      <w:szCs w:val="21"/>
                      <w:u w:val="none"/>
                    </w:rPr>
                    <w:t>SO</w:t>
                  </w:r>
                  <w:r>
                    <w:rPr>
                      <w:rFonts w:hint="default" w:ascii="Times New Roman" w:hAnsi="Times New Roman" w:eastAsia="Times New Roman" w:cs="Times New Roman"/>
                      <w:b w:val="0"/>
                      <w:bCs w:val="0"/>
                      <w:color w:val="auto"/>
                      <w:spacing w:val="-2"/>
                      <w:position w:val="-1"/>
                      <w:sz w:val="21"/>
                      <w:szCs w:val="21"/>
                      <w:u w:val="none"/>
                      <w:vertAlign w:val="subscript"/>
                    </w:rPr>
                    <w:t>2</w:t>
                  </w:r>
                </w:p>
              </w:tc>
              <w:tc>
                <w:tcPr>
                  <w:tcW w:w="1271" w:type="dxa"/>
                  <w:tcBorders>
                    <w:tl2br w:val="nil"/>
                    <w:tr2bl w:val="nil"/>
                  </w:tcBorders>
                  <w:shd w:val="clear" w:color="auto" w:fill="auto"/>
                  <w:vAlign w:val="center"/>
                </w:tcPr>
                <w:p w14:paraId="30F015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pacing w:val="-2"/>
                      <w:sz w:val="21"/>
                      <w:szCs w:val="21"/>
                      <w:u w:val="none"/>
                      <w:lang w:val="en-US" w:eastAsia="zh-CN"/>
                    </w:rPr>
                    <w:t>2</w:t>
                  </w:r>
                  <w:r>
                    <w:rPr>
                      <w:rFonts w:hint="default" w:ascii="Times New Roman" w:hAnsi="Times New Roman" w:eastAsia="Times New Roman" w:cs="Times New Roman"/>
                      <w:b w:val="0"/>
                      <w:bCs w:val="0"/>
                      <w:color w:val="auto"/>
                      <w:spacing w:val="-2"/>
                      <w:sz w:val="21"/>
                      <w:szCs w:val="21"/>
                      <w:u w:val="none"/>
                    </w:rPr>
                    <w:t>0</w:t>
                  </w:r>
                </w:p>
              </w:tc>
              <w:tc>
                <w:tcPr>
                  <w:tcW w:w="1424" w:type="dxa"/>
                  <w:tcBorders>
                    <w:tl2br w:val="nil"/>
                    <w:tr2bl w:val="nil"/>
                  </w:tcBorders>
                  <w:shd w:val="clear" w:color="auto" w:fill="auto"/>
                  <w:vAlign w:val="center"/>
                </w:tcPr>
                <w:p w14:paraId="140D10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5"/>
                      <w:sz w:val="21"/>
                      <w:szCs w:val="21"/>
                      <w:u w:val="none"/>
                    </w:rPr>
                    <w:t>50</w:t>
                  </w:r>
                </w:p>
              </w:tc>
              <w:tc>
                <w:tcPr>
                  <w:tcW w:w="1049" w:type="dxa"/>
                  <w:tcBorders>
                    <w:tl2br w:val="nil"/>
                    <w:tr2bl w:val="nil"/>
                  </w:tcBorders>
                  <w:shd w:val="clear" w:color="auto" w:fill="auto"/>
                  <w:vAlign w:val="center"/>
                </w:tcPr>
                <w:p w14:paraId="51D12D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pacing w:val="-2"/>
                      <w:sz w:val="21"/>
                      <w:szCs w:val="21"/>
                      <w:u w:val="none"/>
                      <w:lang w:val="en-US" w:eastAsia="zh-CN"/>
                    </w:rPr>
                    <w:t>15</w:t>
                  </w:r>
                  <w:r>
                    <w:rPr>
                      <w:rFonts w:hint="default" w:ascii="Times New Roman" w:hAnsi="Times New Roman" w:eastAsia="Times New Roman" w:cs="Times New Roman"/>
                      <w:b w:val="0"/>
                      <w:bCs w:val="0"/>
                      <w:color w:val="auto"/>
                      <w:spacing w:val="-2"/>
                      <w:sz w:val="21"/>
                      <w:szCs w:val="21"/>
                      <w:u w:val="none"/>
                    </w:rPr>
                    <w:t>0</w:t>
                  </w:r>
                </w:p>
              </w:tc>
              <w:tc>
                <w:tcPr>
                  <w:tcW w:w="2260" w:type="dxa"/>
                  <w:vMerge w:val="restart"/>
                  <w:tcBorders>
                    <w:tl2br w:val="nil"/>
                    <w:tr2bl w:val="nil"/>
                  </w:tcBorders>
                  <w:vAlign w:val="center"/>
                </w:tcPr>
                <w:p w14:paraId="2E9F13C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《环境空气质量标准》（GB3095-2026）中的二级标准</w:t>
                  </w:r>
                </w:p>
              </w:tc>
            </w:tr>
            <w:tr w14:paraId="7EB48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9" w:type="dxa"/>
                  <w:tcBorders>
                    <w:tl2br w:val="nil"/>
                    <w:tr2bl w:val="nil"/>
                  </w:tcBorders>
                  <w:shd w:val="clear" w:color="auto" w:fill="auto"/>
                  <w:vAlign w:val="center"/>
                </w:tcPr>
                <w:p w14:paraId="75FF1E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rPr>
                    <w:t>8</w:t>
                  </w:r>
                </w:p>
              </w:tc>
              <w:tc>
                <w:tcPr>
                  <w:tcW w:w="1553" w:type="dxa"/>
                  <w:tcBorders>
                    <w:tl2br w:val="nil"/>
                    <w:tr2bl w:val="nil"/>
                  </w:tcBorders>
                  <w:shd w:val="clear" w:color="auto" w:fill="auto"/>
                  <w:vAlign w:val="center"/>
                </w:tcPr>
                <w:p w14:paraId="0A0F13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NO</w:t>
                  </w:r>
                  <w:r>
                    <w:rPr>
                      <w:rFonts w:hint="default" w:ascii="Times New Roman" w:hAnsi="Times New Roman" w:eastAsia="Times New Roman" w:cs="Times New Roman"/>
                      <w:b w:val="0"/>
                      <w:bCs w:val="0"/>
                      <w:color w:val="auto"/>
                      <w:spacing w:val="8"/>
                      <w:position w:val="-1"/>
                      <w:sz w:val="21"/>
                      <w:szCs w:val="21"/>
                      <w:u w:val="none"/>
                      <w:vertAlign w:val="subscript"/>
                    </w:rPr>
                    <w:t>2</w:t>
                  </w:r>
                </w:p>
              </w:tc>
              <w:tc>
                <w:tcPr>
                  <w:tcW w:w="1271" w:type="dxa"/>
                  <w:tcBorders>
                    <w:tl2br w:val="nil"/>
                    <w:tr2bl w:val="nil"/>
                  </w:tcBorders>
                  <w:shd w:val="clear" w:color="auto" w:fill="auto"/>
                  <w:vAlign w:val="center"/>
                </w:tcPr>
                <w:p w14:paraId="3340EE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pacing w:val="-1"/>
                      <w:sz w:val="21"/>
                      <w:szCs w:val="21"/>
                      <w:u w:val="none"/>
                      <w:lang w:val="en-US" w:eastAsia="zh-CN"/>
                    </w:rPr>
                    <w:t>3</w:t>
                  </w:r>
                  <w:r>
                    <w:rPr>
                      <w:rFonts w:hint="default" w:ascii="Times New Roman" w:hAnsi="Times New Roman" w:eastAsia="Times New Roman" w:cs="Times New Roman"/>
                      <w:b w:val="0"/>
                      <w:bCs w:val="0"/>
                      <w:color w:val="auto"/>
                      <w:spacing w:val="-1"/>
                      <w:sz w:val="21"/>
                      <w:szCs w:val="21"/>
                      <w:u w:val="none"/>
                    </w:rPr>
                    <w:t>0</w:t>
                  </w:r>
                </w:p>
              </w:tc>
              <w:tc>
                <w:tcPr>
                  <w:tcW w:w="1424" w:type="dxa"/>
                  <w:tcBorders>
                    <w:tl2br w:val="nil"/>
                    <w:tr2bl w:val="nil"/>
                  </w:tcBorders>
                  <w:shd w:val="clear" w:color="auto" w:fill="auto"/>
                  <w:vAlign w:val="center"/>
                </w:tcPr>
                <w:p w14:paraId="3074D7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pacing w:val="-3"/>
                      <w:sz w:val="21"/>
                      <w:szCs w:val="21"/>
                      <w:u w:val="none"/>
                      <w:lang w:val="en-US" w:eastAsia="zh-CN"/>
                    </w:rPr>
                    <w:t>5</w:t>
                  </w:r>
                  <w:r>
                    <w:rPr>
                      <w:rFonts w:hint="default" w:ascii="Times New Roman" w:hAnsi="Times New Roman" w:eastAsia="Times New Roman" w:cs="Times New Roman"/>
                      <w:b w:val="0"/>
                      <w:bCs w:val="0"/>
                      <w:color w:val="auto"/>
                      <w:spacing w:val="-3"/>
                      <w:sz w:val="21"/>
                      <w:szCs w:val="21"/>
                      <w:u w:val="none"/>
                    </w:rPr>
                    <w:t>0</w:t>
                  </w:r>
                </w:p>
              </w:tc>
              <w:tc>
                <w:tcPr>
                  <w:tcW w:w="1049" w:type="dxa"/>
                  <w:tcBorders>
                    <w:tl2br w:val="nil"/>
                    <w:tr2bl w:val="nil"/>
                  </w:tcBorders>
                  <w:shd w:val="clear" w:color="auto" w:fill="auto"/>
                  <w:vAlign w:val="center"/>
                </w:tcPr>
                <w:p w14:paraId="672976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pacing w:val="-1"/>
                      <w:sz w:val="21"/>
                      <w:szCs w:val="21"/>
                      <w:u w:val="none"/>
                      <w:lang w:val="en-US" w:eastAsia="zh-CN"/>
                    </w:rPr>
                    <w:t>20</w:t>
                  </w:r>
                  <w:r>
                    <w:rPr>
                      <w:rFonts w:hint="default" w:ascii="Times New Roman" w:hAnsi="Times New Roman" w:eastAsia="Times New Roman" w:cs="Times New Roman"/>
                      <w:b w:val="0"/>
                      <w:bCs w:val="0"/>
                      <w:color w:val="auto"/>
                      <w:sz w:val="21"/>
                      <w:szCs w:val="21"/>
                      <w:u w:val="none"/>
                    </w:rPr>
                    <w:t>0</w:t>
                  </w:r>
                </w:p>
              </w:tc>
              <w:tc>
                <w:tcPr>
                  <w:tcW w:w="2260" w:type="dxa"/>
                  <w:vMerge w:val="continue"/>
                  <w:tcBorders>
                    <w:tl2br w:val="nil"/>
                    <w:tr2bl w:val="nil"/>
                  </w:tcBorders>
                  <w:vAlign w:val="center"/>
                </w:tcPr>
                <w:p w14:paraId="72A1294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11709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779" w:type="dxa"/>
                  <w:tcBorders>
                    <w:tl2br w:val="nil"/>
                    <w:tr2bl w:val="nil"/>
                  </w:tcBorders>
                  <w:shd w:val="clear" w:color="auto" w:fill="auto"/>
                  <w:vAlign w:val="center"/>
                </w:tcPr>
                <w:p w14:paraId="1B7D7A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rPr>
                    <w:t>9</w:t>
                  </w:r>
                </w:p>
              </w:tc>
              <w:tc>
                <w:tcPr>
                  <w:tcW w:w="1553" w:type="dxa"/>
                  <w:tcBorders>
                    <w:tl2br w:val="nil"/>
                    <w:tr2bl w:val="nil"/>
                  </w:tcBorders>
                  <w:shd w:val="clear" w:color="auto" w:fill="auto"/>
                  <w:vAlign w:val="center"/>
                </w:tcPr>
                <w:p w14:paraId="22534F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PM</w:t>
                  </w:r>
                  <w:r>
                    <w:rPr>
                      <w:rFonts w:hint="default" w:ascii="Times New Roman" w:hAnsi="Times New Roman" w:eastAsia="Times New Roman" w:cs="Times New Roman"/>
                      <w:b w:val="0"/>
                      <w:bCs w:val="0"/>
                      <w:color w:val="auto"/>
                      <w:spacing w:val="5"/>
                      <w:position w:val="-1"/>
                      <w:sz w:val="21"/>
                      <w:szCs w:val="21"/>
                      <w:u w:val="none"/>
                      <w:vertAlign w:val="subscript"/>
                    </w:rPr>
                    <w:t>10</w:t>
                  </w:r>
                </w:p>
              </w:tc>
              <w:tc>
                <w:tcPr>
                  <w:tcW w:w="1271" w:type="dxa"/>
                  <w:tcBorders>
                    <w:tl2br w:val="nil"/>
                    <w:tr2bl w:val="nil"/>
                  </w:tcBorders>
                  <w:shd w:val="clear" w:color="auto" w:fill="auto"/>
                  <w:vAlign w:val="center"/>
                </w:tcPr>
                <w:p w14:paraId="53E1F9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pacing w:val="-2"/>
                      <w:sz w:val="21"/>
                      <w:szCs w:val="21"/>
                      <w:u w:val="none"/>
                      <w:lang w:val="en-US" w:eastAsia="zh-CN"/>
                    </w:rPr>
                    <w:t>5</w:t>
                  </w:r>
                  <w:r>
                    <w:rPr>
                      <w:rFonts w:hint="default" w:ascii="Times New Roman" w:hAnsi="Times New Roman" w:eastAsia="Times New Roman" w:cs="Times New Roman"/>
                      <w:b w:val="0"/>
                      <w:bCs w:val="0"/>
                      <w:color w:val="auto"/>
                      <w:spacing w:val="-2"/>
                      <w:sz w:val="21"/>
                      <w:szCs w:val="21"/>
                      <w:u w:val="none"/>
                    </w:rPr>
                    <w:t>0</w:t>
                  </w:r>
                </w:p>
              </w:tc>
              <w:tc>
                <w:tcPr>
                  <w:tcW w:w="1424" w:type="dxa"/>
                  <w:tcBorders>
                    <w:tl2br w:val="nil"/>
                    <w:tr2bl w:val="nil"/>
                  </w:tcBorders>
                  <w:shd w:val="clear" w:color="auto" w:fill="auto"/>
                  <w:vAlign w:val="center"/>
                </w:tcPr>
                <w:p w14:paraId="769797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6"/>
                      <w:sz w:val="21"/>
                      <w:szCs w:val="21"/>
                      <w:u w:val="none"/>
                    </w:rPr>
                    <w:t>1</w:t>
                  </w:r>
                  <w:r>
                    <w:rPr>
                      <w:rFonts w:hint="eastAsia" w:ascii="Times New Roman" w:hAnsi="Times New Roman" w:eastAsia="宋体" w:cs="Times New Roman"/>
                      <w:b w:val="0"/>
                      <w:bCs w:val="0"/>
                      <w:color w:val="auto"/>
                      <w:spacing w:val="-5"/>
                      <w:sz w:val="21"/>
                      <w:szCs w:val="21"/>
                      <w:u w:val="none"/>
                      <w:lang w:val="en-US" w:eastAsia="zh-CN"/>
                    </w:rPr>
                    <w:t>0</w:t>
                  </w:r>
                  <w:r>
                    <w:rPr>
                      <w:rFonts w:hint="default" w:ascii="Times New Roman" w:hAnsi="Times New Roman" w:eastAsia="Times New Roman" w:cs="Times New Roman"/>
                      <w:b w:val="0"/>
                      <w:bCs w:val="0"/>
                      <w:color w:val="auto"/>
                      <w:spacing w:val="-5"/>
                      <w:sz w:val="21"/>
                      <w:szCs w:val="21"/>
                      <w:u w:val="none"/>
                    </w:rPr>
                    <w:t>0</w:t>
                  </w:r>
                </w:p>
              </w:tc>
              <w:tc>
                <w:tcPr>
                  <w:tcW w:w="1049" w:type="dxa"/>
                  <w:tcBorders>
                    <w:tl2br w:val="nil"/>
                    <w:tr2bl w:val="nil"/>
                  </w:tcBorders>
                  <w:shd w:val="clear" w:color="auto" w:fill="auto"/>
                  <w:vAlign w:val="center"/>
                </w:tcPr>
                <w:p w14:paraId="7600F8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w:t>
                  </w:r>
                </w:p>
              </w:tc>
              <w:tc>
                <w:tcPr>
                  <w:tcW w:w="2260" w:type="dxa"/>
                  <w:vMerge w:val="continue"/>
                  <w:tcBorders>
                    <w:tl2br w:val="nil"/>
                    <w:tr2bl w:val="nil"/>
                  </w:tcBorders>
                  <w:vAlign w:val="center"/>
                </w:tcPr>
                <w:p w14:paraId="5060453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2E663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779" w:type="dxa"/>
                  <w:tcBorders>
                    <w:tl2br w:val="nil"/>
                    <w:tr2bl w:val="nil"/>
                  </w:tcBorders>
                  <w:shd w:val="clear" w:color="auto" w:fill="auto"/>
                  <w:vAlign w:val="center"/>
                </w:tcPr>
                <w:p w14:paraId="79649E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rPr>
                    <w:t>10</w:t>
                  </w:r>
                </w:p>
              </w:tc>
              <w:tc>
                <w:tcPr>
                  <w:tcW w:w="1553" w:type="dxa"/>
                  <w:tcBorders>
                    <w:tl2br w:val="nil"/>
                    <w:tr2bl w:val="nil"/>
                  </w:tcBorders>
                  <w:shd w:val="clear" w:color="auto" w:fill="auto"/>
                  <w:vAlign w:val="center"/>
                </w:tcPr>
                <w:p w14:paraId="0F7D9C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PM</w:t>
                  </w:r>
                  <w:r>
                    <w:rPr>
                      <w:rFonts w:hint="default" w:ascii="Times New Roman" w:hAnsi="Times New Roman" w:eastAsia="Times New Roman" w:cs="Times New Roman"/>
                      <w:b w:val="0"/>
                      <w:bCs w:val="0"/>
                      <w:color w:val="auto"/>
                      <w:spacing w:val="4"/>
                      <w:position w:val="-1"/>
                      <w:sz w:val="21"/>
                      <w:szCs w:val="21"/>
                      <w:u w:val="none"/>
                      <w:vertAlign w:val="subscript"/>
                    </w:rPr>
                    <w:t>2</w:t>
                  </w:r>
                  <w:r>
                    <w:rPr>
                      <w:rFonts w:hint="default" w:ascii="Times New Roman" w:hAnsi="Times New Roman" w:eastAsia="Times New Roman" w:cs="Times New Roman"/>
                      <w:b w:val="0"/>
                      <w:bCs w:val="0"/>
                      <w:color w:val="auto"/>
                      <w:spacing w:val="3"/>
                      <w:position w:val="-1"/>
                      <w:sz w:val="21"/>
                      <w:szCs w:val="21"/>
                      <w:u w:val="none"/>
                      <w:vertAlign w:val="subscript"/>
                    </w:rPr>
                    <w:t>.5</w:t>
                  </w:r>
                </w:p>
              </w:tc>
              <w:tc>
                <w:tcPr>
                  <w:tcW w:w="1271" w:type="dxa"/>
                  <w:tcBorders>
                    <w:tl2br w:val="nil"/>
                    <w:tr2bl w:val="nil"/>
                  </w:tcBorders>
                  <w:shd w:val="clear" w:color="auto" w:fill="auto"/>
                  <w:vAlign w:val="center"/>
                </w:tcPr>
                <w:p w14:paraId="1A4A95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pacing w:val="-2"/>
                      <w:sz w:val="21"/>
                      <w:szCs w:val="21"/>
                      <w:u w:val="none"/>
                      <w:lang w:val="en-US" w:eastAsia="zh-CN"/>
                    </w:rPr>
                    <w:t>2</w:t>
                  </w:r>
                  <w:r>
                    <w:rPr>
                      <w:rFonts w:hint="default" w:ascii="Times New Roman" w:hAnsi="Times New Roman" w:eastAsia="Times New Roman" w:cs="Times New Roman"/>
                      <w:b w:val="0"/>
                      <w:bCs w:val="0"/>
                      <w:color w:val="auto"/>
                      <w:spacing w:val="-2"/>
                      <w:sz w:val="21"/>
                      <w:szCs w:val="21"/>
                      <w:u w:val="none"/>
                    </w:rPr>
                    <w:t>5</w:t>
                  </w:r>
                </w:p>
              </w:tc>
              <w:tc>
                <w:tcPr>
                  <w:tcW w:w="1424" w:type="dxa"/>
                  <w:tcBorders>
                    <w:tl2br w:val="nil"/>
                    <w:tr2bl w:val="nil"/>
                  </w:tcBorders>
                  <w:shd w:val="clear" w:color="auto" w:fill="auto"/>
                  <w:vAlign w:val="center"/>
                </w:tcPr>
                <w:p w14:paraId="3277EE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pacing w:val="-2"/>
                      <w:sz w:val="21"/>
                      <w:szCs w:val="21"/>
                      <w:u w:val="none"/>
                      <w:lang w:val="en-US" w:eastAsia="zh-CN"/>
                    </w:rPr>
                    <w:t>50</w:t>
                  </w:r>
                </w:p>
              </w:tc>
              <w:tc>
                <w:tcPr>
                  <w:tcW w:w="1049" w:type="dxa"/>
                  <w:tcBorders>
                    <w:tl2br w:val="nil"/>
                    <w:tr2bl w:val="nil"/>
                  </w:tcBorders>
                  <w:shd w:val="clear" w:color="auto" w:fill="auto"/>
                  <w:vAlign w:val="center"/>
                </w:tcPr>
                <w:p w14:paraId="749D68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w:t>
                  </w:r>
                </w:p>
              </w:tc>
              <w:tc>
                <w:tcPr>
                  <w:tcW w:w="2260" w:type="dxa"/>
                  <w:vMerge w:val="continue"/>
                  <w:tcBorders>
                    <w:tl2br w:val="nil"/>
                    <w:tr2bl w:val="nil"/>
                  </w:tcBorders>
                  <w:vAlign w:val="center"/>
                </w:tcPr>
                <w:p w14:paraId="34DB867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294D3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779" w:type="dxa"/>
                  <w:tcBorders>
                    <w:tl2br w:val="nil"/>
                    <w:tr2bl w:val="nil"/>
                  </w:tcBorders>
                  <w:shd w:val="clear" w:color="auto" w:fill="auto"/>
                  <w:vAlign w:val="center"/>
                </w:tcPr>
                <w:p w14:paraId="0364BC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rPr>
                    <w:t>11</w:t>
                  </w:r>
                </w:p>
              </w:tc>
              <w:tc>
                <w:tcPr>
                  <w:tcW w:w="1553" w:type="dxa"/>
                  <w:tcBorders>
                    <w:tl2br w:val="nil"/>
                    <w:tr2bl w:val="nil"/>
                  </w:tcBorders>
                  <w:shd w:val="clear" w:color="auto" w:fill="auto"/>
                  <w:vAlign w:val="center"/>
                </w:tcPr>
                <w:p w14:paraId="0BF6E8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2"/>
                      <w:sz w:val="21"/>
                      <w:szCs w:val="21"/>
                      <w:u w:val="none"/>
                    </w:rPr>
                    <w:t>C</w:t>
                  </w:r>
                  <w:r>
                    <w:rPr>
                      <w:rFonts w:hint="default" w:ascii="Times New Roman" w:hAnsi="Times New Roman" w:eastAsia="Times New Roman" w:cs="Times New Roman"/>
                      <w:b w:val="0"/>
                      <w:bCs w:val="0"/>
                      <w:color w:val="auto"/>
                      <w:spacing w:val="-1"/>
                      <w:sz w:val="21"/>
                      <w:szCs w:val="21"/>
                      <w:u w:val="none"/>
                    </w:rPr>
                    <w:t>O</w:t>
                  </w:r>
                </w:p>
              </w:tc>
              <w:tc>
                <w:tcPr>
                  <w:tcW w:w="1271" w:type="dxa"/>
                  <w:tcBorders>
                    <w:tl2br w:val="nil"/>
                    <w:tr2bl w:val="nil"/>
                  </w:tcBorders>
                  <w:shd w:val="clear" w:color="auto" w:fill="auto"/>
                  <w:vAlign w:val="center"/>
                </w:tcPr>
                <w:p w14:paraId="56A1BF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w:t>
                  </w:r>
                </w:p>
              </w:tc>
              <w:tc>
                <w:tcPr>
                  <w:tcW w:w="1424" w:type="dxa"/>
                  <w:tcBorders>
                    <w:tl2br w:val="nil"/>
                    <w:tr2bl w:val="nil"/>
                  </w:tcBorders>
                  <w:shd w:val="clear" w:color="auto" w:fill="auto"/>
                  <w:vAlign w:val="center"/>
                </w:tcPr>
                <w:p w14:paraId="054773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4</w:t>
                  </w:r>
                  <w:r>
                    <w:rPr>
                      <w:rFonts w:hint="eastAsia" w:ascii="Times New Roman" w:hAnsi="Times New Roman" w:eastAsia="宋体" w:cs="Times New Roman"/>
                      <w:b w:val="0"/>
                      <w:bCs w:val="0"/>
                      <w:color w:val="auto"/>
                      <w:sz w:val="21"/>
                      <w:szCs w:val="21"/>
                      <w:u w:val="none"/>
                      <w:lang w:val="en-US" w:eastAsia="zh-CN"/>
                    </w:rPr>
                    <w:t>000</w:t>
                  </w:r>
                </w:p>
              </w:tc>
              <w:tc>
                <w:tcPr>
                  <w:tcW w:w="1049" w:type="dxa"/>
                  <w:tcBorders>
                    <w:tl2br w:val="nil"/>
                    <w:tr2bl w:val="nil"/>
                  </w:tcBorders>
                  <w:shd w:val="clear" w:color="auto" w:fill="auto"/>
                  <w:vAlign w:val="center"/>
                </w:tcPr>
                <w:p w14:paraId="5EA848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6"/>
                      <w:sz w:val="21"/>
                      <w:szCs w:val="21"/>
                      <w:u w:val="none"/>
                    </w:rPr>
                    <w:t>10</w:t>
                  </w:r>
                  <w:r>
                    <w:rPr>
                      <w:rFonts w:hint="eastAsia" w:ascii="Times New Roman" w:hAnsi="Times New Roman" w:eastAsia="宋体" w:cs="Times New Roman"/>
                      <w:b w:val="0"/>
                      <w:bCs w:val="0"/>
                      <w:color w:val="auto"/>
                      <w:spacing w:val="-6"/>
                      <w:sz w:val="21"/>
                      <w:szCs w:val="21"/>
                      <w:u w:val="none"/>
                      <w:lang w:val="en-US" w:eastAsia="zh-CN"/>
                    </w:rPr>
                    <w:t>000</w:t>
                  </w:r>
                </w:p>
              </w:tc>
              <w:tc>
                <w:tcPr>
                  <w:tcW w:w="2260" w:type="dxa"/>
                  <w:vMerge w:val="continue"/>
                  <w:tcBorders>
                    <w:tl2br w:val="nil"/>
                    <w:tr2bl w:val="nil"/>
                  </w:tcBorders>
                  <w:vAlign w:val="center"/>
                </w:tcPr>
                <w:p w14:paraId="1F91AC9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20804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9" w:type="dxa"/>
                  <w:tcBorders>
                    <w:tl2br w:val="nil"/>
                    <w:tr2bl w:val="nil"/>
                  </w:tcBorders>
                  <w:shd w:val="clear" w:color="auto" w:fill="auto"/>
                  <w:vAlign w:val="center"/>
                </w:tcPr>
                <w:p w14:paraId="0C7406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rPr>
                    <w:t>12</w:t>
                  </w:r>
                </w:p>
              </w:tc>
              <w:tc>
                <w:tcPr>
                  <w:tcW w:w="1553" w:type="dxa"/>
                  <w:tcBorders>
                    <w:tl2br w:val="nil"/>
                    <w:tr2bl w:val="nil"/>
                  </w:tcBorders>
                  <w:shd w:val="clear" w:color="auto" w:fill="auto"/>
                  <w:vAlign w:val="center"/>
                </w:tcPr>
                <w:p w14:paraId="3621A8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O</w:t>
                  </w:r>
                  <w:r>
                    <w:rPr>
                      <w:rFonts w:hint="default" w:ascii="Times New Roman" w:hAnsi="Times New Roman" w:eastAsia="Times New Roman" w:cs="Times New Roman"/>
                      <w:b w:val="0"/>
                      <w:bCs w:val="0"/>
                      <w:color w:val="auto"/>
                      <w:spacing w:val="-1"/>
                      <w:position w:val="-1"/>
                      <w:sz w:val="21"/>
                      <w:szCs w:val="21"/>
                      <w:u w:val="none"/>
                      <w:vertAlign w:val="subscript"/>
                    </w:rPr>
                    <w:t>3</w:t>
                  </w:r>
                </w:p>
              </w:tc>
              <w:tc>
                <w:tcPr>
                  <w:tcW w:w="1271" w:type="dxa"/>
                  <w:tcBorders>
                    <w:tl2br w:val="nil"/>
                    <w:tr2bl w:val="nil"/>
                  </w:tcBorders>
                  <w:shd w:val="clear" w:color="auto" w:fill="auto"/>
                  <w:vAlign w:val="center"/>
                </w:tcPr>
                <w:p w14:paraId="7F559D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z w:val="21"/>
                      <w:szCs w:val="21"/>
                      <w:u w:val="none"/>
                    </w:rPr>
                    <w:t>/</w:t>
                  </w:r>
                </w:p>
              </w:tc>
              <w:tc>
                <w:tcPr>
                  <w:tcW w:w="1424" w:type="dxa"/>
                  <w:tcBorders>
                    <w:tl2br w:val="nil"/>
                    <w:tr2bl w:val="nil"/>
                  </w:tcBorders>
                  <w:shd w:val="clear" w:color="auto" w:fill="auto"/>
                  <w:vAlign w:val="center"/>
                </w:tcPr>
                <w:p w14:paraId="29BD7E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3"/>
                      <w:sz w:val="21"/>
                      <w:szCs w:val="21"/>
                      <w:u w:val="none"/>
                    </w:rPr>
                    <w:t>1</w:t>
                  </w:r>
                  <w:r>
                    <w:rPr>
                      <w:rFonts w:hint="default" w:ascii="Times New Roman" w:hAnsi="Times New Roman" w:eastAsia="Times New Roman" w:cs="Times New Roman"/>
                      <w:b w:val="0"/>
                      <w:bCs w:val="0"/>
                      <w:color w:val="auto"/>
                      <w:spacing w:val="-2"/>
                      <w:sz w:val="21"/>
                      <w:szCs w:val="21"/>
                      <w:u w:val="none"/>
                    </w:rPr>
                    <w:t>60</w:t>
                  </w:r>
                  <w:r>
                    <w:rPr>
                      <w:rFonts w:hint="eastAsia" w:ascii="Times New Roman" w:hAnsi="Times New Roman" w:eastAsia="宋体" w:cs="Times New Roman"/>
                      <w:b w:val="0"/>
                      <w:bCs w:val="0"/>
                      <w:color w:val="auto"/>
                      <w:spacing w:val="-2"/>
                      <w:sz w:val="21"/>
                      <w:szCs w:val="21"/>
                      <w:u w:val="none"/>
                      <w:lang w:eastAsia="zh-CN"/>
                    </w:rPr>
                    <w:t>（</w:t>
                  </w:r>
                  <w:r>
                    <w:rPr>
                      <w:rFonts w:hint="default" w:ascii="Times New Roman" w:hAnsi="Times New Roman" w:eastAsia="Times New Roman" w:cs="Times New Roman"/>
                      <w:b w:val="0"/>
                      <w:bCs w:val="0"/>
                      <w:color w:val="auto"/>
                      <w:spacing w:val="-2"/>
                      <w:sz w:val="21"/>
                      <w:szCs w:val="21"/>
                      <w:u w:val="none"/>
                    </w:rPr>
                    <w:t>8h</w:t>
                  </w:r>
                  <w:r>
                    <w:rPr>
                      <w:rFonts w:hint="default" w:ascii="Times New Roman" w:hAnsi="Times New Roman" w:eastAsia="宋体" w:cs="Times New Roman"/>
                      <w:b w:val="0"/>
                      <w:bCs w:val="0"/>
                      <w:color w:val="auto"/>
                      <w:spacing w:val="-2"/>
                      <w:sz w:val="21"/>
                      <w:szCs w:val="21"/>
                      <w:u w:val="none"/>
                    </w:rPr>
                    <w:t>平均</w:t>
                  </w:r>
                  <w:r>
                    <w:rPr>
                      <w:rFonts w:hint="eastAsia" w:ascii="Times New Roman" w:hAnsi="Times New Roman" w:eastAsia="宋体" w:cs="Times New Roman"/>
                      <w:b w:val="0"/>
                      <w:bCs w:val="0"/>
                      <w:color w:val="auto"/>
                      <w:spacing w:val="-2"/>
                      <w:sz w:val="21"/>
                      <w:szCs w:val="21"/>
                      <w:u w:val="none"/>
                      <w:lang w:eastAsia="zh-CN"/>
                    </w:rPr>
                    <w:t>）</w:t>
                  </w:r>
                </w:p>
              </w:tc>
              <w:tc>
                <w:tcPr>
                  <w:tcW w:w="1049" w:type="dxa"/>
                  <w:tcBorders>
                    <w:tl2br w:val="nil"/>
                    <w:tr2bl w:val="nil"/>
                  </w:tcBorders>
                  <w:shd w:val="clear" w:color="auto" w:fill="auto"/>
                  <w:vAlign w:val="center"/>
                </w:tcPr>
                <w:p w14:paraId="29BAB7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Times New Roman" w:cs="Times New Roman"/>
                      <w:b w:val="0"/>
                      <w:bCs w:val="0"/>
                      <w:color w:val="auto"/>
                      <w:kern w:val="2"/>
                      <w:sz w:val="21"/>
                      <w:szCs w:val="21"/>
                      <w:u w:val="none"/>
                      <w:lang w:val="en-US" w:eastAsia="zh-CN" w:bidi="ar-SA"/>
                    </w:rPr>
                  </w:pPr>
                  <w:r>
                    <w:rPr>
                      <w:rFonts w:hint="default" w:ascii="Times New Roman" w:hAnsi="Times New Roman" w:eastAsia="Times New Roman" w:cs="Times New Roman"/>
                      <w:b w:val="0"/>
                      <w:bCs w:val="0"/>
                      <w:color w:val="auto"/>
                      <w:spacing w:val="-1"/>
                      <w:sz w:val="21"/>
                      <w:szCs w:val="21"/>
                      <w:u w:val="none"/>
                    </w:rPr>
                    <w:t>20</w:t>
                  </w:r>
                  <w:r>
                    <w:rPr>
                      <w:rFonts w:hint="default" w:ascii="Times New Roman" w:hAnsi="Times New Roman" w:eastAsia="Times New Roman" w:cs="Times New Roman"/>
                      <w:b w:val="0"/>
                      <w:bCs w:val="0"/>
                      <w:color w:val="auto"/>
                      <w:sz w:val="21"/>
                      <w:szCs w:val="21"/>
                      <w:u w:val="none"/>
                    </w:rPr>
                    <w:t>0</w:t>
                  </w:r>
                </w:p>
              </w:tc>
              <w:tc>
                <w:tcPr>
                  <w:tcW w:w="2260" w:type="dxa"/>
                  <w:vMerge w:val="continue"/>
                  <w:tcBorders>
                    <w:tl2br w:val="nil"/>
                    <w:tr2bl w:val="nil"/>
                  </w:tcBorders>
                  <w:vAlign w:val="center"/>
                </w:tcPr>
                <w:p w14:paraId="3978FB2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r w14:paraId="30055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9" w:type="dxa"/>
                  <w:tcBorders>
                    <w:tl2br w:val="nil"/>
                    <w:tr2bl w:val="nil"/>
                  </w:tcBorders>
                  <w:shd w:val="clear" w:color="auto" w:fill="auto"/>
                  <w:vAlign w:val="center"/>
                </w:tcPr>
                <w:p w14:paraId="20E652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rPr>
                    <w:t>13</w:t>
                  </w:r>
                </w:p>
              </w:tc>
              <w:tc>
                <w:tcPr>
                  <w:tcW w:w="1553" w:type="dxa"/>
                  <w:tcBorders>
                    <w:tl2br w:val="nil"/>
                    <w:tr2bl w:val="nil"/>
                  </w:tcBorders>
                  <w:shd w:val="clear" w:color="auto" w:fill="auto"/>
                  <w:vAlign w:val="center"/>
                </w:tcPr>
                <w:p w14:paraId="1AF80D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rPr>
                    <w:t>TSP</w:t>
                  </w:r>
                </w:p>
              </w:tc>
              <w:tc>
                <w:tcPr>
                  <w:tcW w:w="1271" w:type="dxa"/>
                  <w:tcBorders>
                    <w:tl2br w:val="nil"/>
                    <w:tr2bl w:val="nil"/>
                  </w:tcBorders>
                  <w:shd w:val="clear" w:color="auto" w:fill="auto"/>
                  <w:vAlign w:val="center"/>
                </w:tcPr>
                <w:p w14:paraId="56C6C4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lang w:val="en-US" w:eastAsia="zh-CN"/>
                    </w:rPr>
                    <w:t>200</w:t>
                  </w:r>
                </w:p>
              </w:tc>
              <w:tc>
                <w:tcPr>
                  <w:tcW w:w="1424" w:type="dxa"/>
                  <w:tcBorders>
                    <w:tl2br w:val="nil"/>
                    <w:tr2bl w:val="nil"/>
                  </w:tcBorders>
                  <w:shd w:val="clear" w:color="auto" w:fill="auto"/>
                  <w:vAlign w:val="center"/>
                </w:tcPr>
                <w:p w14:paraId="74EE7C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spacing w:val="-3"/>
                      <w:kern w:val="2"/>
                      <w:sz w:val="21"/>
                      <w:szCs w:val="21"/>
                      <w:u w:val="none"/>
                      <w:lang w:val="en-US" w:eastAsia="zh-CN" w:bidi="ar-SA"/>
                    </w:rPr>
                  </w:pPr>
                  <w:r>
                    <w:rPr>
                      <w:rFonts w:hint="eastAsia" w:ascii="Times New Roman" w:hAnsi="Times New Roman" w:eastAsia="宋体" w:cs="Times New Roman"/>
                      <w:b w:val="0"/>
                      <w:bCs w:val="0"/>
                      <w:color w:val="auto"/>
                      <w:spacing w:val="-3"/>
                      <w:sz w:val="21"/>
                      <w:szCs w:val="21"/>
                      <w:u w:val="none"/>
                      <w:lang w:val="en-US" w:eastAsia="zh-CN"/>
                    </w:rPr>
                    <w:t>300</w:t>
                  </w:r>
                </w:p>
              </w:tc>
              <w:tc>
                <w:tcPr>
                  <w:tcW w:w="1049" w:type="dxa"/>
                  <w:tcBorders>
                    <w:tl2br w:val="nil"/>
                    <w:tr2bl w:val="nil"/>
                  </w:tcBorders>
                  <w:shd w:val="clear" w:color="auto" w:fill="auto"/>
                  <w:vAlign w:val="center"/>
                </w:tcPr>
                <w:p w14:paraId="518024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spacing w:val="-1"/>
                      <w:kern w:val="2"/>
                      <w:sz w:val="21"/>
                      <w:szCs w:val="21"/>
                      <w:u w:val="none"/>
                      <w:lang w:val="en-US" w:eastAsia="zh-CN" w:bidi="ar-SA"/>
                    </w:rPr>
                  </w:pPr>
                  <w:r>
                    <w:rPr>
                      <w:rFonts w:hint="eastAsia" w:ascii="Times New Roman" w:hAnsi="Times New Roman" w:eastAsia="宋体" w:cs="Times New Roman"/>
                      <w:b w:val="0"/>
                      <w:bCs w:val="0"/>
                      <w:color w:val="auto"/>
                      <w:spacing w:val="-1"/>
                      <w:sz w:val="21"/>
                      <w:szCs w:val="21"/>
                      <w:u w:val="none"/>
                      <w:lang w:val="en-US" w:eastAsia="zh-CN"/>
                    </w:rPr>
                    <w:t>/</w:t>
                  </w:r>
                </w:p>
              </w:tc>
              <w:tc>
                <w:tcPr>
                  <w:tcW w:w="2260" w:type="dxa"/>
                  <w:vMerge w:val="continue"/>
                  <w:tcBorders>
                    <w:tl2br w:val="nil"/>
                    <w:tr2bl w:val="nil"/>
                  </w:tcBorders>
                  <w:vAlign w:val="center"/>
                </w:tcPr>
                <w:p w14:paraId="69F8121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rPr>
                      <w:rFonts w:hint="default" w:ascii="Times New Roman" w:hAnsi="Times New Roman" w:cs="Times New Roman"/>
                      <w:b w:val="0"/>
                      <w:bCs w:val="0"/>
                      <w:color w:val="auto"/>
                      <w:sz w:val="21"/>
                      <w:szCs w:val="21"/>
                      <w:u w:val="none"/>
                    </w:rPr>
                  </w:pPr>
                </w:p>
              </w:tc>
            </w:tr>
          </w:tbl>
          <w:p w14:paraId="5BAB50B9">
            <w:pPr>
              <w:adjustRightInd w:val="0"/>
              <w:snapToGrid w:val="0"/>
              <w:spacing w:line="480" w:lineRule="exact"/>
              <w:ind w:firstLine="482" w:firstLineChars="200"/>
              <w:jc w:val="left"/>
              <w:rPr>
                <w:b/>
                <w:color w:val="000000"/>
                <w:sz w:val="24"/>
              </w:rPr>
            </w:pPr>
            <w:r>
              <w:rPr>
                <w:rFonts w:hint="eastAsia"/>
                <w:b/>
                <w:color w:val="000000"/>
                <w:sz w:val="24"/>
              </w:rPr>
              <w:t>（2）地表水环境</w:t>
            </w:r>
          </w:p>
          <w:p w14:paraId="4A34B0FE">
            <w:pPr>
              <w:adjustRightInd w:val="0"/>
              <w:snapToGrid w:val="0"/>
              <w:spacing w:line="480" w:lineRule="exact"/>
              <w:ind w:firstLine="480" w:firstLineChars="200"/>
              <w:rPr>
                <w:bCs/>
                <w:color w:val="000000"/>
                <w:sz w:val="24"/>
              </w:rPr>
            </w:pPr>
            <w:r>
              <w:rPr>
                <w:rFonts w:hint="eastAsia"/>
                <w:color w:val="000000"/>
                <w:sz w:val="24"/>
              </w:rPr>
              <w:t>本项目区域地表水执行</w:t>
            </w:r>
            <w:r>
              <w:rPr>
                <w:rFonts w:hint="eastAsia"/>
                <w:bCs/>
                <w:color w:val="000000"/>
                <w:sz w:val="24"/>
              </w:rPr>
              <w:t>《地表水环境质量标准》（</w:t>
            </w:r>
            <w:r>
              <w:rPr>
                <w:bCs/>
                <w:color w:val="000000"/>
                <w:sz w:val="24"/>
              </w:rPr>
              <w:t>GB3838-2002</w:t>
            </w:r>
            <w:r>
              <w:rPr>
                <w:rFonts w:hint="eastAsia"/>
                <w:bCs/>
                <w:color w:val="000000"/>
                <w:sz w:val="24"/>
              </w:rPr>
              <w:t>）中III类水质标准。</w:t>
            </w:r>
          </w:p>
          <w:p w14:paraId="46822111">
            <w:pPr>
              <w:adjustRightInd w:val="0"/>
              <w:snapToGrid w:val="0"/>
              <w:spacing w:line="480" w:lineRule="exact"/>
              <w:ind w:firstLine="316" w:firstLineChars="150"/>
              <w:jc w:val="center"/>
              <w:rPr>
                <w:rFonts w:hAnsi="宋体"/>
                <w:b/>
                <w:color w:val="000000"/>
                <w:szCs w:val="21"/>
              </w:rPr>
            </w:pPr>
            <w:r>
              <w:rPr>
                <w:rFonts w:hint="eastAsia" w:hAnsi="宋体"/>
                <w:b/>
                <w:color w:val="000000"/>
                <w:szCs w:val="21"/>
              </w:rPr>
              <w:t>表3-</w:t>
            </w:r>
            <w:r>
              <w:rPr>
                <w:rFonts w:hint="eastAsia" w:hAnsi="宋体"/>
                <w:b/>
                <w:color w:val="000000"/>
                <w:szCs w:val="21"/>
                <w:lang w:val="en-US" w:eastAsia="zh-CN"/>
              </w:rPr>
              <w:t>10</w:t>
            </w:r>
            <w:r>
              <w:rPr>
                <w:rFonts w:hAnsi="宋体"/>
                <w:b/>
                <w:color w:val="000000"/>
                <w:szCs w:val="21"/>
              </w:rPr>
              <w:t xml:space="preserve">  </w:t>
            </w:r>
            <w:r>
              <w:rPr>
                <w:rFonts w:hint="eastAsia" w:hAnsi="宋体"/>
                <w:b/>
                <w:color w:val="000000"/>
                <w:szCs w:val="21"/>
              </w:rPr>
              <w:t>地表水环境质量标准   单位：</w:t>
            </w:r>
            <w:r>
              <w:rPr>
                <w:rFonts w:hAnsi="宋体"/>
                <w:b/>
                <w:color w:val="000000"/>
                <w:szCs w:val="21"/>
              </w:rPr>
              <w:t>pH</w:t>
            </w:r>
            <w:r>
              <w:rPr>
                <w:rFonts w:hint="eastAsia" w:hAnsi="宋体"/>
                <w:b/>
                <w:color w:val="000000"/>
                <w:szCs w:val="21"/>
              </w:rPr>
              <w:t>无量纲，粪大肠菌群个</w:t>
            </w:r>
            <w:r>
              <w:rPr>
                <w:rFonts w:hAnsi="宋体"/>
                <w:b/>
                <w:color w:val="000000"/>
                <w:szCs w:val="21"/>
              </w:rPr>
              <w:t>/L</w:t>
            </w:r>
            <w:r>
              <w:rPr>
                <w:rFonts w:hint="eastAsia" w:hAnsi="宋体"/>
                <w:b/>
                <w:color w:val="000000"/>
                <w:szCs w:val="21"/>
              </w:rPr>
              <w:t>，其它</w:t>
            </w:r>
            <w:r>
              <w:rPr>
                <w:rFonts w:hAnsi="宋体"/>
                <w:b/>
                <w:color w:val="000000"/>
                <w:szCs w:val="21"/>
              </w:rPr>
              <w:t>mg/L</w:t>
            </w:r>
          </w:p>
          <w:tbl>
            <w:tblPr>
              <w:tblStyle w:val="45"/>
              <w:tblW w:w="5000" w:type="pct"/>
              <w:jc w:val="center"/>
              <w:tblBorders>
                <w:top w:val="single" w:color="000000" w:sz="4" w:space="0"/>
                <w:left w:val="single" w:color="000000" w:sz="4" w:space="0"/>
                <w:bottom w:val="single" w:color="000000" w:sz="4" w:space="0"/>
                <w:right w:val="single" w:color="000000" w:sz="4" w:space="0"/>
                <w:insideH w:val="single" w:color="auto" w:sz="6" w:space="0"/>
                <w:insideV w:val="single" w:color="auto" w:sz="6" w:space="0"/>
              </w:tblBorders>
              <w:tblLayout w:type="autofit"/>
              <w:tblCellMar>
                <w:top w:w="0" w:type="dxa"/>
                <w:left w:w="108" w:type="dxa"/>
                <w:bottom w:w="0" w:type="dxa"/>
                <w:right w:w="108" w:type="dxa"/>
              </w:tblCellMar>
            </w:tblPr>
            <w:tblGrid>
              <w:gridCol w:w="1749"/>
              <w:gridCol w:w="689"/>
              <w:gridCol w:w="842"/>
              <w:gridCol w:w="933"/>
              <w:gridCol w:w="1035"/>
              <w:gridCol w:w="1081"/>
              <w:gridCol w:w="1618"/>
              <w:gridCol w:w="575"/>
            </w:tblGrid>
            <w:tr w14:paraId="42E64691">
              <w:tblPrEx>
                <w:tblBorders>
                  <w:top w:val="single" w:color="000000" w:sz="4" w:space="0"/>
                  <w:left w:val="single" w:color="000000" w:sz="4" w:space="0"/>
                  <w:bottom w:val="single" w:color="000000" w:sz="4" w:space="0"/>
                  <w:right w:val="single" w:color="000000" w:sz="4" w:space="0"/>
                  <w:insideH w:val="single" w:color="auto" w:sz="6" w:space="0"/>
                  <w:insideV w:val="single" w:color="auto" w:sz="6" w:space="0"/>
                </w:tblBorders>
                <w:tblCellMar>
                  <w:top w:w="0" w:type="dxa"/>
                  <w:left w:w="108" w:type="dxa"/>
                  <w:bottom w:w="0" w:type="dxa"/>
                  <w:right w:w="108" w:type="dxa"/>
                </w:tblCellMar>
              </w:tblPrEx>
              <w:trPr>
                <w:jc w:val="center"/>
              </w:trPr>
              <w:tc>
                <w:tcPr>
                  <w:tcW w:w="1026" w:type="pct"/>
                  <w:tcBorders>
                    <w:bottom w:val="single" w:color="auto" w:sz="6" w:space="0"/>
                    <w:right w:val="single" w:color="auto" w:sz="6" w:space="0"/>
                  </w:tcBorders>
                  <w:vAlign w:val="center"/>
                </w:tcPr>
                <w:p w14:paraId="04E3A0B6">
                  <w:pPr>
                    <w:adjustRightInd w:val="0"/>
                    <w:snapToGrid w:val="0"/>
                    <w:spacing w:line="320" w:lineRule="exact"/>
                    <w:jc w:val="center"/>
                    <w:rPr>
                      <w:color w:val="000000"/>
                      <w:sz w:val="21"/>
                      <w:szCs w:val="21"/>
                    </w:rPr>
                  </w:pPr>
                  <w:r>
                    <w:rPr>
                      <w:rFonts w:hint="eastAsia"/>
                      <w:color w:val="000000"/>
                      <w:sz w:val="21"/>
                      <w:szCs w:val="21"/>
                    </w:rPr>
                    <w:t>项目</w:t>
                  </w:r>
                </w:p>
              </w:tc>
              <w:tc>
                <w:tcPr>
                  <w:tcW w:w="404" w:type="pct"/>
                  <w:tcBorders>
                    <w:left w:val="single" w:color="auto" w:sz="6" w:space="0"/>
                    <w:bottom w:val="single" w:color="auto" w:sz="6" w:space="0"/>
                    <w:right w:val="single" w:color="auto" w:sz="6" w:space="0"/>
                  </w:tcBorders>
                  <w:vAlign w:val="center"/>
                </w:tcPr>
                <w:p w14:paraId="47FD9506">
                  <w:pPr>
                    <w:adjustRightInd w:val="0"/>
                    <w:snapToGrid w:val="0"/>
                    <w:spacing w:line="320" w:lineRule="exact"/>
                    <w:jc w:val="center"/>
                    <w:rPr>
                      <w:color w:val="000000"/>
                      <w:sz w:val="21"/>
                      <w:szCs w:val="21"/>
                    </w:rPr>
                  </w:pPr>
                  <w:r>
                    <w:rPr>
                      <w:color w:val="000000"/>
                      <w:sz w:val="21"/>
                      <w:szCs w:val="21"/>
                    </w:rPr>
                    <w:t>pH</w:t>
                  </w:r>
                </w:p>
              </w:tc>
              <w:tc>
                <w:tcPr>
                  <w:tcW w:w="494" w:type="pct"/>
                  <w:tcBorders>
                    <w:left w:val="single" w:color="auto" w:sz="6" w:space="0"/>
                    <w:bottom w:val="single" w:color="auto" w:sz="6" w:space="0"/>
                    <w:right w:val="single" w:color="auto" w:sz="6" w:space="0"/>
                  </w:tcBorders>
                  <w:vAlign w:val="center"/>
                </w:tcPr>
                <w:p w14:paraId="2B32EC7B">
                  <w:pPr>
                    <w:adjustRightInd w:val="0"/>
                    <w:snapToGrid w:val="0"/>
                    <w:spacing w:line="320" w:lineRule="exact"/>
                    <w:jc w:val="center"/>
                    <w:rPr>
                      <w:color w:val="000000"/>
                      <w:sz w:val="21"/>
                      <w:szCs w:val="21"/>
                    </w:rPr>
                  </w:pPr>
                  <w:r>
                    <w:rPr>
                      <w:color w:val="000000"/>
                      <w:sz w:val="21"/>
                      <w:szCs w:val="21"/>
                    </w:rPr>
                    <w:t>COD</w:t>
                  </w:r>
                </w:p>
              </w:tc>
              <w:tc>
                <w:tcPr>
                  <w:tcW w:w="547" w:type="pct"/>
                  <w:tcBorders>
                    <w:left w:val="single" w:color="auto" w:sz="6" w:space="0"/>
                    <w:bottom w:val="single" w:color="auto" w:sz="6" w:space="0"/>
                    <w:right w:val="single" w:color="auto" w:sz="6" w:space="0"/>
                  </w:tcBorders>
                  <w:vAlign w:val="center"/>
                </w:tcPr>
                <w:p w14:paraId="62CA4715">
                  <w:pPr>
                    <w:adjustRightInd w:val="0"/>
                    <w:snapToGrid w:val="0"/>
                    <w:spacing w:line="320" w:lineRule="exact"/>
                    <w:jc w:val="center"/>
                    <w:rPr>
                      <w:color w:val="000000"/>
                      <w:sz w:val="21"/>
                      <w:szCs w:val="21"/>
                    </w:rPr>
                  </w:pPr>
                  <w:r>
                    <w:rPr>
                      <w:rFonts w:hAnsi="宋体"/>
                      <w:color w:val="000000"/>
                      <w:sz w:val="21"/>
                      <w:szCs w:val="21"/>
                    </w:rPr>
                    <w:t>BOD</w:t>
                  </w:r>
                  <w:r>
                    <w:rPr>
                      <w:rFonts w:hAnsi="宋体"/>
                      <w:color w:val="000000"/>
                      <w:sz w:val="21"/>
                      <w:szCs w:val="21"/>
                      <w:vertAlign w:val="subscript"/>
                    </w:rPr>
                    <w:t>5</w:t>
                  </w:r>
                </w:p>
              </w:tc>
              <w:tc>
                <w:tcPr>
                  <w:tcW w:w="607" w:type="pct"/>
                  <w:tcBorders>
                    <w:left w:val="single" w:color="auto" w:sz="6" w:space="0"/>
                    <w:bottom w:val="single" w:color="auto" w:sz="6" w:space="0"/>
                    <w:right w:val="single" w:color="auto" w:sz="6" w:space="0"/>
                  </w:tcBorders>
                  <w:vAlign w:val="center"/>
                </w:tcPr>
                <w:p w14:paraId="6C44C61C">
                  <w:pPr>
                    <w:adjustRightInd w:val="0"/>
                    <w:snapToGrid w:val="0"/>
                    <w:spacing w:line="320" w:lineRule="exact"/>
                    <w:jc w:val="center"/>
                    <w:rPr>
                      <w:color w:val="000000"/>
                      <w:sz w:val="21"/>
                      <w:szCs w:val="21"/>
                    </w:rPr>
                  </w:pPr>
                  <w:r>
                    <w:rPr>
                      <w:color w:val="000000"/>
                      <w:sz w:val="21"/>
                      <w:szCs w:val="21"/>
                    </w:rPr>
                    <w:t>NH</w:t>
                  </w:r>
                  <w:r>
                    <w:rPr>
                      <w:color w:val="000000"/>
                      <w:sz w:val="21"/>
                      <w:szCs w:val="21"/>
                      <w:vertAlign w:val="subscript"/>
                    </w:rPr>
                    <w:t>3</w:t>
                  </w:r>
                  <w:r>
                    <w:rPr>
                      <w:color w:val="000000"/>
                      <w:sz w:val="21"/>
                      <w:szCs w:val="21"/>
                    </w:rPr>
                    <w:t>-N</w:t>
                  </w:r>
                </w:p>
              </w:tc>
              <w:tc>
                <w:tcPr>
                  <w:tcW w:w="634" w:type="pct"/>
                  <w:tcBorders>
                    <w:left w:val="single" w:color="auto" w:sz="6" w:space="0"/>
                    <w:bottom w:val="single" w:color="auto" w:sz="6" w:space="0"/>
                    <w:right w:val="single" w:color="auto" w:sz="6" w:space="0"/>
                  </w:tcBorders>
                  <w:vAlign w:val="center"/>
                </w:tcPr>
                <w:p w14:paraId="40EBE7EB">
                  <w:pPr>
                    <w:adjustRightInd w:val="0"/>
                    <w:snapToGrid w:val="0"/>
                    <w:spacing w:line="320" w:lineRule="exact"/>
                    <w:jc w:val="center"/>
                    <w:rPr>
                      <w:rFonts w:hAnsi="宋体"/>
                      <w:color w:val="000000"/>
                      <w:sz w:val="21"/>
                      <w:szCs w:val="21"/>
                    </w:rPr>
                  </w:pPr>
                  <w:r>
                    <w:rPr>
                      <w:rFonts w:hint="eastAsia" w:hAnsi="宋体"/>
                      <w:color w:val="000000"/>
                      <w:sz w:val="21"/>
                      <w:szCs w:val="21"/>
                    </w:rPr>
                    <w:t>石油类</w:t>
                  </w:r>
                </w:p>
              </w:tc>
              <w:tc>
                <w:tcPr>
                  <w:tcW w:w="949" w:type="pct"/>
                  <w:tcBorders>
                    <w:left w:val="single" w:color="auto" w:sz="6" w:space="0"/>
                    <w:bottom w:val="single" w:color="auto" w:sz="6" w:space="0"/>
                    <w:right w:val="single" w:color="auto" w:sz="6" w:space="0"/>
                  </w:tcBorders>
                  <w:vAlign w:val="center"/>
                </w:tcPr>
                <w:p w14:paraId="6B7EA56A">
                  <w:pPr>
                    <w:adjustRightInd w:val="0"/>
                    <w:snapToGrid w:val="0"/>
                    <w:spacing w:line="320" w:lineRule="exact"/>
                    <w:jc w:val="center"/>
                    <w:rPr>
                      <w:color w:val="000000"/>
                      <w:sz w:val="21"/>
                      <w:szCs w:val="21"/>
                    </w:rPr>
                  </w:pPr>
                  <w:r>
                    <w:rPr>
                      <w:rFonts w:hint="eastAsia" w:hAnsi="宋体"/>
                      <w:color w:val="000000"/>
                      <w:sz w:val="21"/>
                      <w:szCs w:val="21"/>
                    </w:rPr>
                    <w:t>粪大肠菌群</w:t>
                  </w:r>
                </w:p>
              </w:tc>
              <w:tc>
                <w:tcPr>
                  <w:tcW w:w="337" w:type="pct"/>
                  <w:tcBorders>
                    <w:left w:val="single" w:color="auto" w:sz="6" w:space="0"/>
                    <w:bottom w:val="single" w:color="auto" w:sz="6" w:space="0"/>
                  </w:tcBorders>
                  <w:vAlign w:val="center"/>
                </w:tcPr>
                <w:p w14:paraId="38A0B30F">
                  <w:pPr>
                    <w:adjustRightInd w:val="0"/>
                    <w:snapToGrid w:val="0"/>
                    <w:spacing w:line="320" w:lineRule="exact"/>
                    <w:jc w:val="center"/>
                    <w:rPr>
                      <w:color w:val="000000"/>
                      <w:sz w:val="21"/>
                      <w:szCs w:val="21"/>
                    </w:rPr>
                  </w:pPr>
                  <w:r>
                    <w:rPr>
                      <w:color w:val="000000"/>
                      <w:sz w:val="21"/>
                      <w:szCs w:val="21"/>
                    </w:rPr>
                    <w:t>SS</w:t>
                  </w:r>
                </w:p>
              </w:tc>
            </w:tr>
            <w:tr w14:paraId="6CCA943A">
              <w:tblPrEx>
                <w:tblBorders>
                  <w:top w:val="single" w:color="000000" w:sz="4" w:space="0"/>
                  <w:left w:val="single" w:color="000000" w:sz="4" w:space="0"/>
                  <w:bottom w:val="single" w:color="000000" w:sz="4" w:space="0"/>
                  <w:right w:val="single" w:color="000000" w:sz="4" w:space="0"/>
                  <w:insideH w:val="single" w:color="auto" w:sz="6" w:space="0"/>
                  <w:insideV w:val="single" w:color="auto" w:sz="6" w:space="0"/>
                </w:tblBorders>
                <w:tblCellMar>
                  <w:top w:w="0" w:type="dxa"/>
                  <w:left w:w="108" w:type="dxa"/>
                  <w:bottom w:w="0" w:type="dxa"/>
                  <w:right w:w="108" w:type="dxa"/>
                </w:tblCellMar>
              </w:tblPrEx>
              <w:trPr>
                <w:jc w:val="center"/>
              </w:trPr>
              <w:tc>
                <w:tcPr>
                  <w:tcW w:w="1026" w:type="pct"/>
                  <w:tcBorders>
                    <w:top w:val="single" w:color="auto" w:sz="6" w:space="0"/>
                    <w:right w:val="single" w:color="auto" w:sz="6" w:space="0"/>
                  </w:tcBorders>
                  <w:vAlign w:val="center"/>
                </w:tcPr>
                <w:p w14:paraId="34055CC9">
                  <w:pPr>
                    <w:adjustRightInd w:val="0"/>
                    <w:snapToGrid w:val="0"/>
                    <w:spacing w:line="320" w:lineRule="exact"/>
                    <w:jc w:val="center"/>
                    <w:rPr>
                      <w:rFonts w:hint="eastAsia"/>
                      <w:color w:val="000000"/>
                      <w:sz w:val="21"/>
                      <w:szCs w:val="21"/>
                    </w:rPr>
                  </w:pPr>
                  <w:r>
                    <w:rPr>
                      <w:rFonts w:hint="eastAsia"/>
                      <w:color w:val="000000"/>
                      <w:sz w:val="21"/>
                      <w:szCs w:val="21"/>
                    </w:rPr>
                    <w:t>标准值</w:t>
                  </w:r>
                  <w:r>
                    <w:rPr>
                      <w:color w:val="000000"/>
                      <w:sz w:val="21"/>
                      <w:szCs w:val="21"/>
                    </w:rPr>
                    <w:t>III</w:t>
                  </w:r>
                  <w:r>
                    <w:rPr>
                      <w:rFonts w:hint="eastAsia"/>
                      <w:color w:val="000000"/>
                      <w:sz w:val="21"/>
                      <w:szCs w:val="21"/>
                    </w:rPr>
                    <w:t>类</w:t>
                  </w:r>
                </w:p>
              </w:tc>
              <w:tc>
                <w:tcPr>
                  <w:tcW w:w="404" w:type="pct"/>
                  <w:tcBorders>
                    <w:top w:val="single" w:color="auto" w:sz="6" w:space="0"/>
                    <w:left w:val="single" w:color="auto" w:sz="6" w:space="0"/>
                    <w:right w:val="single" w:color="auto" w:sz="6" w:space="0"/>
                  </w:tcBorders>
                  <w:vAlign w:val="center"/>
                </w:tcPr>
                <w:p w14:paraId="59D52D8E">
                  <w:pPr>
                    <w:adjustRightInd w:val="0"/>
                    <w:snapToGrid w:val="0"/>
                    <w:spacing w:line="320" w:lineRule="exact"/>
                    <w:jc w:val="center"/>
                    <w:rPr>
                      <w:rFonts w:ascii="Times New Roman" w:hAnsi="Times New Roman" w:eastAsia="宋体" w:cs="Times New Roman"/>
                      <w:color w:val="000000"/>
                      <w:kern w:val="2"/>
                      <w:sz w:val="21"/>
                      <w:szCs w:val="21"/>
                      <w:lang w:val="en-US" w:eastAsia="zh-CN" w:bidi="ar-SA"/>
                    </w:rPr>
                  </w:pPr>
                  <w:r>
                    <w:rPr>
                      <w:color w:val="000000"/>
                      <w:sz w:val="21"/>
                      <w:szCs w:val="21"/>
                    </w:rPr>
                    <w:t>6~9</w:t>
                  </w:r>
                </w:p>
              </w:tc>
              <w:tc>
                <w:tcPr>
                  <w:tcW w:w="494" w:type="pct"/>
                  <w:tcBorders>
                    <w:top w:val="single" w:color="auto" w:sz="6" w:space="0"/>
                    <w:left w:val="single" w:color="auto" w:sz="6" w:space="0"/>
                    <w:right w:val="single" w:color="auto" w:sz="6" w:space="0"/>
                  </w:tcBorders>
                  <w:vAlign w:val="center"/>
                </w:tcPr>
                <w:p w14:paraId="0CBB7C11">
                  <w:pPr>
                    <w:adjustRightInd w:val="0"/>
                    <w:snapToGrid w:val="0"/>
                    <w:spacing w:line="320" w:lineRule="exact"/>
                    <w:jc w:val="center"/>
                    <w:rPr>
                      <w:rFonts w:ascii="Times New Roman" w:hAnsi="Times New Roman" w:eastAsia="宋体" w:cs="Times New Roman"/>
                      <w:color w:val="000000"/>
                      <w:kern w:val="2"/>
                      <w:sz w:val="21"/>
                      <w:szCs w:val="21"/>
                      <w:lang w:val="en-US" w:eastAsia="zh-CN" w:bidi="ar-SA"/>
                    </w:rPr>
                  </w:pPr>
                  <w:r>
                    <w:rPr>
                      <w:color w:val="000000"/>
                      <w:sz w:val="21"/>
                      <w:szCs w:val="21"/>
                    </w:rPr>
                    <w:t>20</w:t>
                  </w:r>
                </w:p>
              </w:tc>
              <w:tc>
                <w:tcPr>
                  <w:tcW w:w="547" w:type="pct"/>
                  <w:tcBorders>
                    <w:top w:val="single" w:color="auto" w:sz="6" w:space="0"/>
                    <w:left w:val="single" w:color="auto" w:sz="6" w:space="0"/>
                    <w:right w:val="single" w:color="auto" w:sz="6" w:space="0"/>
                  </w:tcBorders>
                  <w:vAlign w:val="center"/>
                </w:tcPr>
                <w:p w14:paraId="410450A9">
                  <w:pPr>
                    <w:adjustRightInd w:val="0"/>
                    <w:snapToGrid w:val="0"/>
                    <w:spacing w:line="320" w:lineRule="exact"/>
                    <w:jc w:val="center"/>
                    <w:rPr>
                      <w:rFonts w:ascii="Times New Roman" w:hAnsi="Times New Roman" w:eastAsia="宋体" w:cs="Times New Roman"/>
                      <w:color w:val="000000"/>
                      <w:kern w:val="2"/>
                      <w:sz w:val="21"/>
                      <w:szCs w:val="21"/>
                      <w:lang w:val="en-US" w:eastAsia="zh-CN" w:bidi="ar-SA"/>
                    </w:rPr>
                  </w:pPr>
                  <w:r>
                    <w:rPr>
                      <w:color w:val="000000"/>
                      <w:sz w:val="21"/>
                      <w:szCs w:val="21"/>
                    </w:rPr>
                    <w:t>4</w:t>
                  </w:r>
                </w:p>
              </w:tc>
              <w:tc>
                <w:tcPr>
                  <w:tcW w:w="607" w:type="pct"/>
                  <w:tcBorders>
                    <w:top w:val="single" w:color="auto" w:sz="6" w:space="0"/>
                    <w:left w:val="single" w:color="auto" w:sz="6" w:space="0"/>
                    <w:right w:val="single" w:color="auto" w:sz="6" w:space="0"/>
                  </w:tcBorders>
                  <w:vAlign w:val="center"/>
                </w:tcPr>
                <w:p w14:paraId="4276A75D">
                  <w:pPr>
                    <w:adjustRightInd w:val="0"/>
                    <w:snapToGrid w:val="0"/>
                    <w:spacing w:line="320" w:lineRule="exact"/>
                    <w:jc w:val="center"/>
                    <w:rPr>
                      <w:rFonts w:ascii="Times New Roman" w:hAnsi="Times New Roman" w:eastAsia="宋体" w:cs="Times New Roman"/>
                      <w:color w:val="000000"/>
                      <w:kern w:val="2"/>
                      <w:sz w:val="21"/>
                      <w:szCs w:val="21"/>
                      <w:lang w:val="en-US" w:eastAsia="zh-CN" w:bidi="ar-SA"/>
                    </w:rPr>
                  </w:pPr>
                  <w:r>
                    <w:rPr>
                      <w:color w:val="000000"/>
                      <w:sz w:val="21"/>
                      <w:szCs w:val="21"/>
                    </w:rPr>
                    <w:t>1.0</w:t>
                  </w:r>
                </w:p>
              </w:tc>
              <w:tc>
                <w:tcPr>
                  <w:tcW w:w="634" w:type="pct"/>
                  <w:tcBorders>
                    <w:top w:val="single" w:color="auto" w:sz="6" w:space="0"/>
                    <w:left w:val="single" w:color="auto" w:sz="6" w:space="0"/>
                    <w:right w:val="single" w:color="auto" w:sz="6" w:space="0"/>
                  </w:tcBorders>
                  <w:vAlign w:val="center"/>
                </w:tcPr>
                <w:p w14:paraId="2F831F80">
                  <w:pPr>
                    <w:adjustRightInd w:val="0"/>
                    <w:snapToGrid w:val="0"/>
                    <w:spacing w:line="320" w:lineRule="exact"/>
                    <w:jc w:val="center"/>
                    <w:rPr>
                      <w:rFonts w:ascii="Times New Roman" w:hAnsi="Times New Roman" w:eastAsia="宋体" w:cs="Times New Roman"/>
                      <w:color w:val="000000"/>
                      <w:kern w:val="2"/>
                      <w:sz w:val="21"/>
                      <w:szCs w:val="21"/>
                      <w:lang w:val="en-US" w:eastAsia="zh-CN" w:bidi="ar-SA"/>
                    </w:rPr>
                  </w:pPr>
                  <w:r>
                    <w:rPr>
                      <w:color w:val="000000"/>
                      <w:sz w:val="21"/>
                      <w:szCs w:val="21"/>
                    </w:rPr>
                    <w:t>0.05</w:t>
                  </w:r>
                </w:p>
              </w:tc>
              <w:tc>
                <w:tcPr>
                  <w:tcW w:w="949" w:type="pct"/>
                  <w:tcBorders>
                    <w:top w:val="single" w:color="auto" w:sz="6" w:space="0"/>
                    <w:left w:val="single" w:color="auto" w:sz="6" w:space="0"/>
                    <w:right w:val="single" w:color="auto" w:sz="6" w:space="0"/>
                  </w:tcBorders>
                  <w:vAlign w:val="center"/>
                </w:tcPr>
                <w:p w14:paraId="70D7AE5E">
                  <w:pPr>
                    <w:adjustRightInd w:val="0"/>
                    <w:snapToGrid w:val="0"/>
                    <w:spacing w:line="320" w:lineRule="exact"/>
                    <w:jc w:val="center"/>
                    <w:rPr>
                      <w:rFonts w:ascii="Times New Roman" w:hAnsi="Times New Roman" w:eastAsia="宋体" w:cs="Times New Roman"/>
                      <w:color w:val="000000"/>
                      <w:kern w:val="2"/>
                      <w:sz w:val="21"/>
                      <w:szCs w:val="21"/>
                      <w:lang w:val="en-US" w:eastAsia="zh-CN" w:bidi="ar-SA"/>
                    </w:rPr>
                  </w:pPr>
                  <w:r>
                    <w:rPr>
                      <w:color w:val="000000"/>
                      <w:sz w:val="21"/>
                      <w:szCs w:val="21"/>
                    </w:rPr>
                    <w:t>10000</w:t>
                  </w:r>
                </w:p>
              </w:tc>
              <w:tc>
                <w:tcPr>
                  <w:tcW w:w="337" w:type="pct"/>
                  <w:tcBorders>
                    <w:top w:val="single" w:color="auto" w:sz="6" w:space="0"/>
                    <w:left w:val="single" w:color="auto" w:sz="6" w:space="0"/>
                  </w:tcBorders>
                  <w:vAlign w:val="center"/>
                </w:tcPr>
                <w:p w14:paraId="5F6CBF2C">
                  <w:pPr>
                    <w:adjustRightInd w:val="0"/>
                    <w:snapToGrid w:val="0"/>
                    <w:spacing w:line="320" w:lineRule="exact"/>
                    <w:jc w:val="center"/>
                    <w:rPr>
                      <w:rFonts w:ascii="Times New Roman" w:hAnsi="Times New Roman" w:eastAsia="宋体" w:cs="Times New Roman"/>
                      <w:color w:val="000000"/>
                      <w:kern w:val="2"/>
                      <w:sz w:val="21"/>
                      <w:szCs w:val="21"/>
                      <w:lang w:val="en-US" w:eastAsia="zh-CN" w:bidi="ar-SA"/>
                    </w:rPr>
                  </w:pPr>
                  <w:r>
                    <w:rPr>
                      <w:color w:val="000000"/>
                      <w:sz w:val="21"/>
                      <w:szCs w:val="21"/>
                    </w:rPr>
                    <w:t>/</w:t>
                  </w:r>
                </w:p>
              </w:tc>
            </w:tr>
          </w:tbl>
          <w:p w14:paraId="26EB181B">
            <w:pPr>
              <w:adjustRightInd w:val="0"/>
              <w:snapToGrid w:val="0"/>
              <w:spacing w:line="480" w:lineRule="exact"/>
              <w:ind w:firstLine="482" w:firstLineChars="200"/>
              <w:rPr>
                <w:b/>
                <w:color w:val="000000"/>
                <w:sz w:val="24"/>
              </w:rPr>
            </w:pPr>
            <w:r>
              <w:rPr>
                <w:rFonts w:hAnsi="宋体"/>
                <w:b/>
                <w:color w:val="000000"/>
                <w:sz w:val="24"/>
              </w:rPr>
              <w:t>（</w:t>
            </w:r>
            <w:r>
              <w:rPr>
                <w:b/>
                <w:color w:val="000000"/>
                <w:sz w:val="24"/>
              </w:rPr>
              <w:t>3</w:t>
            </w:r>
            <w:r>
              <w:rPr>
                <w:rFonts w:hAnsi="宋体"/>
                <w:b/>
                <w:color w:val="000000"/>
                <w:sz w:val="24"/>
              </w:rPr>
              <w:t>）声环境</w:t>
            </w:r>
          </w:p>
          <w:p w14:paraId="517EAEE0">
            <w:pPr>
              <w:adjustRightInd w:val="0"/>
              <w:snapToGrid w:val="0"/>
              <w:spacing w:line="480" w:lineRule="exact"/>
              <w:ind w:firstLine="480" w:firstLineChars="200"/>
              <w:rPr>
                <w:color w:val="000000"/>
                <w:kern w:val="0"/>
                <w:sz w:val="24"/>
              </w:rPr>
            </w:pPr>
            <w:bookmarkStart w:id="6" w:name="OLE_LINK3"/>
            <w:r>
              <w:rPr>
                <w:color w:val="000000"/>
                <w:kern w:val="0"/>
                <w:sz w:val="24"/>
              </w:rPr>
              <w:t>执行《声环境质量标准》</w:t>
            </w:r>
            <w:r>
              <w:rPr>
                <w:rFonts w:hint="eastAsia"/>
                <w:color w:val="000000"/>
                <w:kern w:val="0"/>
                <w:sz w:val="24"/>
              </w:rPr>
              <w:t>（</w:t>
            </w:r>
            <w:r>
              <w:rPr>
                <w:color w:val="000000"/>
                <w:kern w:val="0"/>
                <w:sz w:val="24"/>
              </w:rPr>
              <w:t>GB3096-2008</w:t>
            </w:r>
            <w:r>
              <w:rPr>
                <w:rFonts w:hint="eastAsia"/>
                <w:color w:val="000000"/>
                <w:kern w:val="0"/>
                <w:sz w:val="24"/>
              </w:rPr>
              <w:t>）</w:t>
            </w:r>
            <w:r>
              <w:rPr>
                <w:color w:val="000000"/>
                <w:kern w:val="0"/>
                <w:sz w:val="24"/>
              </w:rPr>
              <w:t>中的</w:t>
            </w:r>
            <w:r>
              <w:rPr>
                <w:rFonts w:hint="eastAsia"/>
                <w:color w:val="000000"/>
                <w:kern w:val="0"/>
                <w:sz w:val="24"/>
                <w:lang w:val="en-US" w:eastAsia="zh-CN"/>
              </w:rPr>
              <w:t>2类</w:t>
            </w:r>
            <w:r>
              <w:rPr>
                <w:color w:val="000000"/>
                <w:kern w:val="0"/>
                <w:sz w:val="24"/>
              </w:rPr>
              <w:t>标准。</w:t>
            </w:r>
          </w:p>
          <w:p w14:paraId="304609D8">
            <w:pPr>
              <w:adjustRightInd w:val="0"/>
              <w:snapToGrid w:val="0"/>
              <w:spacing w:line="480" w:lineRule="exact"/>
              <w:jc w:val="center"/>
              <w:rPr>
                <w:b/>
                <w:color w:val="000000"/>
                <w:szCs w:val="21"/>
              </w:rPr>
            </w:pPr>
            <w:r>
              <w:rPr>
                <w:rFonts w:hAnsi="宋体"/>
                <w:b/>
                <w:color w:val="000000"/>
                <w:szCs w:val="21"/>
              </w:rPr>
              <w:t>表</w:t>
            </w:r>
            <w:r>
              <w:rPr>
                <w:rFonts w:hint="eastAsia"/>
                <w:b/>
                <w:color w:val="000000"/>
                <w:szCs w:val="21"/>
              </w:rPr>
              <w:t>3-</w:t>
            </w:r>
            <w:r>
              <w:rPr>
                <w:rFonts w:hint="eastAsia"/>
                <w:b/>
                <w:color w:val="000000"/>
                <w:szCs w:val="21"/>
                <w:lang w:val="en-US" w:eastAsia="zh-CN"/>
              </w:rPr>
              <w:t>11</w:t>
            </w:r>
            <w:r>
              <w:rPr>
                <w:b/>
                <w:color w:val="000000"/>
                <w:szCs w:val="21"/>
              </w:rPr>
              <w:t xml:space="preserve">  </w:t>
            </w:r>
            <w:r>
              <w:rPr>
                <w:rFonts w:hAnsi="宋体"/>
                <w:b/>
                <w:color w:val="000000"/>
                <w:szCs w:val="21"/>
              </w:rPr>
              <w:t>声环境质量标准</w:t>
            </w:r>
          </w:p>
          <w:tbl>
            <w:tblPr>
              <w:tblStyle w:val="45"/>
              <w:tblW w:w="5000" w:type="pct"/>
              <w:jc w:val="center"/>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autofit"/>
              <w:tblCellMar>
                <w:top w:w="0" w:type="dxa"/>
                <w:left w:w="108" w:type="dxa"/>
                <w:bottom w:w="0" w:type="dxa"/>
                <w:right w:w="108" w:type="dxa"/>
              </w:tblCellMar>
            </w:tblPr>
            <w:tblGrid>
              <w:gridCol w:w="3824"/>
              <w:gridCol w:w="2140"/>
              <w:gridCol w:w="2558"/>
            </w:tblGrid>
            <w:tr w14:paraId="69CF2EF4">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43" w:type="pct"/>
                  <w:tcBorders>
                    <w:tl2br w:val="single" w:color="auto" w:sz="4" w:space="0"/>
                  </w:tcBorders>
                  <w:tcMar>
                    <w:top w:w="28" w:type="dxa"/>
                    <w:left w:w="28" w:type="dxa"/>
                    <w:bottom w:w="28" w:type="dxa"/>
                    <w:right w:w="28" w:type="dxa"/>
                  </w:tcMar>
                  <w:vAlign w:val="center"/>
                </w:tcPr>
                <w:p w14:paraId="450640AF">
                  <w:pPr>
                    <w:widowControl/>
                    <w:adjustRightInd w:val="0"/>
                    <w:snapToGrid w:val="0"/>
                    <w:jc w:val="center"/>
                    <w:rPr>
                      <w:b/>
                      <w:bCs/>
                      <w:color w:val="000000"/>
                      <w:szCs w:val="21"/>
                    </w:rPr>
                  </w:pPr>
                  <w:r>
                    <w:rPr>
                      <w:b/>
                      <w:bCs/>
                      <w:color w:val="000000"/>
                      <w:szCs w:val="21"/>
                    </w:rPr>
                    <w:t xml:space="preserve">                    </w:t>
                  </w:r>
                  <w:r>
                    <w:rPr>
                      <w:rFonts w:hAnsi="宋体"/>
                      <w:b/>
                      <w:bCs/>
                      <w:color w:val="000000"/>
                      <w:szCs w:val="21"/>
                    </w:rPr>
                    <w:t>时段</w:t>
                  </w:r>
                </w:p>
                <w:p w14:paraId="738600F7">
                  <w:pPr>
                    <w:widowControl/>
                    <w:adjustRightInd w:val="0"/>
                    <w:snapToGrid w:val="0"/>
                    <w:ind w:firstLine="316" w:firstLineChars="150"/>
                    <w:rPr>
                      <w:b/>
                      <w:bCs/>
                      <w:color w:val="000000"/>
                      <w:szCs w:val="21"/>
                    </w:rPr>
                  </w:pPr>
                  <w:r>
                    <w:rPr>
                      <w:rFonts w:hAnsi="宋体"/>
                      <w:b/>
                      <w:bCs/>
                      <w:color w:val="000000"/>
                      <w:szCs w:val="21"/>
                    </w:rPr>
                    <w:t>声环境功能区类别</w:t>
                  </w:r>
                  <w:r>
                    <w:rPr>
                      <w:b/>
                      <w:bCs/>
                      <w:color w:val="000000"/>
                      <w:szCs w:val="21"/>
                    </w:rPr>
                    <w:t xml:space="preserve">                 </w:t>
                  </w:r>
                </w:p>
              </w:tc>
              <w:tc>
                <w:tcPr>
                  <w:tcW w:w="1255" w:type="pct"/>
                  <w:tcMar>
                    <w:top w:w="28" w:type="dxa"/>
                    <w:left w:w="28" w:type="dxa"/>
                    <w:bottom w:w="28" w:type="dxa"/>
                    <w:right w:w="28" w:type="dxa"/>
                  </w:tcMar>
                  <w:vAlign w:val="center"/>
                </w:tcPr>
                <w:p w14:paraId="1B7D924C">
                  <w:pPr>
                    <w:widowControl/>
                    <w:adjustRightInd w:val="0"/>
                    <w:snapToGrid w:val="0"/>
                    <w:jc w:val="center"/>
                    <w:rPr>
                      <w:b/>
                      <w:bCs/>
                      <w:color w:val="000000"/>
                      <w:szCs w:val="21"/>
                    </w:rPr>
                  </w:pPr>
                  <w:r>
                    <w:rPr>
                      <w:rFonts w:hAnsi="宋体"/>
                      <w:b/>
                      <w:bCs/>
                      <w:color w:val="000000"/>
                      <w:szCs w:val="21"/>
                    </w:rPr>
                    <w:t>昼间</w:t>
                  </w:r>
                </w:p>
              </w:tc>
              <w:tc>
                <w:tcPr>
                  <w:tcW w:w="1500" w:type="pct"/>
                  <w:tcMar>
                    <w:top w:w="28" w:type="dxa"/>
                    <w:left w:w="28" w:type="dxa"/>
                    <w:bottom w:w="28" w:type="dxa"/>
                    <w:right w:w="28" w:type="dxa"/>
                  </w:tcMar>
                  <w:vAlign w:val="center"/>
                </w:tcPr>
                <w:p w14:paraId="03886841">
                  <w:pPr>
                    <w:widowControl/>
                    <w:adjustRightInd w:val="0"/>
                    <w:snapToGrid w:val="0"/>
                    <w:jc w:val="center"/>
                    <w:rPr>
                      <w:b/>
                      <w:bCs/>
                      <w:color w:val="000000"/>
                      <w:szCs w:val="21"/>
                    </w:rPr>
                  </w:pPr>
                  <w:r>
                    <w:rPr>
                      <w:rFonts w:hAnsi="宋体"/>
                      <w:b/>
                      <w:bCs/>
                      <w:color w:val="000000"/>
                      <w:szCs w:val="21"/>
                    </w:rPr>
                    <w:t>夜间</w:t>
                  </w:r>
                </w:p>
              </w:tc>
            </w:tr>
            <w:tr w14:paraId="0281D6F0">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243" w:type="pct"/>
                  <w:tcMar>
                    <w:top w:w="28" w:type="dxa"/>
                    <w:left w:w="28" w:type="dxa"/>
                    <w:bottom w:w="28" w:type="dxa"/>
                    <w:right w:w="28" w:type="dxa"/>
                  </w:tcMar>
                  <w:vAlign w:val="center"/>
                </w:tcPr>
                <w:p w14:paraId="373B04AA">
                  <w:pPr>
                    <w:widowControl/>
                    <w:adjustRightInd w:val="0"/>
                    <w:snapToGrid w:val="0"/>
                    <w:jc w:val="center"/>
                    <w:rPr>
                      <w:color w:val="000000"/>
                      <w:szCs w:val="21"/>
                    </w:rPr>
                  </w:pPr>
                  <w:r>
                    <w:rPr>
                      <w:rFonts w:hint="eastAsia"/>
                      <w:color w:val="000000"/>
                      <w:szCs w:val="21"/>
                      <w:lang w:val="en-US" w:eastAsia="zh-CN"/>
                    </w:rPr>
                    <w:t>2</w:t>
                  </w:r>
                  <w:r>
                    <w:rPr>
                      <w:rFonts w:hAnsi="宋体"/>
                      <w:color w:val="000000"/>
                      <w:szCs w:val="21"/>
                    </w:rPr>
                    <w:t>类</w:t>
                  </w:r>
                </w:p>
              </w:tc>
              <w:tc>
                <w:tcPr>
                  <w:tcW w:w="1255" w:type="pct"/>
                  <w:tcMar>
                    <w:top w:w="28" w:type="dxa"/>
                    <w:left w:w="28" w:type="dxa"/>
                    <w:bottom w:w="28" w:type="dxa"/>
                    <w:right w:w="28" w:type="dxa"/>
                  </w:tcMar>
                  <w:vAlign w:val="center"/>
                </w:tcPr>
                <w:p w14:paraId="6CA94197">
                  <w:pPr>
                    <w:widowControl/>
                    <w:adjustRightInd w:val="0"/>
                    <w:snapToGrid w:val="0"/>
                    <w:jc w:val="center"/>
                    <w:rPr>
                      <w:rFonts w:hint="default" w:eastAsia="宋体"/>
                      <w:color w:val="000000"/>
                      <w:szCs w:val="21"/>
                      <w:lang w:val="en-US" w:eastAsia="zh-CN"/>
                    </w:rPr>
                  </w:pPr>
                  <w:r>
                    <w:rPr>
                      <w:rFonts w:hint="eastAsia"/>
                      <w:color w:val="000000"/>
                      <w:szCs w:val="21"/>
                      <w:lang w:val="en-US" w:eastAsia="zh-CN"/>
                    </w:rPr>
                    <w:t>60</w:t>
                  </w:r>
                </w:p>
              </w:tc>
              <w:tc>
                <w:tcPr>
                  <w:tcW w:w="1500" w:type="pct"/>
                  <w:tcMar>
                    <w:top w:w="28" w:type="dxa"/>
                    <w:left w:w="28" w:type="dxa"/>
                    <w:bottom w:w="28" w:type="dxa"/>
                    <w:right w:w="28" w:type="dxa"/>
                  </w:tcMar>
                  <w:vAlign w:val="center"/>
                </w:tcPr>
                <w:p w14:paraId="42F78168">
                  <w:pPr>
                    <w:widowControl/>
                    <w:adjustRightInd w:val="0"/>
                    <w:snapToGrid w:val="0"/>
                    <w:jc w:val="center"/>
                    <w:rPr>
                      <w:rFonts w:hint="default" w:eastAsia="宋体"/>
                      <w:color w:val="000000"/>
                      <w:szCs w:val="21"/>
                      <w:lang w:val="en-US" w:eastAsia="zh-CN"/>
                    </w:rPr>
                  </w:pPr>
                  <w:r>
                    <w:rPr>
                      <w:rFonts w:hint="eastAsia"/>
                      <w:color w:val="000000"/>
                      <w:szCs w:val="21"/>
                      <w:lang w:val="en-US" w:eastAsia="zh-CN"/>
                    </w:rPr>
                    <w:t>50</w:t>
                  </w:r>
                </w:p>
              </w:tc>
            </w:tr>
            <w:bookmarkEnd w:id="6"/>
          </w:tbl>
          <w:p w14:paraId="15F214FE">
            <w:pPr>
              <w:numPr>
                <w:ilvl w:val="0"/>
                <w:numId w:val="6"/>
              </w:numPr>
              <w:adjustRightInd w:val="0"/>
              <w:snapToGrid w:val="0"/>
              <w:spacing w:line="360" w:lineRule="auto"/>
              <w:ind w:firstLine="482" w:firstLineChars="200"/>
              <w:rPr>
                <w:rFonts w:hint="eastAsia"/>
                <w:b/>
                <w:color w:val="000000"/>
                <w:sz w:val="24"/>
                <w:lang w:val="en-US" w:eastAsia="zh-CN"/>
              </w:rPr>
            </w:pPr>
            <w:r>
              <w:rPr>
                <w:rFonts w:hint="eastAsia"/>
                <w:b/>
                <w:color w:val="000000"/>
                <w:sz w:val="24"/>
                <w:lang w:val="en-US" w:eastAsia="zh-CN"/>
              </w:rPr>
              <w:t>土壤、底泥环境</w:t>
            </w:r>
          </w:p>
          <w:p w14:paraId="459AA8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val="0"/>
                <w:color w:val="auto"/>
                <w:sz w:val="24"/>
                <w:szCs w:val="24"/>
                <w:u w:val="none"/>
              </w:rPr>
            </w:pPr>
            <w:r>
              <w:rPr>
                <w:rFonts w:hint="eastAsia" w:ascii="Times New Roman" w:hAnsi="Times New Roman" w:cs="Times New Roman"/>
                <w:b w:val="0"/>
                <w:bCs w:val="0"/>
                <w:color w:val="auto"/>
                <w:sz w:val="24"/>
                <w:szCs w:val="24"/>
                <w:u w:val="none"/>
                <w:lang w:val="en-US" w:eastAsia="zh-CN"/>
              </w:rPr>
              <w:t>项目评价范围内</w:t>
            </w:r>
            <w:r>
              <w:rPr>
                <w:rFonts w:hint="default" w:ascii="Times New Roman" w:hAnsi="Times New Roman" w:cs="Times New Roman"/>
                <w:b w:val="0"/>
                <w:bCs w:val="0"/>
                <w:color w:val="auto"/>
                <w:sz w:val="24"/>
                <w:szCs w:val="24"/>
                <w:u w:val="none"/>
              </w:rPr>
              <w:t>土壤</w:t>
            </w:r>
            <w:r>
              <w:rPr>
                <w:rFonts w:hint="eastAsia" w:ascii="Times New Roman" w:hAnsi="Times New Roman" w:cs="Times New Roman"/>
                <w:b w:val="0"/>
                <w:bCs w:val="0"/>
                <w:color w:val="auto"/>
                <w:sz w:val="24"/>
                <w:szCs w:val="24"/>
                <w:u w:val="none"/>
                <w:lang w:eastAsia="zh-CN"/>
              </w:rPr>
              <w:t>、</w:t>
            </w:r>
            <w:r>
              <w:rPr>
                <w:rFonts w:hint="eastAsia" w:ascii="Times New Roman" w:hAnsi="Times New Roman" w:cs="Times New Roman"/>
                <w:b w:val="0"/>
                <w:bCs w:val="0"/>
                <w:color w:val="auto"/>
                <w:sz w:val="24"/>
                <w:szCs w:val="24"/>
                <w:u w:val="none"/>
                <w:lang w:val="en-US" w:eastAsia="zh-CN"/>
              </w:rPr>
              <w:t>底泥执行《土壤环境质量 农用地土壤污染风险管控标准》（GB15618-2018）标准，</w:t>
            </w:r>
            <w:r>
              <w:rPr>
                <w:rFonts w:hint="default" w:ascii="Times New Roman" w:hAnsi="Times New Roman" w:cs="Times New Roman"/>
                <w:b w:val="0"/>
                <w:bCs w:val="0"/>
                <w:color w:val="auto"/>
                <w:sz w:val="24"/>
                <w:szCs w:val="24"/>
                <w:u w:val="none"/>
              </w:rPr>
              <w:t>具体限值详见表</w:t>
            </w:r>
            <w:r>
              <w:rPr>
                <w:rFonts w:hint="eastAsia" w:cs="Times New Roman"/>
                <w:b w:val="0"/>
                <w:bCs w:val="0"/>
                <w:color w:val="auto"/>
                <w:sz w:val="24"/>
                <w:szCs w:val="24"/>
                <w:u w:val="none"/>
                <w:lang w:val="en-US" w:eastAsia="zh-CN"/>
              </w:rPr>
              <w:t>3-12</w:t>
            </w:r>
            <w:r>
              <w:rPr>
                <w:rFonts w:hint="default" w:ascii="Times New Roman" w:hAnsi="Times New Roman" w:cs="Times New Roman"/>
                <w:b w:val="0"/>
                <w:bCs w:val="0"/>
                <w:color w:val="auto"/>
                <w:sz w:val="24"/>
                <w:szCs w:val="24"/>
                <w:u w:val="none"/>
              </w:rPr>
              <w:t>。</w:t>
            </w:r>
          </w:p>
          <w:p w14:paraId="5E7B8183">
            <w:pPr>
              <w:spacing w:before="185" w:line="212" w:lineRule="auto"/>
              <w:ind w:left="2014"/>
              <w:rPr>
                <w:rFonts w:hint="eastAsia" w:ascii="Times New Roman" w:hAnsi="Times New Roman" w:eastAsia="宋体" w:cs="Times New Roman"/>
                <w:b w:val="0"/>
                <w:bCs w:val="0"/>
                <w:color w:val="auto"/>
                <w:sz w:val="24"/>
                <w:szCs w:val="24"/>
                <w:u w:val="none"/>
                <w:lang w:eastAsia="zh-CN"/>
              </w:rPr>
            </w:pPr>
            <w:r>
              <w:rPr>
                <w:rFonts w:hint="default" w:ascii="Times New Roman" w:hAnsi="Times New Roman" w:eastAsia="宋体" w:cs="Times New Roman"/>
                <w:b w:val="0"/>
                <w:bCs w:val="0"/>
                <w:color w:val="auto"/>
                <w:spacing w:val="-6"/>
                <w:sz w:val="24"/>
                <w:szCs w:val="24"/>
                <w:u w:val="none"/>
                <w14:textOutline w14:w="4354" w14:cap="flat" w14:cmpd="sng">
                  <w14:solidFill>
                    <w14:srgbClr w14:val="000000"/>
                  </w14:solidFill>
                  <w14:prstDash w14:val="solid"/>
                  <w14:miter w14:val="0"/>
                </w14:textOutline>
              </w:rPr>
              <w:t>表</w:t>
            </w:r>
            <w:r>
              <w:rPr>
                <w:rFonts w:hint="eastAsia" w:eastAsia="宋体" w:cs="Times New Roman"/>
                <w:b/>
                <w:bCs/>
                <w:color w:val="auto"/>
                <w:spacing w:val="-6"/>
                <w:sz w:val="24"/>
                <w:szCs w:val="24"/>
                <w:u w:val="none"/>
                <w:lang w:val="en-US" w:eastAsia="zh-CN"/>
              </w:rPr>
              <w:t>3-12</w:t>
            </w:r>
            <w:r>
              <w:rPr>
                <w:rFonts w:hint="eastAsia" w:ascii="Times New Roman" w:hAnsi="Times New Roman" w:eastAsia="宋体" w:cs="Times New Roman"/>
                <w:b/>
                <w:bCs/>
                <w:color w:val="auto"/>
                <w:spacing w:val="-6"/>
                <w:sz w:val="24"/>
                <w:szCs w:val="24"/>
                <w:u w:val="none"/>
                <w:lang w:val="en-US" w:eastAsia="zh-CN"/>
              </w:rPr>
              <w:t xml:space="preserve"> </w:t>
            </w:r>
            <w:r>
              <w:rPr>
                <w:rFonts w:hint="default" w:ascii="Times New Roman" w:hAnsi="Times New Roman" w:eastAsia="宋体" w:cs="Times New Roman"/>
                <w:b w:val="0"/>
                <w:bCs w:val="0"/>
                <w:color w:val="auto"/>
                <w:spacing w:val="-3"/>
                <w:sz w:val="24"/>
                <w:szCs w:val="24"/>
                <w:u w:val="none"/>
                <w14:textOutline w14:w="4354" w14:cap="flat" w14:cmpd="sng">
                  <w14:solidFill>
                    <w14:srgbClr w14:val="000000"/>
                  </w14:solidFill>
                  <w14:prstDash w14:val="solid"/>
                  <w14:miter w14:val="0"/>
                </w14:textOutline>
              </w:rPr>
              <w:t>土壤环境质量标准</w:t>
            </w:r>
            <w:r>
              <w:rPr>
                <w:rFonts w:hint="eastAsia" w:ascii="Times New Roman" w:hAnsi="Times New Roman" w:eastAsia="宋体" w:cs="Times New Roman"/>
                <w:b w:val="0"/>
                <w:bCs w:val="0"/>
                <w:color w:val="auto"/>
                <w:spacing w:val="-3"/>
                <w:sz w:val="24"/>
                <w:szCs w:val="24"/>
                <w:u w:val="none"/>
                <w:lang w:eastAsia="zh-CN"/>
                <w14:textOutline w14:w="4354" w14:cap="flat" w14:cmpd="sng">
                  <w14:solidFill>
                    <w14:srgbClr w14:val="000000"/>
                  </w14:solidFill>
                  <w14:prstDash w14:val="solid"/>
                  <w14:miter w14:val="0"/>
                </w14:textOutline>
              </w:rPr>
              <w:t>（</w:t>
            </w:r>
            <w:r>
              <w:rPr>
                <w:rFonts w:hint="default" w:ascii="Times New Roman" w:hAnsi="Times New Roman" w:eastAsia="宋体" w:cs="Times New Roman"/>
                <w:b w:val="0"/>
                <w:bCs w:val="0"/>
                <w:color w:val="auto"/>
                <w:spacing w:val="-3"/>
                <w:sz w:val="24"/>
                <w:szCs w:val="24"/>
                <w:u w:val="none"/>
                <w14:textOutline w14:w="4354" w14:cap="flat" w14:cmpd="sng">
                  <w14:solidFill>
                    <w14:srgbClr w14:val="000000"/>
                  </w14:solidFill>
                  <w14:prstDash w14:val="solid"/>
                  <w14:miter w14:val="0"/>
                </w14:textOutline>
              </w:rPr>
              <w:t>单位：mg/kg</w:t>
            </w:r>
            <w:r>
              <w:rPr>
                <w:rFonts w:hint="eastAsia" w:ascii="Times New Roman" w:hAnsi="Times New Roman" w:eastAsia="宋体" w:cs="Times New Roman"/>
                <w:b w:val="0"/>
                <w:bCs w:val="0"/>
                <w:color w:val="auto"/>
                <w:spacing w:val="-3"/>
                <w:sz w:val="24"/>
                <w:szCs w:val="24"/>
                <w:u w:val="none"/>
                <w:lang w:eastAsia="zh-CN"/>
                <w14:textOutline w14:w="4354" w14:cap="flat" w14:cmpd="sng">
                  <w14:solidFill>
                    <w14:srgbClr w14:val="000000"/>
                  </w14:solidFill>
                  <w14:prstDash w14:val="solid"/>
                  <w14:miter w14:val="0"/>
                </w14:textOutline>
              </w:rPr>
              <w:t>）</w:t>
            </w:r>
          </w:p>
          <w:tbl>
            <w:tblPr>
              <w:tblStyle w:val="236"/>
              <w:tblW w:w="50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
              <w:gridCol w:w="500"/>
              <w:gridCol w:w="747"/>
              <w:gridCol w:w="1351"/>
              <w:gridCol w:w="2016"/>
              <w:gridCol w:w="2016"/>
              <w:gridCol w:w="1147"/>
            </w:tblGrid>
            <w:tr w14:paraId="12B6A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732" w:type="dxa"/>
                  <w:vMerge w:val="restart"/>
                  <w:tcBorders>
                    <w:tl2br w:val="nil"/>
                    <w:tr2bl w:val="nil"/>
                  </w:tcBorders>
                  <w:noWrap w:val="0"/>
                  <w:vAlign w:val="center"/>
                </w:tcPr>
                <w:p w14:paraId="2EED0D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序号</w:t>
                  </w:r>
                </w:p>
              </w:tc>
              <w:tc>
                <w:tcPr>
                  <w:tcW w:w="1217" w:type="dxa"/>
                  <w:gridSpan w:val="2"/>
                  <w:vMerge w:val="restart"/>
                  <w:tcBorders>
                    <w:tl2br w:val="nil"/>
                    <w:tr2bl w:val="nil"/>
                  </w:tcBorders>
                  <w:noWrap w:val="0"/>
                  <w:vAlign w:val="center"/>
                </w:tcPr>
                <w:p w14:paraId="1BEB85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项目</w:t>
                  </w:r>
                </w:p>
              </w:tc>
              <w:tc>
                <w:tcPr>
                  <w:tcW w:w="6370" w:type="dxa"/>
                  <w:gridSpan w:val="4"/>
                  <w:tcBorders>
                    <w:tl2br w:val="nil"/>
                    <w:tr2bl w:val="nil"/>
                  </w:tcBorders>
                  <w:noWrap w:val="0"/>
                  <w:vAlign w:val="center"/>
                </w:tcPr>
                <w:p w14:paraId="33B1D6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《土壤环境质量农用地土壤污染风险管控标准（试行）》（GB15618-2018）风险筛选值</w:t>
                  </w:r>
                </w:p>
              </w:tc>
            </w:tr>
            <w:tr w14:paraId="5D3E4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732" w:type="dxa"/>
                  <w:vMerge w:val="continue"/>
                  <w:tcBorders>
                    <w:tl2br w:val="nil"/>
                    <w:tr2bl w:val="nil"/>
                  </w:tcBorders>
                  <w:noWrap w:val="0"/>
                  <w:vAlign w:val="center"/>
                </w:tcPr>
                <w:p w14:paraId="4E5689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1217" w:type="dxa"/>
                  <w:gridSpan w:val="2"/>
                  <w:vMerge w:val="continue"/>
                  <w:tcBorders>
                    <w:tl2br w:val="nil"/>
                    <w:tr2bl w:val="nil"/>
                  </w:tcBorders>
                  <w:noWrap w:val="0"/>
                  <w:vAlign w:val="center"/>
                </w:tcPr>
                <w:p w14:paraId="711F32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1318" w:type="dxa"/>
                  <w:tcBorders>
                    <w:tl2br w:val="nil"/>
                    <w:tr2bl w:val="nil"/>
                  </w:tcBorders>
                  <w:noWrap w:val="0"/>
                  <w:vAlign w:val="center"/>
                </w:tcPr>
                <w:p w14:paraId="5614C4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pH≤5.5</w:t>
                  </w:r>
                </w:p>
              </w:tc>
              <w:tc>
                <w:tcPr>
                  <w:tcW w:w="1967" w:type="dxa"/>
                  <w:tcBorders>
                    <w:tl2br w:val="nil"/>
                    <w:tr2bl w:val="nil"/>
                  </w:tcBorders>
                  <w:noWrap w:val="0"/>
                  <w:vAlign w:val="center"/>
                </w:tcPr>
                <w:p w14:paraId="392043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5.5＜pH≤6.5</w:t>
                  </w:r>
                </w:p>
              </w:tc>
              <w:tc>
                <w:tcPr>
                  <w:tcW w:w="1967" w:type="dxa"/>
                  <w:tcBorders>
                    <w:tl2br w:val="nil"/>
                    <w:tr2bl w:val="nil"/>
                  </w:tcBorders>
                  <w:noWrap w:val="0"/>
                  <w:vAlign w:val="center"/>
                </w:tcPr>
                <w:p w14:paraId="1F2A73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6.5＜pH≤7.5</w:t>
                  </w:r>
                </w:p>
              </w:tc>
              <w:tc>
                <w:tcPr>
                  <w:tcW w:w="1118" w:type="dxa"/>
                  <w:tcBorders>
                    <w:tl2br w:val="nil"/>
                    <w:tr2bl w:val="nil"/>
                  </w:tcBorders>
                  <w:noWrap w:val="0"/>
                  <w:vAlign w:val="center"/>
                </w:tcPr>
                <w:p w14:paraId="2B8A8B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pH＞7.5</w:t>
                  </w:r>
                </w:p>
              </w:tc>
            </w:tr>
            <w:tr w14:paraId="2A85E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732" w:type="dxa"/>
                  <w:vMerge w:val="restart"/>
                  <w:tcBorders>
                    <w:tl2br w:val="nil"/>
                    <w:tr2bl w:val="nil"/>
                  </w:tcBorders>
                  <w:noWrap w:val="0"/>
                  <w:vAlign w:val="center"/>
                </w:tcPr>
                <w:p w14:paraId="354147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w:t>
                  </w:r>
                </w:p>
              </w:tc>
              <w:tc>
                <w:tcPr>
                  <w:tcW w:w="488" w:type="dxa"/>
                  <w:vMerge w:val="restart"/>
                  <w:tcBorders>
                    <w:tl2br w:val="nil"/>
                    <w:tr2bl w:val="nil"/>
                  </w:tcBorders>
                  <w:noWrap w:val="0"/>
                  <w:vAlign w:val="center"/>
                </w:tcPr>
                <w:p w14:paraId="4C3082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镉</w:t>
                  </w:r>
                </w:p>
              </w:tc>
              <w:tc>
                <w:tcPr>
                  <w:tcW w:w="729" w:type="dxa"/>
                  <w:tcBorders>
                    <w:tl2br w:val="nil"/>
                    <w:tr2bl w:val="nil"/>
                  </w:tcBorders>
                  <w:noWrap w:val="0"/>
                  <w:vAlign w:val="center"/>
                </w:tcPr>
                <w:p w14:paraId="70B364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水田</w:t>
                  </w:r>
                </w:p>
              </w:tc>
              <w:tc>
                <w:tcPr>
                  <w:tcW w:w="1318" w:type="dxa"/>
                  <w:tcBorders>
                    <w:tl2br w:val="nil"/>
                    <w:tr2bl w:val="nil"/>
                  </w:tcBorders>
                  <w:noWrap w:val="0"/>
                  <w:vAlign w:val="center"/>
                </w:tcPr>
                <w:p w14:paraId="278B7D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0.3</w:t>
                  </w:r>
                </w:p>
              </w:tc>
              <w:tc>
                <w:tcPr>
                  <w:tcW w:w="1967" w:type="dxa"/>
                  <w:tcBorders>
                    <w:tl2br w:val="nil"/>
                    <w:tr2bl w:val="nil"/>
                  </w:tcBorders>
                  <w:noWrap w:val="0"/>
                  <w:vAlign w:val="center"/>
                </w:tcPr>
                <w:p w14:paraId="2402DE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0.4</w:t>
                  </w:r>
                </w:p>
              </w:tc>
              <w:tc>
                <w:tcPr>
                  <w:tcW w:w="1967" w:type="dxa"/>
                  <w:tcBorders>
                    <w:tl2br w:val="nil"/>
                    <w:tr2bl w:val="nil"/>
                  </w:tcBorders>
                  <w:noWrap w:val="0"/>
                  <w:vAlign w:val="center"/>
                </w:tcPr>
                <w:p w14:paraId="052AA1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0.6</w:t>
                  </w:r>
                </w:p>
              </w:tc>
              <w:tc>
                <w:tcPr>
                  <w:tcW w:w="1118" w:type="dxa"/>
                  <w:tcBorders>
                    <w:tl2br w:val="nil"/>
                    <w:tr2bl w:val="nil"/>
                  </w:tcBorders>
                  <w:noWrap w:val="0"/>
                  <w:vAlign w:val="center"/>
                </w:tcPr>
                <w:p w14:paraId="505947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0.8</w:t>
                  </w:r>
                </w:p>
              </w:tc>
            </w:tr>
            <w:tr w14:paraId="4B93E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732" w:type="dxa"/>
                  <w:vMerge w:val="continue"/>
                  <w:tcBorders>
                    <w:tl2br w:val="nil"/>
                    <w:tr2bl w:val="nil"/>
                  </w:tcBorders>
                  <w:noWrap w:val="0"/>
                  <w:vAlign w:val="center"/>
                </w:tcPr>
                <w:p w14:paraId="4260AF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488" w:type="dxa"/>
                  <w:vMerge w:val="continue"/>
                  <w:tcBorders>
                    <w:tl2br w:val="nil"/>
                    <w:tr2bl w:val="nil"/>
                  </w:tcBorders>
                  <w:noWrap w:val="0"/>
                  <w:vAlign w:val="center"/>
                </w:tcPr>
                <w:p w14:paraId="3FCE7C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729" w:type="dxa"/>
                  <w:tcBorders>
                    <w:tl2br w:val="nil"/>
                    <w:tr2bl w:val="nil"/>
                  </w:tcBorders>
                  <w:noWrap w:val="0"/>
                  <w:vAlign w:val="center"/>
                </w:tcPr>
                <w:p w14:paraId="0CF59E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其他</w:t>
                  </w:r>
                </w:p>
              </w:tc>
              <w:tc>
                <w:tcPr>
                  <w:tcW w:w="1318" w:type="dxa"/>
                  <w:tcBorders>
                    <w:tl2br w:val="nil"/>
                    <w:tr2bl w:val="nil"/>
                  </w:tcBorders>
                  <w:noWrap w:val="0"/>
                  <w:vAlign w:val="center"/>
                </w:tcPr>
                <w:p w14:paraId="03B7DE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0.3</w:t>
                  </w:r>
                </w:p>
              </w:tc>
              <w:tc>
                <w:tcPr>
                  <w:tcW w:w="1967" w:type="dxa"/>
                  <w:tcBorders>
                    <w:tl2br w:val="nil"/>
                    <w:tr2bl w:val="nil"/>
                  </w:tcBorders>
                  <w:noWrap w:val="0"/>
                  <w:vAlign w:val="center"/>
                </w:tcPr>
                <w:p w14:paraId="3D25D0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0.3</w:t>
                  </w:r>
                </w:p>
              </w:tc>
              <w:tc>
                <w:tcPr>
                  <w:tcW w:w="1967" w:type="dxa"/>
                  <w:tcBorders>
                    <w:tl2br w:val="nil"/>
                    <w:tr2bl w:val="nil"/>
                  </w:tcBorders>
                  <w:noWrap w:val="0"/>
                  <w:vAlign w:val="center"/>
                </w:tcPr>
                <w:p w14:paraId="6E6EC3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0.3</w:t>
                  </w:r>
                </w:p>
              </w:tc>
              <w:tc>
                <w:tcPr>
                  <w:tcW w:w="1118" w:type="dxa"/>
                  <w:tcBorders>
                    <w:tl2br w:val="nil"/>
                    <w:tr2bl w:val="nil"/>
                  </w:tcBorders>
                  <w:noWrap w:val="0"/>
                  <w:vAlign w:val="center"/>
                </w:tcPr>
                <w:p w14:paraId="64CF2B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0.6</w:t>
                  </w:r>
                </w:p>
              </w:tc>
            </w:tr>
            <w:tr w14:paraId="57BD9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732" w:type="dxa"/>
                  <w:vMerge w:val="restart"/>
                  <w:tcBorders>
                    <w:tl2br w:val="nil"/>
                    <w:tr2bl w:val="nil"/>
                  </w:tcBorders>
                  <w:noWrap w:val="0"/>
                  <w:vAlign w:val="center"/>
                </w:tcPr>
                <w:p w14:paraId="3C8E1C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w:t>
                  </w:r>
                </w:p>
              </w:tc>
              <w:tc>
                <w:tcPr>
                  <w:tcW w:w="488" w:type="dxa"/>
                  <w:vMerge w:val="restart"/>
                  <w:tcBorders>
                    <w:tl2br w:val="nil"/>
                    <w:tr2bl w:val="nil"/>
                  </w:tcBorders>
                  <w:noWrap w:val="0"/>
                  <w:vAlign w:val="center"/>
                </w:tcPr>
                <w:p w14:paraId="5093A7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汞</w:t>
                  </w:r>
                </w:p>
              </w:tc>
              <w:tc>
                <w:tcPr>
                  <w:tcW w:w="729" w:type="dxa"/>
                  <w:tcBorders>
                    <w:tl2br w:val="nil"/>
                    <w:tr2bl w:val="nil"/>
                  </w:tcBorders>
                  <w:noWrap w:val="0"/>
                  <w:vAlign w:val="center"/>
                </w:tcPr>
                <w:p w14:paraId="55BBFC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水田</w:t>
                  </w:r>
                </w:p>
              </w:tc>
              <w:tc>
                <w:tcPr>
                  <w:tcW w:w="1318" w:type="dxa"/>
                  <w:tcBorders>
                    <w:tl2br w:val="nil"/>
                    <w:tr2bl w:val="nil"/>
                  </w:tcBorders>
                  <w:noWrap w:val="0"/>
                  <w:vAlign w:val="center"/>
                </w:tcPr>
                <w:p w14:paraId="58353E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0.5</w:t>
                  </w:r>
                </w:p>
              </w:tc>
              <w:tc>
                <w:tcPr>
                  <w:tcW w:w="1967" w:type="dxa"/>
                  <w:tcBorders>
                    <w:tl2br w:val="nil"/>
                    <w:tr2bl w:val="nil"/>
                  </w:tcBorders>
                  <w:noWrap w:val="0"/>
                  <w:vAlign w:val="center"/>
                </w:tcPr>
                <w:p w14:paraId="0AD62C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0.5</w:t>
                  </w:r>
                </w:p>
              </w:tc>
              <w:tc>
                <w:tcPr>
                  <w:tcW w:w="1967" w:type="dxa"/>
                  <w:tcBorders>
                    <w:tl2br w:val="nil"/>
                    <w:tr2bl w:val="nil"/>
                  </w:tcBorders>
                  <w:noWrap w:val="0"/>
                  <w:vAlign w:val="center"/>
                </w:tcPr>
                <w:p w14:paraId="23537C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0.6</w:t>
                  </w:r>
                </w:p>
              </w:tc>
              <w:tc>
                <w:tcPr>
                  <w:tcW w:w="1118" w:type="dxa"/>
                  <w:tcBorders>
                    <w:tl2br w:val="nil"/>
                    <w:tr2bl w:val="nil"/>
                  </w:tcBorders>
                  <w:noWrap w:val="0"/>
                  <w:vAlign w:val="center"/>
                </w:tcPr>
                <w:p w14:paraId="762AAC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1.0</w:t>
                  </w:r>
                </w:p>
              </w:tc>
            </w:tr>
            <w:tr w14:paraId="46373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732" w:type="dxa"/>
                  <w:vMerge w:val="continue"/>
                  <w:tcBorders>
                    <w:tl2br w:val="nil"/>
                    <w:tr2bl w:val="nil"/>
                  </w:tcBorders>
                  <w:noWrap w:val="0"/>
                  <w:vAlign w:val="center"/>
                </w:tcPr>
                <w:p w14:paraId="3838D8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488" w:type="dxa"/>
                  <w:vMerge w:val="continue"/>
                  <w:tcBorders>
                    <w:tl2br w:val="nil"/>
                    <w:tr2bl w:val="nil"/>
                  </w:tcBorders>
                  <w:noWrap w:val="0"/>
                  <w:vAlign w:val="center"/>
                </w:tcPr>
                <w:p w14:paraId="11F8E2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729" w:type="dxa"/>
                  <w:tcBorders>
                    <w:tl2br w:val="nil"/>
                    <w:tr2bl w:val="nil"/>
                  </w:tcBorders>
                  <w:noWrap w:val="0"/>
                  <w:vAlign w:val="center"/>
                </w:tcPr>
                <w:p w14:paraId="7B6C9A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其他</w:t>
                  </w:r>
                </w:p>
              </w:tc>
              <w:tc>
                <w:tcPr>
                  <w:tcW w:w="1318" w:type="dxa"/>
                  <w:tcBorders>
                    <w:tl2br w:val="nil"/>
                    <w:tr2bl w:val="nil"/>
                  </w:tcBorders>
                  <w:noWrap w:val="0"/>
                  <w:vAlign w:val="center"/>
                </w:tcPr>
                <w:p w14:paraId="72B109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1.3</w:t>
                  </w:r>
                </w:p>
              </w:tc>
              <w:tc>
                <w:tcPr>
                  <w:tcW w:w="1967" w:type="dxa"/>
                  <w:tcBorders>
                    <w:tl2br w:val="nil"/>
                    <w:tr2bl w:val="nil"/>
                  </w:tcBorders>
                  <w:noWrap w:val="0"/>
                  <w:vAlign w:val="center"/>
                </w:tcPr>
                <w:p w14:paraId="05CA17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1.8</w:t>
                  </w:r>
                </w:p>
              </w:tc>
              <w:tc>
                <w:tcPr>
                  <w:tcW w:w="1967" w:type="dxa"/>
                  <w:tcBorders>
                    <w:tl2br w:val="nil"/>
                    <w:tr2bl w:val="nil"/>
                  </w:tcBorders>
                  <w:noWrap w:val="0"/>
                  <w:vAlign w:val="center"/>
                </w:tcPr>
                <w:p w14:paraId="39AEFD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2.4</w:t>
                  </w:r>
                </w:p>
              </w:tc>
              <w:tc>
                <w:tcPr>
                  <w:tcW w:w="1118" w:type="dxa"/>
                  <w:tcBorders>
                    <w:tl2br w:val="nil"/>
                    <w:tr2bl w:val="nil"/>
                  </w:tcBorders>
                  <w:noWrap w:val="0"/>
                  <w:vAlign w:val="center"/>
                </w:tcPr>
                <w:p w14:paraId="797F3F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3.4</w:t>
                  </w:r>
                </w:p>
              </w:tc>
            </w:tr>
            <w:tr w14:paraId="58A0B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732" w:type="dxa"/>
                  <w:vMerge w:val="restart"/>
                  <w:tcBorders>
                    <w:tl2br w:val="nil"/>
                    <w:tr2bl w:val="nil"/>
                  </w:tcBorders>
                  <w:noWrap w:val="0"/>
                  <w:vAlign w:val="center"/>
                </w:tcPr>
                <w:p w14:paraId="586EFA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3</w:t>
                  </w:r>
                </w:p>
              </w:tc>
              <w:tc>
                <w:tcPr>
                  <w:tcW w:w="488" w:type="dxa"/>
                  <w:vMerge w:val="restart"/>
                  <w:tcBorders>
                    <w:tl2br w:val="nil"/>
                    <w:tr2bl w:val="nil"/>
                  </w:tcBorders>
                  <w:noWrap w:val="0"/>
                  <w:vAlign w:val="center"/>
                </w:tcPr>
                <w:p w14:paraId="439297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砷</w:t>
                  </w:r>
                </w:p>
              </w:tc>
              <w:tc>
                <w:tcPr>
                  <w:tcW w:w="729" w:type="dxa"/>
                  <w:tcBorders>
                    <w:tl2br w:val="nil"/>
                    <w:tr2bl w:val="nil"/>
                  </w:tcBorders>
                  <w:noWrap w:val="0"/>
                  <w:vAlign w:val="center"/>
                </w:tcPr>
                <w:p w14:paraId="4690F5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水田</w:t>
                  </w:r>
                </w:p>
              </w:tc>
              <w:tc>
                <w:tcPr>
                  <w:tcW w:w="1318" w:type="dxa"/>
                  <w:tcBorders>
                    <w:tl2br w:val="nil"/>
                    <w:tr2bl w:val="nil"/>
                  </w:tcBorders>
                  <w:noWrap w:val="0"/>
                  <w:vAlign w:val="center"/>
                </w:tcPr>
                <w:p w14:paraId="09622E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30</w:t>
                  </w:r>
                </w:p>
              </w:tc>
              <w:tc>
                <w:tcPr>
                  <w:tcW w:w="1967" w:type="dxa"/>
                  <w:tcBorders>
                    <w:tl2br w:val="nil"/>
                    <w:tr2bl w:val="nil"/>
                  </w:tcBorders>
                  <w:noWrap w:val="0"/>
                  <w:vAlign w:val="center"/>
                </w:tcPr>
                <w:p w14:paraId="507243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30</w:t>
                  </w:r>
                </w:p>
              </w:tc>
              <w:tc>
                <w:tcPr>
                  <w:tcW w:w="1967" w:type="dxa"/>
                  <w:tcBorders>
                    <w:tl2br w:val="nil"/>
                    <w:tr2bl w:val="nil"/>
                  </w:tcBorders>
                  <w:noWrap w:val="0"/>
                  <w:vAlign w:val="center"/>
                </w:tcPr>
                <w:p w14:paraId="1E633D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25</w:t>
                  </w:r>
                </w:p>
              </w:tc>
              <w:tc>
                <w:tcPr>
                  <w:tcW w:w="1118" w:type="dxa"/>
                  <w:tcBorders>
                    <w:tl2br w:val="nil"/>
                    <w:tr2bl w:val="nil"/>
                  </w:tcBorders>
                  <w:noWrap w:val="0"/>
                  <w:vAlign w:val="center"/>
                </w:tcPr>
                <w:p w14:paraId="595C54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20</w:t>
                  </w:r>
                </w:p>
              </w:tc>
            </w:tr>
            <w:tr w14:paraId="5B411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732" w:type="dxa"/>
                  <w:vMerge w:val="continue"/>
                  <w:tcBorders>
                    <w:tl2br w:val="nil"/>
                    <w:tr2bl w:val="nil"/>
                  </w:tcBorders>
                  <w:noWrap w:val="0"/>
                  <w:vAlign w:val="center"/>
                </w:tcPr>
                <w:p w14:paraId="515FD6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488" w:type="dxa"/>
                  <w:vMerge w:val="continue"/>
                  <w:tcBorders>
                    <w:tl2br w:val="nil"/>
                    <w:tr2bl w:val="nil"/>
                  </w:tcBorders>
                  <w:noWrap w:val="0"/>
                  <w:vAlign w:val="center"/>
                </w:tcPr>
                <w:p w14:paraId="14ED98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729" w:type="dxa"/>
                  <w:tcBorders>
                    <w:tl2br w:val="nil"/>
                    <w:tr2bl w:val="nil"/>
                  </w:tcBorders>
                  <w:noWrap w:val="0"/>
                  <w:vAlign w:val="center"/>
                </w:tcPr>
                <w:p w14:paraId="75C208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其他</w:t>
                  </w:r>
                </w:p>
              </w:tc>
              <w:tc>
                <w:tcPr>
                  <w:tcW w:w="1318" w:type="dxa"/>
                  <w:tcBorders>
                    <w:tl2br w:val="nil"/>
                    <w:tr2bl w:val="nil"/>
                  </w:tcBorders>
                  <w:noWrap w:val="0"/>
                  <w:vAlign w:val="center"/>
                </w:tcPr>
                <w:p w14:paraId="43261B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40</w:t>
                  </w:r>
                </w:p>
              </w:tc>
              <w:tc>
                <w:tcPr>
                  <w:tcW w:w="1967" w:type="dxa"/>
                  <w:tcBorders>
                    <w:tl2br w:val="nil"/>
                    <w:tr2bl w:val="nil"/>
                  </w:tcBorders>
                  <w:noWrap w:val="0"/>
                  <w:vAlign w:val="center"/>
                </w:tcPr>
                <w:p w14:paraId="2DDC42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40</w:t>
                  </w:r>
                </w:p>
              </w:tc>
              <w:tc>
                <w:tcPr>
                  <w:tcW w:w="1967" w:type="dxa"/>
                  <w:tcBorders>
                    <w:tl2br w:val="nil"/>
                    <w:tr2bl w:val="nil"/>
                  </w:tcBorders>
                  <w:noWrap w:val="0"/>
                  <w:vAlign w:val="center"/>
                </w:tcPr>
                <w:p w14:paraId="339A1F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30</w:t>
                  </w:r>
                </w:p>
              </w:tc>
              <w:tc>
                <w:tcPr>
                  <w:tcW w:w="1118" w:type="dxa"/>
                  <w:tcBorders>
                    <w:tl2br w:val="nil"/>
                    <w:tr2bl w:val="nil"/>
                  </w:tcBorders>
                  <w:noWrap w:val="0"/>
                  <w:vAlign w:val="center"/>
                </w:tcPr>
                <w:p w14:paraId="7AA3B2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25</w:t>
                  </w:r>
                </w:p>
              </w:tc>
            </w:tr>
            <w:tr w14:paraId="46BDB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732" w:type="dxa"/>
                  <w:vMerge w:val="restart"/>
                  <w:tcBorders>
                    <w:tl2br w:val="nil"/>
                    <w:tr2bl w:val="nil"/>
                  </w:tcBorders>
                  <w:noWrap w:val="0"/>
                  <w:vAlign w:val="center"/>
                </w:tcPr>
                <w:p w14:paraId="16E798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4</w:t>
                  </w:r>
                </w:p>
              </w:tc>
              <w:tc>
                <w:tcPr>
                  <w:tcW w:w="488" w:type="dxa"/>
                  <w:vMerge w:val="restart"/>
                  <w:tcBorders>
                    <w:tl2br w:val="nil"/>
                    <w:tr2bl w:val="nil"/>
                  </w:tcBorders>
                  <w:noWrap w:val="0"/>
                  <w:vAlign w:val="center"/>
                </w:tcPr>
                <w:p w14:paraId="4BE098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铅</w:t>
                  </w:r>
                </w:p>
              </w:tc>
              <w:tc>
                <w:tcPr>
                  <w:tcW w:w="729" w:type="dxa"/>
                  <w:tcBorders>
                    <w:tl2br w:val="nil"/>
                    <w:tr2bl w:val="nil"/>
                  </w:tcBorders>
                  <w:noWrap w:val="0"/>
                  <w:vAlign w:val="center"/>
                </w:tcPr>
                <w:p w14:paraId="2C7162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水田</w:t>
                  </w:r>
                </w:p>
              </w:tc>
              <w:tc>
                <w:tcPr>
                  <w:tcW w:w="1318" w:type="dxa"/>
                  <w:tcBorders>
                    <w:tl2br w:val="nil"/>
                    <w:tr2bl w:val="nil"/>
                  </w:tcBorders>
                  <w:noWrap w:val="0"/>
                  <w:vAlign w:val="center"/>
                </w:tcPr>
                <w:p w14:paraId="063C4E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80</w:t>
                  </w:r>
                </w:p>
              </w:tc>
              <w:tc>
                <w:tcPr>
                  <w:tcW w:w="1967" w:type="dxa"/>
                  <w:tcBorders>
                    <w:tl2br w:val="nil"/>
                    <w:tr2bl w:val="nil"/>
                  </w:tcBorders>
                  <w:noWrap w:val="0"/>
                  <w:vAlign w:val="center"/>
                </w:tcPr>
                <w:p w14:paraId="18677A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100</w:t>
                  </w:r>
                </w:p>
              </w:tc>
              <w:tc>
                <w:tcPr>
                  <w:tcW w:w="1967" w:type="dxa"/>
                  <w:tcBorders>
                    <w:tl2br w:val="nil"/>
                    <w:tr2bl w:val="nil"/>
                  </w:tcBorders>
                  <w:noWrap w:val="0"/>
                  <w:vAlign w:val="center"/>
                </w:tcPr>
                <w:p w14:paraId="7B47F7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140</w:t>
                  </w:r>
                </w:p>
              </w:tc>
              <w:tc>
                <w:tcPr>
                  <w:tcW w:w="1118" w:type="dxa"/>
                  <w:tcBorders>
                    <w:tl2br w:val="nil"/>
                    <w:tr2bl w:val="nil"/>
                  </w:tcBorders>
                  <w:noWrap w:val="0"/>
                  <w:vAlign w:val="center"/>
                </w:tcPr>
                <w:p w14:paraId="194CED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240</w:t>
                  </w:r>
                </w:p>
              </w:tc>
            </w:tr>
            <w:tr w14:paraId="635BA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732" w:type="dxa"/>
                  <w:vMerge w:val="continue"/>
                  <w:tcBorders>
                    <w:tl2br w:val="nil"/>
                    <w:tr2bl w:val="nil"/>
                  </w:tcBorders>
                  <w:noWrap w:val="0"/>
                  <w:vAlign w:val="center"/>
                </w:tcPr>
                <w:p w14:paraId="13A6C5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488" w:type="dxa"/>
                  <w:vMerge w:val="continue"/>
                  <w:tcBorders>
                    <w:tl2br w:val="nil"/>
                    <w:tr2bl w:val="nil"/>
                  </w:tcBorders>
                  <w:noWrap w:val="0"/>
                  <w:vAlign w:val="center"/>
                </w:tcPr>
                <w:p w14:paraId="0B7A05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729" w:type="dxa"/>
                  <w:tcBorders>
                    <w:tl2br w:val="nil"/>
                    <w:tr2bl w:val="nil"/>
                  </w:tcBorders>
                  <w:noWrap w:val="0"/>
                  <w:vAlign w:val="center"/>
                </w:tcPr>
                <w:p w14:paraId="2ADBC6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其他</w:t>
                  </w:r>
                </w:p>
              </w:tc>
              <w:tc>
                <w:tcPr>
                  <w:tcW w:w="1318" w:type="dxa"/>
                  <w:tcBorders>
                    <w:tl2br w:val="nil"/>
                    <w:tr2bl w:val="nil"/>
                  </w:tcBorders>
                  <w:noWrap w:val="0"/>
                  <w:vAlign w:val="center"/>
                </w:tcPr>
                <w:p w14:paraId="544532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70</w:t>
                  </w:r>
                </w:p>
              </w:tc>
              <w:tc>
                <w:tcPr>
                  <w:tcW w:w="1967" w:type="dxa"/>
                  <w:tcBorders>
                    <w:tl2br w:val="nil"/>
                    <w:tr2bl w:val="nil"/>
                  </w:tcBorders>
                  <w:noWrap w:val="0"/>
                  <w:vAlign w:val="center"/>
                </w:tcPr>
                <w:p w14:paraId="703801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90</w:t>
                  </w:r>
                </w:p>
              </w:tc>
              <w:tc>
                <w:tcPr>
                  <w:tcW w:w="1967" w:type="dxa"/>
                  <w:tcBorders>
                    <w:tl2br w:val="nil"/>
                    <w:tr2bl w:val="nil"/>
                  </w:tcBorders>
                  <w:noWrap w:val="0"/>
                  <w:vAlign w:val="center"/>
                </w:tcPr>
                <w:p w14:paraId="1DF73A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120</w:t>
                  </w:r>
                </w:p>
              </w:tc>
              <w:tc>
                <w:tcPr>
                  <w:tcW w:w="1118" w:type="dxa"/>
                  <w:tcBorders>
                    <w:tl2br w:val="nil"/>
                    <w:tr2bl w:val="nil"/>
                  </w:tcBorders>
                  <w:noWrap w:val="0"/>
                  <w:vAlign w:val="center"/>
                </w:tcPr>
                <w:p w14:paraId="72DA74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170</w:t>
                  </w:r>
                </w:p>
              </w:tc>
            </w:tr>
            <w:tr w14:paraId="63FE9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732" w:type="dxa"/>
                  <w:vMerge w:val="restart"/>
                  <w:tcBorders>
                    <w:tl2br w:val="nil"/>
                    <w:tr2bl w:val="nil"/>
                  </w:tcBorders>
                  <w:noWrap w:val="0"/>
                  <w:vAlign w:val="center"/>
                </w:tcPr>
                <w:p w14:paraId="06A4AA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5</w:t>
                  </w:r>
                </w:p>
              </w:tc>
              <w:tc>
                <w:tcPr>
                  <w:tcW w:w="488" w:type="dxa"/>
                  <w:vMerge w:val="restart"/>
                  <w:tcBorders>
                    <w:tl2br w:val="nil"/>
                    <w:tr2bl w:val="nil"/>
                  </w:tcBorders>
                  <w:noWrap w:val="0"/>
                  <w:vAlign w:val="center"/>
                </w:tcPr>
                <w:p w14:paraId="598206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铬</w:t>
                  </w:r>
                </w:p>
              </w:tc>
              <w:tc>
                <w:tcPr>
                  <w:tcW w:w="729" w:type="dxa"/>
                  <w:tcBorders>
                    <w:tl2br w:val="nil"/>
                    <w:tr2bl w:val="nil"/>
                  </w:tcBorders>
                  <w:noWrap w:val="0"/>
                  <w:vAlign w:val="center"/>
                </w:tcPr>
                <w:p w14:paraId="55ABD0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水田</w:t>
                  </w:r>
                </w:p>
              </w:tc>
              <w:tc>
                <w:tcPr>
                  <w:tcW w:w="1318" w:type="dxa"/>
                  <w:tcBorders>
                    <w:tl2br w:val="nil"/>
                    <w:tr2bl w:val="nil"/>
                  </w:tcBorders>
                  <w:noWrap w:val="0"/>
                  <w:vAlign w:val="center"/>
                </w:tcPr>
                <w:p w14:paraId="29C5A7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250</w:t>
                  </w:r>
                </w:p>
              </w:tc>
              <w:tc>
                <w:tcPr>
                  <w:tcW w:w="1967" w:type="dxa"/>
                  <w:tcBorders>
                    <w:tl2br w:val="nil"/>
                    <w:tr2bl w:val="nil"/>
                  </w:tcBorders>
                  <w:noWrap w:val="0"/>
                  <w:vAlign w:val="center"/>
                </w:tcPr>
                <w:p w14:paraId="4C30AA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250</w:t>
                  </w:r>
                </w:p>
              </w:tc>
              <w:tc>
                <w:tcPr>
                  <w:tcW w:w="1967" w:type="dxa"/>
                  <w:tcBorders>
                    <w:tl2br w:val="nil"/>
                    <w:tr2bl w:val="nil"/>
                  </w:tcBorders>
                  <w:noWrap w:val="0"/>
                  <w:vAlign w:val="center"/>
                </w:tcPr>
                <w:p w14:paraId="3B5DD5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300</w:t>
                  </w:r>
                </w:p>
              </w:tc>
              <w:tc>
                <w:tcPr>
                  <w:tcW w:w="1118" w:type="dxa"/>
                  <w:tcBorders>
                    <w:tl2br w:val="nil"/>
                    <w:tr2bl w:val="nil"/>
                  </w:tcBorders>
                  <w:noWrap w:val="0"/>
                  <w:vAlign w:val="center"/>
                </w:tcPr>
                <w:p w14:paraId="599EF3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350</w:t>
                  </w:r>
                </w:p>
              </w:tc>
            </w:tr>
            <w:tr w14:paraId="680E9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732" w:type="dxa"/>
                  <w:vMerge w:val="continue"/>
                  <w:tcBorders>
                    <w:tl2br w:val="nil"/>
                    <w:tr2bl w:val="nil"/>
                  </w:tcBorders>
                  <w:noWrap w:val="0"/>
                  <w:vAlign w:val="center"/>
                </w:tcPr>
                <w:p w14:paraId="7939EF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488" w:type="dxa"/>
                  <w:vMerge w:val="continue"/>
                  <w:tcBorders>
                    <w:tl2br w:val="nil"/>
                    <w:tr2bl w:val="nil"/>
                  </w:tcBorders>
                  <w:noWrap w:val="0"/>
                  <w:vAlign w:val="center"/>
                </w:tcPr>
                <w:p w14:paraId="2002AB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729" w:type="dxa"/>
                  <w:tcBorders>
                    <w:tl2br w:val="nil"/>
                    <w:tr2bl w:val="nil"/>
                  </w:tcBorders>
                  <w:noWrap w:val="0"/>
                  <w:vAlign w:val="center"/>
                </w:tcPr>
                <w:p w14:paraId="00BF81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其他</w:t>
                  </w:r>
                </w:p>
              </w:tc>
              <w:tc>
                <w:tcPr>
                  <w:tcW w:w="1318" w:type="dxa"/>
                  <w:tcBorders>
                    <w:tl2br w:val="nil"/>
                    <w:tr2bl w:val="nil"/>
                  </w:tcBorders>
                  <w:noWrap w:val="0"/>
                  <w:vAlign w:val="center"/>
                </w:tcPr>
                <w:p w14:paraId="1E6E05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150</w:t>
                  </w:r>
                </w:p>
              </w:tc>
              <w:tc>
                <w:tcPr>
                  <w:tcW w:w="1967" w:type="dxa"/>
                  <w:tcBorders>
                    <w:tl2br w:val="nil"/>
                    <w:tr2bl w:val="nil"/>
                  </w:tcBorders>
                  <w:noWrap w:val="0"/>
                  <w:vAlign w:val="center"/>
                </w:tcPr>
                <w:p w14:paraId="4A3AF5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150</w:t>
                  </w:r>
                </w:p>
              </w:tc>
              <w:tc>
                <w:tcPr>
                  <w:tcW w:w="1967" w:type="dxa"/>
                  <w:tcBorders>
                    <w:tl2br w:val="nil"/>
                    <w:tr2bl w:val="nil"/>
                  </w:tcBorders>
                  <w:noWrap w:val="0"/>
                  <w:vAlign w:val="center"/>
                </w:tcPr>
                <w:p w14:paraId="21A1D9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200</w:t>
                  </w:r>
                </w:p>
              </w:tc>
              <w:tc>
                <w:tcPr>
                  <w:tcW w:w="1118" w:type="dxa"/>
                  <w:tcBorders>
                    <w:tl2br w:val="nil"/>
                    <w:tr2bl w:val="nil"/>
                  </w:tcBorders>
                  <w:noWrap w:val="0"/>
                  <w:vAlign w:val="center"/>
                </w:tcPr>
                <w:p w14:paraId="09C7E0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250</w:t>
                  </w:r>
                </w:p>
              </w:tc>
            </w:tr>
            <w:tr w14:paraId="17BDF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732" w:type="dxa"/>
                  <w:vMerge w:val="restart"/>
                  <w:tcBorders>
                    <w:tl2br w:val="nil"/>
                    <w:tr2bl w:val="nil"/>
                  </w:tcBorders>
                  <w:noWrap w:val="0"/>
                  <w:vAlign w:val="center"/>
                </w:tcPr>
                <w:p w14:paraId="3E3474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6</w:t>
                  </w:r>
                </w:p>
              </w:tc>
              <w:tc>
                <w:tcPr>
                  <w:tcW w:w="488" w:type="dxa"/>
                  <w:vMerge w:val="restart"/>
                  <w:tcBorders>
                    <w:tl2br w:val="nil"/>
                    <w:tr2bl w:val="nil"/>
                  </w:tcBorders>
                  <w:noWrap w:val="0"/>
                  <w:vAlign w:val="center"/>
                </w:tcPr>
                <w:p w14:paraId="75A077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铜</w:t>
                  </w:r>
                </w:p>
              </w:tc>
              <w:tc>
                <w:tcPr>
                  <w:tcW w:w="729" w:type="dxa"/>
                  <w:tcBorders>
                    <w:tl2br w:val="nil"/>
                    <w:tr2bl w:val="nil"/>
                  </w:tcBorders>
                  <w:noWrap w:val="0"/>
                  <w:vAlign w:val="center"/>
                </w:tcPr>
                <w:p w14:paraId="0EC8F6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果园</w:t>
                  </w:r>
                </w:p>
              </w:tc>
              <w:tc>
                <w:tcPr>
                  <w:tcW w:w="1318" w:type="dxa"/>
                  <w:tcBorders>
                    <w:tl2br w:val="nil"/>
                    <w:tr2bl w:val="nil"/>
                  </w:tcBorders>
                  <w:noWrap w:val="0"/>
                  <w:vAlign w:val="center"/>
                </w:tcPr>
                <w:p w14:paraId="6C170E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150</w:t>
                  </w:r>
                </w:p>
              </w:tc>
              <w:tc>
                <w:tcPr>
                  <w:tcW w:w="1967" w:type="dxa"/>
                  <w:tcBorders>
                    <w:tl2br w:val="nil"/>
                    <w:tr2bl w:val="nil"/>
                  </w:tcBorders>
                  <w:noWrap w:val="0"/>
                  <w:vAlign w:val="center"/>
                </w:tcPr>
                <w:p w14:paraId="35BF24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150</w:t>
                  </w:r>
                </w:p>
              </w:tc>
              <w:tc>
                <w:tcPr>
                  <w:tcW w:w="1967" w:type="dxa"/>
                  <w:tcBorders>
                    <w:tl2br w:val="nil"/>
                    <w:tr2bl w:val="nil"/>
                  </w:tcBorders>
                  <w:noWrap w:val="0"/>
                  <w:vAlign w:val="center"/>
                </w:tcPr>
                <w:p w14:paraId="1FF921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200</w:t>
                  </w:r>
                </w:p>
              </w:tc>
              <w:tc>
                <w:tcPr>
                  <w:tcW w:w="1118" w:type="dxa"/>
                  <w:tcBorders>
                    <w:tl2br w:val="nil"/>
                    <w:tr2bl w:val="nil"/>
                  </w:tcBorders>
                  <w:noWrap w:val="0"/>
                  <w:vAlign w:val="center"/>
                </w:tcPr>
                <w:p w14:paraId="46C5D9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200</w:t>
                  </w:r>
                </w:p>
              </w:tc>
            </w:tr>
            <w:tr w14:paraId="4BE6E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732" w:type="dxa"/>
                  <w:vMerge w:val="continue"/>
                  <w:tcBorders>
                    <w:tl2br w:val="nil"/>
                    <w:tr2bl w:val="nil"/>
                  </w:tcBorders>
                  <w:noWrap w:val="0"/>
                  <w:vAlign w:val="center"/>
                </w:tcPr>
                <w:p w14:paraId="7CFD09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488" w:type="dxa"/>
                  <w:vMerge w:val="continue"/>
                  <w:tcBorders>
                    <w:tl2br w:val="nil"/>
                    <w:tr2bl w:val="nil"/>
                  </w:tcBorders>
                  <w:noWrap w:val="0"/>
                  <w:vAlign w:val="center"/>
                </w:tcPr>
                <w:p w14:paraId="7E1E20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p>
              </w:tc>
              <w:tc>
                <w:tcPr>
                  <w:tcW w:w="729" w:type="dxa"/>
                  <w:tcBorders>
                    <w:tl2br w:val="nil"/>
                    <w:tr2bl w:val="nil"/>
                  </w:tcBorders>
                  <w:noWrap w:val="0"/>
                  <w:vAlign w:val="center"/>
                </w:tcPr>
                <w:p w14:paraId="3CF60F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其他</w:t>
                  </w:r>
                </w:p>
              </w:tc>
              <w:tc>
                <w:tcPr>
                  <w:tcW w:w="1318" w:type="dxa"/>
                  <w:tcBorders>
                    <w:tl2br w:val="nil"/>
                    <w:tr2bl w:val="nil"/>
                  </w:tcBorders>
                  <w:noWrap w:val="0"/>
                  <w:vAlign w:val="center"/>
                </w:tcPr>
                <w:p w14:paraId="27AAEA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50</w:t>
                  </w:r>
                </w:p>
              </w:tc>
              <w:tc>
                <w:tcPr>
                  <w:tcW w:w="1967" w:type="dxa"/>
                  <w:tcBorders>
                    <w:tl2br w:val="nil"/>
                    <w:tr2bl w:val="nil"/>
                  </w:tcBorders>
                  <w:noWrap w:val="0"/>
                  <w:vAlign w:val="center"/>
                </w:tcPr>
                <w:p w14:paraId="3BEBC5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50</w:t>
                  </w:r>
                </w:p>
              </w:tc>
              <w:tc>
                <w:tcPr>
                  <w:tcW w:w="1967" w:type="dxa"/>
                  <w:tcBorders>
                    <w:tl2br w:val="nil"/>
                    <w:tr2bl w:val="nil"/>
                  </w:tcBorders>
                  <w:noWrap w:val="0"/>
                  <w:vAlign w:val="center"/>
                </w:tcPr>
                <w:p w14:paraId="76505C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100</w:t>
                  </w:r>
                </w:p>
              </w:tc>
              <w:tc>
                <w:tcPr>
                  <w:tcW w:w="1118" w:type="dxa"/>
                  <w:tcBorders>
                    <w:tl2br w:val="nil"/>
                    <w:tr2bl w:val="nil"/>
                  </w:tcBorders>
                  <w:noWrap w:val="0"/>
                  <w:vAlign w:val="center"/>
                </w:tcPr>
                <w:p w14:paraId="5B5386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100</w:t>
                  </w:r>
                </w:p>
              </w:tc>
            </w:tr>
            <w:tr w14:paraId="0C246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732" w:type="dxa"/>
                  <w:tcBorders>
                    <w:tl2br w:val="nil"/>
                    <w:tr2bl w:val="nil"/>
                  </w:tcBorders>
                  <w:noWrap w:val="0"/>
                  <w:vAlign w:val="center"/>
                </w:tcPr>
                <w:p w14:paraId="70EBA2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7</w:t>
                  </w:r>
                </w:p>
              </w:tc>
              <w:tc>
                <w:tcPr>
                  <w:tcW w:w="1217" w:type="dxa"/>
                  <w:gridSpan w:val="2"/>
                  <w:tcBorders>
                    <w:tl2br w:val="nil"/>
                    <w:tr2bl w:val="nil"/>
                  </w:tcBorders>
                  <w:noWrap w:val="0"/>
                  <w:vAlign w:val="center"/>
                </w:tcPr>
                <w:p w14:paraId="3C1715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镍</w:t>
                  </w:r>
                </w:p>
              </w:tc>
              <w:tc>
                <w:tcPr>
                  <w:tcW w:w="1318" w:type="dxa"/>
                  <w:tcBorders>
                    <w:tl2br w:val="nil"/>
                    <w:tr2bl w:val="nil"/>
                  </w:tcBorders>
                  <w:noWrap w:val="0"/>
                  <w:vAlign w:val="center"/>
                </w:tcPr>
                <w:p w14:paraId="60C6F7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60</w:t>
                  </w:r>
                </w:p>
              </w:tc>
              <w:tc>
                <w:tcPr>
                  <w:tcW w:w="1967" w:type="dxa"/>
                  <w:tcBorders>
                    <w:tl2br w:val="nil"/>
                    <w:tr2bl w:val="nil"/>
                  </w:tcBorders>
                  <w:noWrap w:val="0"/>
                  <w:vAlign w:val="center"/>
                </w:tcPr>
                <w:p w14:paraId="0A4E9A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70</w:t>
                  </w:r>
                </w:p>
              </w:tc>
              <w:tc>
                <w:tcPr>
                  <w:tcW w:w="1967" w:type="dxa"/>
                  <w:tcBorders>
                    <w:tl2br w:val="nil"/>
                    <w:tr2bl w:val="nil"/>
                  </w:tcBorders>
                  <w:noWrap w:val="0"/>
                  <w:vAlign w:val="center"/>
                </w:tcPr>
                <w:p w14:paraId="5A3810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100</w:t>
                  </w:r>
                </w:p>
              </w:tc>
              <w:tc>
                <w:tcPr>
                  <w:tcW w:w="1118" w:type="dxa"/>
                  <w:tcBorders>
                    <w:tl2br w:val="nil"/>
                    <w:tr2bl w:val="nil"/>
                  </w:tcBorders>
                  <w:noWrap w:val="0"/>
                  <w:vAlign w:val="center"/>
                </w:tcPr>
                <w:p w14:paraId="0067E8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190</w:t>
                  </w:r>
                </w:p>
              </w:tc>
            </w:tr>
            <w:tr w14:paraId="23C25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732" w:type="dxa"/>
                  <w:tcBorders>
                    <w:tl2br w:val="nil"/>
                    <w:tr2bl w:val="nil"/>
                  </w:tcBorders>
                  <w:noWrap w:val="0"/>
                  <w:vAlign w:val="center"/>
                </w:tcPr>
                <w:p w14:paraId="11F58A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8</w:t>
                  </w:r>
                </w:p>
              </w:tc>
              <w:tc>
                <w:tcPr>
                  <w:tcW w:w="1217" w:type="dxa"/>
                  <w:gridSpan w:val="2"/>
                  <w:tcBorders>
                    <w:tl2br w:val="nil"/>
                    <w:tr2bl w:val="nil"/>
                  </w:tcBorders>
                  <w:noWrap w:val="0"/>
                  <w:vAlign w:val="center"/>
                </w:tcPr>
                <w:p w14:paraId="56A8C7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锌</w:t>
                  </w:r>
                </w:p>
              </w:tc>
              <w:tc>
                <w:tcPr>
                  <w:tcW w:w="1318" w:type="dxa"/>
                  <w:tcBorders>
                    <w:tl2br w:val="nil"/>
                    <w:tr2bl w:val="nil"/>
                  </w:tcBorders>
                  <w:noWrap w:val="0"/>
                  <w:vAlign w:val="center"/>
                </w:tcPr>
                <w:p w14:paraId="7CCCF6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200</w:t>
                  </w:r>
                </w:p>
              </w:tc>
              <w:tc>
                <w:tcPr>
                  <w:tcW w:w="1967" w:type="dxa"/>
                  <w:tcBorders>
                    <w:tl2br w:val="nil"/>
                    <w:tr2bl w:val="nil"/>
                  </w:tcBorders>
                  <w:noWrap w:val="0"/>
                  <w:vAlign w:val="center"/>
                </w:tcPr>
                <w:p w14:paraId="0FD9AE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200</w:t>
                  </w:r>
                </w:p>
              </w:tc>
              <w:tc>
                <w:tcPr>
                  <w:tcW w:w="1967" w:type="dxa"/>
                  <w:tcBorders>
                    <w:tl2br w:val="nil"/>
                    <w:tr2bl w:val="nil"/>
                  </w:tcBorders>
                  <w:noWrap w:val="0"/>
                  <w:vAlign w:val="center"/>
                </w:tcPr>
                <w:p w14:paraId="6D91E7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250</w:t>
                  </w:r>
                </w:p>
              </w:tc>
              <w:tc>
                <w:tcPr>
                  <w:tcW w:w="1118" w:type="dxa"/>
                  <w:tcBorders>
                    <w:tl2br w:val="nil"/>
                    <w:tr2bl w:val="nil"/>
                  </w:tcBorders>
                  <w:noWrap w:val="0"/>
                  <w:vAlign w:val="center"/>
                </w:tcPr>
                <w:p w14:paraId="2A4BB7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300</w:t>
                  </w:r>
                </w:p>
              </w:tc>
            </w:tr>
          </w:tbl>
          <w:p w14:paraId="0E487FAD">
            <w:pPr>
              <w:pStyle w:val="60"/>
              <w:numPr>
                <w:ilvl w:val="0"/>
                <w:numId w:val="0"/>
              </w:numPr>
              <w:rPr>
                <w:rFonts w:hint="default"/>
                <w:lang w:val="en-US" w:eastAsia="zh-CN"/>
              </w:rPr>
            </w:pPr>
          </w:p>
          <w:p w14:paraId="1EA23E39">
            <w:pPr>
              <w:adjustRightInd w:val="0"/>
              <w:snapToGrid w:val="0"/>
              <w:spacing w:line="360" w:lineRule="auto"/>
              <w:ind w:firstLine="482" w:firstLineChars="200"/>
              <w:rPr>
                <w:b/>
                <w:color w:val="000000"/>
                <w:sz w:val="24"/>
              </w:rPr>
            </w:pPr>
            <w:r>
              <w:rPr>
                <w:rFonts w:hint="eastAsia"/>
                <w:b/>
                <w:color w:val="000000"/>
                <w:sz w:val="24"/>
              </w:rPr>
              <w:t>2、污染物排放标准</w:t>
            </w:r>
          </w:p>
          <w:p w14:paraId="5DAADE8B">
            <w:pPr>
              <w:autoSpaceDE w:val="0"/>
              <w:autoSpaceDN w:val="0"/>
              <w:spacing w:line="360" w:lineRule="auto"/>
              <w:ind w:firstLine="480" w:firstLineChars="200"/>
            </w:pPr>
            <w:r>
              <w:rPr>
                <w:rFonts w:hint="eastAsia"/>
                <w:color w:val="000000"/>
                <w:sz w:val="24"/>
              </w:rPr>
              <w:t>（1）</w:t>
            </w:r>
            <w:r>
              <w:rPr>
                <w:color w:val="000000"/>
                <w:sz w:val="24"/>
              </w:rPr>
              <w:t>废水：</w:t>
            </w:r>
            <w:r>
              <w:rPr>
                <w:rFonts w:hint="default" w:ascii="Times New Roman"/>
                <w:b w:val="0"/>
                <w:bCs w:val="0"/>
                <w:color w:val="auto"/>
                <w:sz w:val="24"/>
                <w:u w:val="none"/>
                <w:lang w:val="en-US" w:eastAsia="zh-CN"/>
              </w:rPr>
              <w:t>施工机械含油废水</w:t>
            </w:r>
            <w:r>
              <w:rPr>
                <w:rFonts w:hint="eastAsia" w:ascii="Times New Roman"/>
                <w:b w:val="0"/>
                <w:bCs w:val="0"/>
                <w:color w:val="auto"/>
                <w:sz w:val="24"/>
                <w:u w:val="none"/>
                <w:lang w:val="en-US" w:eastAsia="zh-CN"/>
              </w:rPr>
              <w:t>、冲洗废水经临时隔油池、沉淀池处理后回用，不外排。</w:t>
            </w:r>
            <w:r>
              <w:rPr>
                <w:rFonts w:hint="default" w:ascii="Times New Roman" w:hAnsi="Times New Roman" w:eastAsia="宋体" w:cs="Times New Roman"/>
                <w:b w:val="0"/>
                <w:bCs w:val="0"/>
                <w:color w:val="auto"/>
                <w:spacing w:val="-1"/>
                <w:sz w:val="24"/>
                <w:szCs w:val="24"/>
                <w:u w:val="none"/>
              </w:rPr>
              <w:t>施工期</w:t>
            </w:r>
            <w:r>
              <w:rPr>
                <w:rFonts w:hint="default" w:ascii="Times New Roman" w:hAnsi="Times New Roman" w:eastAsia="宋体" w:cs="Times New Roman"/>
                <w:b w:val="0"/>
                <w:bCs w:val="0"/>
                <w:color w:val="auto"/>
                <w:spacing w:val="-3"/>
                <w:sz w:val="24"/>
                <w:szCs w:val="24"/>
                <w:u w:val="none"/>
              </w:rPr>
              <w:t>生活污水</w:t>
            </w:r>
            <w:r>
              <w:rPr>
                <w:rFonts w:hint="eastAsia" w:ascii="Times New Roman" w:hAnsi="Times New Roman" w:eastAsia="宋体" w:cs="Times New Roman"/>
                <w:b w:val="0"/>
                <w:bCs w:val="0"/>
                <w:color w:val="auto"/>
                <w:spacing w:val="-3"/>
                <w:sz w:val="24"/>
                <w:szCs w:val="24"/>
                <w:u w:val="none"/>
                <w:lang w:eastAsia="zh-CN"/>
              </w:rPr>
              <w:t>通过就近民房化粪池处理后</w:t>
            </w:r>
            <w:r>
              <w:rPr>
                <w:rFonts w:hint="eastAsia" w:ascii="Times New Roman" w:hAnsi="Times New Roman" w:eastAsia="宋体" w:cs="Times New Roman"/>
                <w:b w:val="0"/>
                <w:bCs w:val="0"/>
                <w:color w:val="auto"/>
                <w:spacing w:val="-3"/>
                <w:sz w:val="24"/>
                <w:szCs w:val="24"/>
                <w:u w:val="none"/>
                <w:lang w:val="en-US" w:eastAsia="zh-CN"/>
              </w:rPr>
              <w:t>用于农肥</w:t>
            </w:r>
            <w:r>
              <w:rPr>
                <w:rFonts w:hint="eastAsia" w:ascii="Times New Roman"/>
                <w:b w:val="0"/>
                <w:bCs w:val="0"/>
                <w:color w:val="auto"/>
                <w:sz w:val="24"/>
                <w:u w:val="none"/>
                <w:lang w:val="en-US" w:eastAsia="zh-CN"/>
              </w:rPr>
              <w:t>。</w:t>
            </w:r>
            <w:r>
              <w:rPr>
                <w:rFonts w:hint="eastAsia"/>
                <w:b w:val="0"/>
                <w:bCs w:val="0"/>
                <w:color w:val="auto"/>
                <w:sz w:val="24"/>
                <w:u w:val="none"/>
                <w:lang w:val="en-US" w:eastAsia="zh-CN"/>
              </w:rPr>
              <w:t>运营期值班人员生活污水经</w:t>
            </w:r>
            <w:r>
              <w:rPr>
                <w:rFonts w:hint="eastAsia" w:ascii="Times New Roman" w:hAnsi="Times New Roman" w:eastAsia="宋体" w:cs="Times New Roman"/>
                <w:b w:val="0"/>
                <w:bCs w:val="0"/>
                <w:color w:val="auto"/>
                <w:spacing w:val="-3"/>
                <w:sz w:val="24"/>
                <w:szCs w:val="24"/>
                <w:u w:val="none"/>
                <w:lang w:eastAsia="zh-CN"/>
              </w:rPr>
              <w:t>化粪池处理后</w:t>
            </w:r>
            <w:r>
              <w:rPr>
                <w:rFonts w:hint="eastAsia" w:ascii="Times New Roman" w:hAnsi="Times New Roman" w:eastAsia="宋体" w:cs="Times New Roman"/>
                <w:b w:val="0"/>
                <w:bCs w:val="0"/>
                <w:color w:val="auto"/>
                <w:spacing w:val="-3"/>
                <w:sz w:val="24"/>
                <w:szCs w:val="24"/>
                <w:u w:val="none"/>
                <w:lang w:val="en-US" w:eastAsia="zh-CN"/>
              </w:rPr>
              <w:t>用于农肥，不外排</w:t>
            </w:r>
            <w:r>
              <w:rPr>
                <w:rFonts w:hint="eastAsia"/>
              </w:rPr>
              <w:t>。</w:t>
            </w:r>
          </w:p>
          <w:p w14:paraId="5510C05F">
            <w:pPr>
              <w:widowControl/>
              <w:spacing w:line="480" w:lineRule="exact"/>
              <w:ind w:firstLine="480" w:firstLineChars="200"/>
              <w:rPr>
                <w:color w:val="000000"/>
                <w:sz w:val="24"/>
              </w:rPr>
            </w:pPr>
            <w:r>
              <w:rPr>
                <w:rFonts w:hint="eastAsia"/>
                <w:color w:val="000000"/>
                <w:sz w:val="24"/>
              </w:rPr>
              <w:t>（2）</w:t>
            </w:r>
            <w:r>
              <w:rPr>
                <w:color w:val="000000"/>
                <w:sz w:val="24"/>
              </w:rPr>
              <w:t>废气：</w:t>
            </w:r>
            <w:r>
              <w:rPr>
                <w:rFonts w:hint="eastAsia"/>
                <w:color w:val="000000"/>
                <w:sz w:val="24"/>
                <w:lang w:val="en-US" w:eastAsia="zh-CN"/>
              </w:rPr>
              <w:t>施工期</w:t>
            </w:r>
            <w:r>
              <w:rPr>
                <w:color w:val="000000"/>
                <w:sz w:val="24"/>
              </w:rPr>
              <w:t>颗粒物执行《大气污染物综合排放标准》（GB16297-1996）表2中无组织排放浓度限值</w:t>
            </w:r>
            <w:r>
              <w:rPr>
                <w:rFonts w:hint="eastAsia"/>
                <w:color w:val="000000"/>
                <w:sz w:val="24"/>
                <w:lang w:val="en-US" w:eastAsia="zh-CN"/>
              </w:rPr>
              <w:t>；运行期无废气排放</w:t>
            </w:r>
            <w:r>
              <w:rPr>
                <w:rFonts w:hint="eastAsia"/>
                <w:color w:val="000000"/>
                <w:sz w:val="24"/>
              </w:rPr>
              <w:t>。</w:t>
            </w:r>
          </w:p>
          <w:p w14:paraId="14D64CB8">
            <w:pPr>
              <w:adjustRightInd w:val="0"/>
              <w:snapToGrid w:val="0"/>
              <w:spacing w:line="480" w:lineRule="exact"/>
              <w:jc w:val="center"/>
              <w:rPr>
                <w:b/>
                <w:color w:val="000000"/>
                <w:szCs w:val="21"/>
              </w:rPr>
            </w:pPr>
            <w:r>
              <w:rPr>
                <w:rFonts w:hint="eastAsia"/>
                <w:b/>
                <w:color w:val="000000"/>
                <w:szCs w:val="21"/>
              </w:rPr>
              <w:t>表3</w:t>
            </w:r>
            <w:r>
              <w:rPr>
                <w:b/>
                <w:color w:val="000000"/>
                <w:szCs w:val="21"/>
              </w:rPr>
              <w:t>-</w:t>
            </w:r>
            <w:r>
              <w:rPr>
                <w:rFonts w:hint="eastAsia"/>
                <w:b/>
                <w:color w:val="000000"/>
                <w:szCs w:val="21"/>
                <w:lang w:val="en-US" w:eastAsia="zh-CN"/>
              </w:rPr>
              <w:t>14</w:t>
            </w:r>
            <w:r>
              <w:rPr>
                <w:b/>
                <w:color w:val="000000"/>
                <w:szCs w:val="21"/>
              </w:rPr>
              <w:t xml:space="preserve">  </w:t>
            </w:r>
            <w:r>
              <w:rPr>
                <w:rFonts w:hint="eastAsia"/>
                <w:b/>
                <w:color w:val="000000"/>
                <w:szCs w:val="21"/>
              </w:rPr>
              <w:t>《大气污染物综合排放标准》（GB16297-1996）</w:t>
            </w:r>
          </w:p>
          <w:tbl>
            <w:tblPr>
              <w:tblStyle w:val="45"/>
              <w:tblW w:w="4998" w:type="pct"/>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2667"/>
              <w:gridCol w:w="2740"/>
              <w:gridCol w:w="1888"/>
            </w:tblGrid>
            <w:tr w14:paraId="10599B46">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vMerge w:val="restart"/>
                  <w:vAlign w:val="center"/>
                </w:tcPr>
                <w:p w14:paraId="225D7B86">
                  <w:pPr>
                    <w:spacing w:line="240" w:lineRule="atLeast"/>
                    <w:jc w:val="center"/>
                    <w:rPr>
                      <w:b/>
                      <w:color w:val="000000"/>
                      <w:szCs w:val="21"/>
                    </w:rPr>
                  </w:pPr>
                  <w:r>
                    <w:rPr>
                      <w:b/>
                      <w:color w:val="000000"/>
                      <w:szCs w:val="21"/>
                    </w:rPr>
                    <w:t>污染物</w:t>
                  </w:r>
                </w:p>
              </w:tc>
              <w:tc>
                <w:tcPr>
                  <w:tcW w:w="1563" w:type="pct"/>
                  <w:vMerge w:val="restart"/>
                  <w:vAlign w:val="center"/>
                </w:tcPr>
                <w:p w14:paraId="14175AF0">
                  <w:pPr>
                    <w:spacing w:line="240" w:lineRule="atLeast"/>
                    <w:jc w:val="center"/>
                    <w:rPr>
                      <w:rFonts w:hint="default" w:eastAsia="宋体"/>
                      <w:b/>
                      <w:color w:val="000000"/>
                      <w:szCs w:val="21"/>
                      <w:lang w:val="en-US" w:eastAsia="zh-CN"/>
                    </w:rPr>
                  </w:pPr>
                  <w:r>
                    <w:rPr>
                      <w:rFonts w:hint="eastAsia"/>
                      <w:b/>
                      <w:color w:val="000000"/>
                      <w:szCs w:val="21"/>
                      <w:lang w:val="en-US" w:eastAsia="zh-CN"/>
                    </w:rPr>
                    <w:t>执行标准</w:t>
                  </w:r>
                </w:p>
              </w:tc>
              <w:tc>
                <w:tcPr>
                  <w:tcW w:w="2712" w:type="pct"/>
                  <w:gridSpan w:val="2"/>
                  <w:vAlign w:val="center"/>
                </w:tcPr>
                <w:p w14:paraId="487DA31E">
                  <w:pPr>
                    <w:spacing w:line="240" w:lineRule="atLeast"/>
                    <w:jc w:val="center"/>
                    <w:rPr>
                      <w:b/>
                      <w:color w:val="000000"/>
                      <w:szCs w:val="21"/>
                    </w:rPr>
                  </w:pPr>
                  <w:r>
                    <w:rPr>
                      <w:b/>
                      <w:color w:val="000000"/>
                      <w:szCs w:val="21"/>
                    </w:rPr>
                    <w:t>无组织排放监控浓度</w:t>
                  </w:r>
                  <w:r>
                    <w:rPr>
                      <w:rFonts w:hint="eastAsia"/>
                      <w:b/>
                      <w:color w:val="000000"/>
                      <w:szCs w:val="21"/>
                    </w:rPr>
                    <w:t>限值</w:t>
                  </w:r>
                </w:p>
              </w:tc>
            </w:tr>
            <w:tr w14:paraId="1EE0551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vMerge w:val="continue"/>
                  <w:vAlign w:val="center"/>
                </w:tcPr>
                <w:p w14:paraId="50208368">
                  <w:pPr>
                    <w:spacing w:line="240" w:lineRule="atLeast"/>
                    <w:jc w:val="center"/>
                    <w:rPr>
                      <w:b/>
                      <w:color w:val="000000"/>
                      <w:szCs w:val="21"/>
                    </w:rPr>
                  </w:pPr>
                </w:p>
              </w:tc>
              <w:tc>
                <w:tcPr>
                  <w:tcW w:w="1563" w:type="pct"/>
                  <w:vMerge w:val="continue"/>
                  <w:vAlign w:val="center"/>
                </w:tcPr>
                <w:p w14:paraId="1EB90405">
                  <w:pPr>
                    <w:spacing w:line="240" w:lineRule="atLeast"/>
                    <w:jc w:val="center"/>
                    <w:rPr>
                      <w:b/>
                      <w:color w:val="000000"/>
                      <w:szCs w:val="21"/>
                    </w:rPr>
                  </w:pPr>
                </w:p>
              </w:tc>
              <w:tc>
                <w:tcPr>
                  <w:tcW w:w="1606" w:type="pct"/>
                  <w:vAlign w:val="center"/>
                </w:tcPr>
                <w:p w14:paraId="7E147D00">
                  <w:pPr>
                    <w:spacing w:line="240" w:lineRule="atLeast"/>
                    <w:jc w:val="center"/>
                    <w:rPr>
                      <w:b/>
                      <w:color w:val="000000"/>
                      <w:szCs w:val="21"/>
                    </w:rPr>
                  </w:pPr>
                  <w:r>
                    <w:rPr>
                      <w:b/>
                      <w:color w:val="000000"/>
                      <w:szCs w:val="21"/>
                    </w:rPr>
                    <w:t>监控点</w:t>
                  </w:r>
                </w:p>
              </w:tc>
              <w:tc>
                <w:tcPr>
                  <w:tcW w:w="1106" w:type="pct"/>
                  <w:vAlign w:val="center"/>
                </w:tcPr>
                <w:p w14:paraId="0D88FA57">
                  <w:pPr>
                    <w:spacing w:line="240" w:lineRule="atLeast"/>
                    <w:jc w:val="center"/>
                    <w:rPr>
                      <w:b/>
                      <w:color w:val="000000"/>
                      <w:szCs w:val="21"/>
                    </w:rPr>
                  </w:pPr>
                  <w:r>
                    <w:rPr>
                      <w:b/>
                      <w:color w:val="000000"/>
                      <w:szCs w:val="21"/>
                    </w:rPr>
                    <w:t>浓度（mg/m³）</w:t>
                  </w:r>
                </w:p>
              </w:tc>
            </w:tr>
            <w:tr w14:paraId="0AA35ED4">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vAlign w:val="center"/>
                </w:tcPr>
                <w:p w14:paraId="018DF825">
                  <w:pPr>
                    <w:spacing w:line="240" w:lineRule="atLeast"/>
                    <w:jc w:val="center"/>
                    <w:rPr>
                      <w:bCs/>
                      <w:color w:val="000000"/>
                      <w:szCs w:val="21"/>
                    </w:rPr>
                  </w:pPr>
                  <w:r>
                    <w:rPr>
                      <w:bCs/>
                      <w:color w:val="000000"/>
                      <w:szCs w:val="21"/>
                    </w:rPr>
                    <w:t>颗粒物</w:t>
                  </w:r>
                </w:p>
              </w:tc>
              <w:tc>
                <w:tcPr>
                  <w:tcW w:w="1563" w:type="pct"/>
                  <w:vAlign w:val="center"/>
                </w:tcPr>
                <w:p w14:paraId="090B4FAE">
                  <w:pPr>
                    <w:spacing w:line="240" w:lineRule="atLeast"/>
                    <w:jc w:val="center"/>
                    <w:rPr>
                      <w:bCs/>
                      <w:color w:val="000000"/>
                      <w:szCs w:val="21"/>
                    </w:rPr>
                  </w:pPr>
                  <w:r>
                    <w:rPr>
                      <w:rFonts w:hint="eastAsia"/>
                      <w:bCs/>
                      <w:color w:val="000000"/>
                      <w:szCs w:val="21"/>
                    </w:rPr>
                    <w:t>《大气污染物综合排放标准》（GB16297-1996）</w:t>
                  </w:r>
                </w:p>
              </w:tc>
              <w:tc>
                <w:tcPr>
                  <w:tcW w:w="1606" w:type="pct"/>
                  <w:vAlign w:val="center"/>
                </w:tcPr>
                <w:p w14:paraId="7F081733">
                  <w:pPr>
                    <w:spacing w:line="240" w:lineRule="atLeast"/>
                    <w:jc w:val="center"/>
                    <w:rPr>
                      <w:bCs/>
                      <w:color w:val="000000"/>
                      <w:szCs w:val="21"/>
                    </w:rPr>
                  </w:pPr>
                  <w:r>
                    <w:rPr>
                      <w:bCs/>
                      <w:color w:val="000000"/>
                      <w:szCs w:val="21"/>
                    </w:rPr>
                    <w:t>周界外浓度最高点</w:t>
                  </w:r>
                </w:p>
              </w:tc>
              <w:tc>
                <w:tcPr>
                  <w:tcW w:w="1106" w:type="pct"/>
                  <w:vAlign w:val="center"/>
                </w:tcPr>
                <w:p w14:paraId="72B73D09">
                  <w:pPr>
                    <w:spacing w:line="240" w:lineRule="atLeast"/>
                    <w:jc w:val="center"/>
                    <w:rPr>
                      <w:bCs/>
                      <w:color w:val="000000"/>
                      <w:szCs w:val="21"/>
                    </w:rPr>
                  </w:pPr>
                  <w:r>
                    <w:rPr>
                      <w:bCs/>
                      <w:color w:val="000000"/>
                      <w:szCs w:val="21"/>
                    </w:rPr>
                    <w:t>1.0</w:t>
                  </w:r>
                </w:p>
              </w:tc>
            </w:tr>
          </w:tbl>
          <w:p w14:paraId="059CDED8">
            <w:pPr>
              <w:widowControl/>
              <w:spacing w:line="480" w:lineRule="exact"/>
              <w:ind w:firstLine="480" w:firstLineChars="200"/>
              <w:rPr>
                <w:color w:val="000000"/>
                <w:sz w:val="24"/>
              </w:rPr>
            </w:pPr>
            <w:r>
              <w:rPr>
                <w:rFonts w:hint="eastAsia"/>
                <w:color w:val="000000"/>
                <w:sz w:val="24"/>
              </w:rPr>
              <w:t>（3）</w:t>
            </w:r>
            <w:r>
              <w:rPr>
                <w:color w:val="000000"/>
                <w:sz w:val="24"/>
              </w:rPr>
              <w:t>噪声：</w:t>
            </w:r>
            <w:r>
              <w:rPr>
                <w:rFonts w:hint="eastAsia"/>
                <w:color w:val="000000"/>
                <w:sz w:val="24"/>
              </w:rPr>
              <w:t>施工期噪声执行《建筑施工场界环境噪声排放标准》（GB12523-20</w:t>
            </w:r>
            <w:r>
              <w:rPr>
                <w:rFonts w:hint="eastAsia"/>
                <w:color w:val="000000"/>
                <w:sz w:val="24"/>
                <w:lang w:val="en-US" w:eastAsia="zh-CN"/>
              </w:rPr>
              <w:t>25</w:t>
            </w:r>
            <w:r>
              <w:rPr>
                <w:rFonts w:hint="eastAsia"/>
                <w:color w:val="000000"/>
                <w:sz w:val="24"/>
              </w:rPr>
              <w:t>）中表1规定的排放限值</w:t>
            </w:r>
            <w:r>
              <w:rPr>
                <w:color w:val="000000"/>
                <w:sz w:val="24"/>
              </w:rPr>
              <w:t>。</w:t>
            </w:r>
          </w:p>
          <w:p w14:paraId="78DECB8B">
            <w:pPr>
              <w:adjustRightInd w:val="0"/>
              <w:snapToGrid w:val="0"/>
              <w:spacing w:line="480" w:lineRule="exact"/>
              <w:jc w:val="center"/>
              <w:rPr>
                <w:b/>
                <w:color w:val="000000"/>
                <w:szCs w:val="21"/>
              </w:rPr>
            </w:pPr>
            <w:r>
              <w:rPr>
                <w:rFonts w:hint="eastAsia"/>
                <w:b/>
                <w:color w:val="000000"/>
                <w:szCs w:val="21"/>
              </w:rPr>
              <w:t>表3</w:t>
            </w:r>
            <w:r>
              <w:rPr>
                <w:b/>
                <w:color w:val="000000"/>
                <w:szCs w:val="21"/>
              </w:rPr>
              <w:t>-</w:t>
            </w:r>
            <w:r>
              <w:rPr>
                <w:rFonts w:hint="eastAsia"/>
                <w:b/>
                <w:color w:val="000000"/>
                <w:szCs w:val="21"/>
                <w:lang w:val="en-US" w:eastAsia="zh-CN"/>
              </w:rPr>
              <w:t>15</w:t>
            </w:r>
            <w:r>
              <w:rPr>
                <w:b/>
                <w:color w:val="000000"/>
                <w:szCs w:val="21"/>
              </w:rPr>
              <w:t xml:space="preserve">  </w:t>
            </w:r>
            <w:r>
              <w:rPr>
                <w:rFonts w:hint="eastAsia"/>
                <w:b/>
                <w:color w:val="000000"/>
                <w:szCs w:val="21"/>
              </w:rPr>
              <w:t>《建筑施工场界环境噪声排放标准》（GB12523-20</w:t>
            </w:r>
            <w:r>
              <w:rPr>
                <w:rFonts w:hint="eastAsia"/>
                <w:b/>
                <w:color w:val="000000"/>
                <w:szCs w:val="21"/>
                <w:lang w:val="en-US" w:eastAsia="zh-CN"/>
              </w:rPr>
              <w:t>25</w:t>
            </w:r>
            <w:r>
              <w:rPr>
                <w:rFonts w:hint="eastAsia"/>
                <w:b/>
                <w:color w:val="000000"/>
                <w:szCs w:val="21"/>
              </w:rPr>
              <w:t>）</w:t>
            </w:r>
          </w:p>
          <w:tbl>
            <w:tblPr>
              <w:tblStyle w:val="45"/>
              <w:tblW w:w="5000" w:type="pct"/>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067"/>
              <w:gridCol w:w="2726"/>
              <w:gridCol w:w="2739"/>
            </w:tblGrid>
            <w:tr w14:paraId="1CB0F4F4">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22" w:type="pct"/>
                  <w:vMerge w:val="restart"/>
                  <w:tcBorders>
                    <w:top w:val="single" w:color="auto" w:sz="12" w:space="0"/>
                    <w:bottom w:val="single" w:color="auto" w:sz="6" w:space="0"/>
                    <w:right w:val="single" w:color="auto" w:sz="6" w:space="0"/>
                  </w:tcBorders>
                  <w:vAlign w:val="center"/>
                </w:tcPr>
                <w:p w14:paraId="51CE181B">
                  <w:pPr>
                    <w:spacing w:line="320" w:lineRule="exact"/>
                    <w:jc w:val="center"/>
                    <w:rPr>
                      <w:b/>
                      <w:bCs/>
                      <w:color w:val="000000"/>
                      <w:szCs w:val="21"/>
                    </w:rPr>
                  </w:pPr>
                  <w:r>
                    <w:rPr>
                      <w:b/>
                      <w:bCs/>
                      <w:color w:val="000000"/>
                      <w:szCs w:val="21"/>
                    </w:rPr>
                    <w:t>厂界声环境功能区类别</w:t>
                  </w:r>
                </w:p>
              </w:tc>
              <w:tc>
                <w:tcPr>
                  <w:tcW w:w="2890" w:type="pct"/>
                  <w:gridSpan w:val="2"/>
                  <w:tcBorders>
                    <w:top w:val="single" w:color="auto" w:sz="12" w:space="0"/>
                    <w:left w:val="single" w:color="auto" w:sz="6" w:space="0"/>
                    <w:bottom w:val="single" w:color="auto" w:sz="6" w:space="0"/>
                  </w:tcBorders>
                  <w:vAlign w:val="center"/>
                </w:tcPr>
                <w:p w14:paraId="08DBE8FB">
                  <w:pPr>
                    <w:spacing w:line="320" w:lineRule="exact"/>
                    <w:jc w:val="center"/>
                    <w:rPr>
                      <w:b/>
                      <w:bCs/>
                      <w:color w:val="000000"/>
                      <w:szCs w:val="21"/>
                    </w:rPr>
                  </w:pPr>
                  <w:r>
                    <w:rPr>
                      <w:rFonts w:hint="eastAsia"/>
                      <w:b/>
                      <w:bCs/>
                      <w:color w:val="000000"/>
                      <w:szCs w:val="21"/>
                    </w:rPr>
                    <w:t>噪声限值</w:t>
                  </w:r>
                </w:p>
              </w:tc>
            </w:tr>
            <w:tr w14:paraId="2E109B60">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22" w:type="pct"/>
                  <w:vMerge w:val="continue"/>
                  <w:tcBorders>
                    <w:top w:val="single" w:color="auto" w:sz="6" w:space="0"/>
                    <w:bottom w:val="single" w:color="auto" w:sz="6" w:space="0"/>
                    <w:right w:val="single" w:color="auto" w:sz="6" w:space="0"/>
                  </w:tcBorders>
                  <w:vAlign w:val="center"/>
                </w:tcPr>
                <w:p w14:paraId="2C494391">
                  <w:pPr>
                    <w:spacing w:line="320" w:lineRule="exact"/>
                    <w:rPr>
                      <w:b/>
                      <w:bCs/>
                      <w:color w:val="000000"/>
                      <w:szCs w:val="21"/>
                    </w:rPr>
                  </w:pPr>
                </w:p>
              </w:tc>
              <w:tc>
                <w:tcPr>
                  <w:tcW w:w="1442" w:type="pct"/>
                  <w:tcBorders>
                    <w:top w:val="single" w:color="auto" w:sz="6" w:space="0"/>
                    <w:left w:val="single" w:color="auto" w:sz="6" w:space="0"/>
                    <w:bottom w:val="single" w:color="auto" w:sz="6" w:space="0"/>
                    <w:right w:val="single" w:color="auto" w:sz="6" w:space="0"/>
                  </w:tcBorders>
                  <w:vAlign w:val="center"/>
                </w:tcPr>
                <w:p w14:paraId="0F4A5CD2">
                  <w:pPr>
                    <w:spacing w:line="320" w:lineRule="exact"/>
                    <w:jc w:val="center"/>
                    <w:rPr>
                      <w:b/>
                      <w:bCs/>
                      <w:color w:val="000000"/>
                      <w:szCs w:val="21"/>
                    </w:rPr>
                  </w:pPr>
                  <w:r>
                    <w:rPr>
                      <w:b/>
                      <w:bCs/>
                      <w:color w:val="000000"/>
                      <w:szCs w:val="21"/>
                    </w:rPr>
                    <w:t>昼间dB（A）</w:t>
                  </w:r>
                </w:p>
              </w:tc>
              <w:tc>
                <w:tcPr>
                  <w:tcW w:w="1449" w:type="pct"/>
                  <w:tcBorders>
                    <w:top w:val="single" w:color="auto" w:sz="6" w:space="0"/>
                    <w:left w:val="single" w:color="auto" w:sz="6" w:space="0"/>
                    <w:bottom w:val="single" w:color="auto" w:sz="6" w:space="0"/>
                  </w:tcBorders>
                  <w:vAlign w:val="center"/>
                </w:tcPr>
                <w:p w14:paraId="4001C54C">
                  <w:pPr>
                    <w:spacing w:line="320" w:lineRule="exact"/>
                    <w:jc w:val="center"/>
                    <w:rPr>
                      <w:b/>
                      <w:bCs/>
                      <w:color w:val="000000"/>
                      <w:szCs w:val="21"/>
                    </w:rPr>
                  </w:pPr>
                  <w:r>
                    <w:rPr>
                      <w:b/>
                      <w:bCs/>
                      <w:color w:val="000000"/>
                      <w:szCs w:val="21"/>
                    </w:rPr>
                    <w:t>夜间dB（A）</w:t>
                  </w:r>
                </w:p>
              </w:tc>
            </w:tr>
            <w:tr w14:paraId="284A556E">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22" w:type="pct"/>
                  <w:tcBorders>
                    <w:top w:val="single" w:color="auto" w:sz="6" w:space="0"/>
                    <w:bottom w:val="single" w:color="auto" w:sz="12" w:space="0"/>
                    <w:right w:val="single" w:color="auto" w:sz="6" w:space="0"/>
                  </w:tcBorders>
                  <w:vAlign w:val="center"/>
                </w:tcPr>
                <w:p w14:paraId="219DD1B1">
                  <w:pPr>
                    <w:spacing w:line="320" w:lineRule="exact"/>
                    <w:jc w:val="center"/>
                    <w:rPr>
                      <w:rFonts w:hint="eastAsia" w:eastAsia="宋体"/>
                      <w:color w:val="000000"/>
                      <w:szCs w:val="21"/>
                      <w:lang w:eastAsia="zh-CN"/>
                    </w:rPr>
                  </w:pPr>
                  <w:r>
                    <w:rPr>
                      <w:rFonts w:hint="eastAsia"/>
                      <w:color w:val="000000"/>
                      <w:szCs w:val="21"/>
                      <w:lang w:val="en-US" w:eastAsia="zh-CN"/>
                    </w:rPr>
                    <w:t>/</w:t>
                  </w:r>
                </w:p>
              </w:tc>
              <w:tc>
                <w:tcPr>
                  <w:tcW w:w="1442" w:type="pct"/>
                  <w:tcBorders>
                    <w:top w:val="single" w:color="auto" w:sz="6" w:space="0"/>
                    <w:left w:val="single" w:color="auto" w:sz="6" w:space="0"/>
                    <w:bottom w:val="single" w:color="auto" w:sz="12" w:space="0"/>
                    <w:right w:val="single" w:color="auto" w:sz="6" w:space="0"/>
                  </w:tcBorders>
                  <w:vAlign w:val="center"/>
                </w:tcPr>
                <w:p w14:paraId="7979029E">
                  <w:pPr>
                    <w:spacing w:line="320" w:lineRule="exact"/>
                    <w:jc w:val="center"/>
                    <w:rPr>
                      <w:color w:val="000000"/>
                      <w:szCs w:val="21"/>
                    </w:rPr>
                  </w:pPr>
                  <w:r>
                    <w:rPr>
                      <w:rFonts w:hint="eastAsia"/>
                      <w:color w:val="000000"/>
                      <w:szCs w:val="21"/>
                      <w:lang w:val="en-US" w:eastAsia="zh-CN"/>
                    </w:rPr>
                    <w:t>7</w:t>
                  </w:r>
                  <w:r>
                    <w:rPr>
                      <w:color w:val="000000"/>
                      <w:szCs w:val="21"/>
                    </w:rPr>
                    <w:t>0</w:t>
                  </w:r>
                </w:p>
              </w:tc>
              <w:tc>
                <w:tcPr>
                  <w:tcW w:w="1449" w:type="pct"/>
                  <w:tcBorders>
                    <w:top w:val="single" w:color="auto" w:sz="6" w:space="0"/>
                    <w:left w:val="single" w:color="auto" w:sz="6" w:space="0"/>
                    <w:bottom w:val="single" w:color="auto" w:sz="12" w:space="0"/>
                  </w:tcBorders>
                  <w:vAlign w:val="center"/>
                </w:tcPr>
                <w:p w14:paraId="79D818E2">
                  <w:pPr>
                    <w:spacing w:line="320" w:lineRule="exact"/>
                    <w:jc w:val="center"/>
                    <w:rPr>
                      <w:rFonts w:hint="eastAsia" w:eastAsia="宋体"/>
                      <w:color w:val="000000"/>
                      <w:szCs w:val="21"/>
                      <w:lang w:eastAsia="zh-CN"/>
                    </w:rPr>
                  </w:pPr>
                  <w:r>
                    <w:rPr>
                      <w:color w:val="000000"/>
                      <w:szCs w:val="21"/>
                    </w:rPr>
                    <w:t>5</w:t>
                  </w:r>
                  <w:r>
                    <w:rPr>
                      <w:rFonts w:hint="eastAsia"/>
                      <w:color w:val="000000"/>
                      <w:szCs w:val="21"/>
                      <w:lang w:val="en-US" w:eastAsia="zh-CN"/>
                    </w:rPr>
                    <w:t>5</w:t>
                  </w:r>
                </w:p>
              </w:tc>
            </w:tr>
          </w:tbl>
          <w:p w14:paraId="55233D80">
            <w:pPr>
              <w:adjustRightInd w:val="0"/>
              <w:snapToGrid w:val="0"/>
              <w:spacing w:line="480" w:lineRule="exact"/>
              <w:ind w:firstLine="480" w:firstLineChars="200"/>
            </w:pPr>
            <w:r>
              <w:rPr>
                <w:rFonts w:hint="eastAsia"/>
                <w:bCs/>
                <w:color w:val="000000"/>
                <w:sz w:val="24"/>
              </w:rPr>
              <w:t>（4）</w:t>
            </w:r>
            <w:r>
              <w:rPr>
                <w:bCs/>
                <w:color w:val="000000"/>
                <w:sz w:val="24"/>
              </w:rPr>
              <w:t>固体废物：</w:t>
            </w:r>
            <w:r>
              <w:rPr>
                <w:color w:val="000000"/>
                <w:sz w:val="24"/>
              </w:rPr>
              <w:t>一般固体废物执行《一般工业固体废物贮存和填埋污染控制标准》（GB18599-2020）</w:t>
            </w:r>
            <w:r>
              <w:rPr>
                <w:rFonts w:hint="eastAsia"/>
                <w:color w:val="000000"/>
                <w:sz w:val="24"/>
              </w:rPr>
              <w:t>；</w:t>
            </w:r>
            <w:r>
              <w:rPr>
                <w:color w:val="000000"/>
                <w:sz w:val="24"/>
              </w:rPr>
              <w:t>危险废物执行《危险废物贮存污染控制标准》（GB18597-20</w:t>
            </w:r>
            <w:r>
              <w:rPr>
                <w:rFonts w:hint="eastAsia"/>
                <w:color w:val="000000"/>
                <w:sz w:val="24"/>
                <w:lang w:val="en-US" w:eastAsia="zh-CN"/>
              </w:rPr>
              <w:t>23</w:t>
            </w:r>
            <w:r>
              <w:rPr>
                <w:color w:val="000000"/>
                <w:sz w:val="24"/>
              </w:rPr>
              <w:t>）。</w:t>
            </w:r>
          </w:p>
        </w:tc>
      </w:tr>
      <w:tr w14:paraId="7B194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600" w:type="dxa"/>
            <w:vAlign w:val="center"/>
          </w:tcPr>
          <w:p w14:paraId="44879E9D">
            <w:pPr>
              <w:jc w:val="center"/>
              <w:rPr>
                <w:color w:val="000000"/>
                <w:sz w:val="24"/>
              </w:rPr>
            </w:pPr>
            <w:r>
              <w:rPr>
                <w:rFonts w:hint="eastAsia"/>
                <w:color w:val="000000"/>
                <w:sz w:val="24"/>
              </w:rPr>
              <w:t>其他</w:t>
            </w:r>
          </w:p>
        </w:tc>
        <w:tc>
          <w:tcPr>
            <w:tcW w:w="8604" w:type="dxa"/>
            <w:vAlign w:val="center"/>
          </w:tcPr>
          <w:p w14:paraId="13860444">
            <w:pPr>
              <w:adjustRightInd w:val="0"/>
              <w:snapToGrid w:val="0"/>
              <w:spacing w:line="480" w:lineRule="exact"/>
              <w:ind w:firstLine="480" w:firstLineChars="200"/>
              <w:jc w:val="both"/>
              <w:rPr>
                <w:color w:val="000000"/>
                <w:sz w:val="24"/>
              </w:rPr>
            </w:pPr>
            <w:r>
              <w:rPr>
                <w:rFonts w:hint="eastAsia"/>
                <w:color w:val="000000"/>
                <w:sz w:val="24"/>
              </w:rPr>
              <w:t>本项目为</w:t>
            </w:r>
            <w:r>
              <w:rPr>
                <w:rFonts w:hint="eastAsia"/>
                <w:color w:val="000000"/>
                <w:sz w:val="24"/>
                <w:lang w:val="en-US" w:eastAsia="zh-CN"/>
              </w:rPr>
              <w:t>城市拦河闸除险加固工程</w:t>
            </w:r>
            <w:r>
              <w:rPr>
                <w:rFonts w:hint="eastAsia"/>
                <w:color w:val="000000"/>
                <w:sz w:val="24"/>
              </w:rPr>
              <w:t>，根据项目的排污特征，</w:t>
            </w:r>
            <w:r>
              <w:rPr>
                <w:rFonts w:hint="eastAsia"/>
                <w:color w:val="000000"/>
                <w:sz w:val="24"/>
                <w:lang w:val="en-US" w:eastAsia="zh-CN"/>
              </w:rPr>
              <w:t>运营期</w:t>
            </w:r>
            <w:r>
              <w:rPr>
                <w:rFonts w:hint="eastAsia"/>
                <w:color w:val="000000"/>
                <w:sz w:val="24"/>
              </w:rPr>
              <w:t>无新增废气、废水</w:t>
            </w:r>
            <w:r>
              <w:rPr>
                <w:rFonts w:hint="eastAsia"/>
                <w:color w:val="000000"/>
                <w:sz w:val="24"/>
                <w:lang w:val="en-US" w:eastAsia="zh-CN"/>
              </w:rPr>
              <w:t>排放</w:t>
            </w:r>
            <w:r>
              <w:rPr>
                <w:rFonts w:hint="eastAsia"/>
                <w:color w:val="000000"/>
                <w:sz w:val="24"/>
              </w:rPr>
              <w:t>。综上所述，本项目不设总量控制指标。</w:t>
            </w:r>
          </w:p>
        </w:tc>
      </w:tr>
    </w:tbl>
    <w:p w14:paraId="0BC59A82">
      <w:pPr>
        <w:widowControl/>
        <w:spacing w:before="100" w:beforeAutospacing="1" w:after="100" w:afterAutospacing="1"/>
        <w:jc w:val="center"/>
        <w:outlineLvl w:val="0"/>
        <w:rPr>
          <w:rFonts w:ascii="黑体" w:hAnsi="黑体" w:eastAsia="黑体"/>
          <w:snapToGrid w:val="0"/>
          <w:color w:val="000000"/>
          <w:sz w:val="30"/>
          <w:szCs w:val="30"/>
        </w:rPr>
      </w:pPr>
      <w:bookmarkStart w:id="7" w:name="_Toc27368"/>
      <w:r>
        <w:rPr>
          <w:rFonts w:hint="eastAsia" w:ascii="黑体" w:hAnsi="黑体" w:eastAsia="黑体"/>
          <w:snapToGrid w:val="0"/>
          <w:color w:val="000000"/>
          <w:sz w:val="30"/>
          <w:szCs w:val="30"/>
        </w:rPr>
        <w:br w:type="page"/>
      </w:r>
      <w:r>
        <w:rPr>
          <w:rFonts w:hint="eastAsia" w:ascii="黑体" w:hAnsi="黑体" w:eastAsia="黑体"/>
          <w:snapToGrid w:val="0"/>
          <w:color w:val="000000"/>
          <w:sz w:val="30"/>
          <w:szCs w:val="30"/>
        </w:rPr>
        <w:t>四、生态环境影响分析</w:t>
      </w:r>
      <w:bookmarkEnd w:id="7"/>
    </w:p>
    <w:tbl>
      <w:tblPr>
        <w:tblStyle w:val="45"/>
        <w:tblW w:w="93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900"/>
      </w:tblGrid>
      <w:tr w14:paraId="1D081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456" w:type="dxa"/>
            <w:vAlign w:val="center"/>
          </w:tcPr>
          <w:p w14:paraId="498206FB">
            <w:pPr>
              <w:jc w:val="center"/>
              <w:rPr>
                <w:color w:val="000000"/>
                <w:sz w:val="24"/>
              </w:rPr>
            </w:pPr>
            <w:r>
              <w:rPr>
                <w:rFonts w:hint="eastAsia"/>
                <w:color w:val="000000"/>
                <w:sz w:val="24"/>
              </w:rPr>
              <w:t>施工期生态环境影响分析</w:t>
            </w:r>
          </w:p>
        </w:tc>
        <w:tc>
          <w:tcPr>
            <w:tcW w:w="8900" w:type="dxa"/>
          </w:tcPr>
          <w:p w14:paraId="3E65E44D">
            <w:pPr>
              <w:pStyle w:val="233"/>
              <w:adjustRightInd w:val="0"/>
              <w:snapToGrid w:val="0"/>
              <w:spacing w:beforeLines="50" w:line="360" w:lineRule="auto"/>
              <w:ind w:firstLine="480"/>
              <w:rPr>
                <w:rFonts w:hint="eastAsia" w:ascii="Times New Roman" w:hAnsi="Times New Roman" w:eastAsia="宋体" w:cs="Times New Roman"/>
                <w:color w:val="000000" w:themeColor="text1"/>
                <w:sz w:val="24"/>
                <w:u w:val="none"/>
                <w14:textFill>
                  <w14:solidFill>
                    <w14:schemeClr w14:val="tx1"/>
                  </w14:solidFill>
                </w14:textFill>
              </w:rPr>
            </w:pPr>
            <w:r>
              <w:rPr>
                <w:rFonts w:hint="eastAsia" w:ascii="Times New Roman" w:hAnsi="Times New Roman" w:eastAsia="宋体" w:cs="Times New Roman"/>
                <w:color w:val="000000" w:themeColor="text1"/>
                <w:sz w:val="24"/>
                <w:u w:val="none"/>
                <w14:textFill>
                  <w14:solidFill>
                    <w14:schemeClr w14:val="tx1"/>
                  </w14:solidFill>
                </w14:textFill>
              </w:rPr>
              <w:t>1、施工期水环境影响分析</w:t>
            </w:r>
          </w:p>
          <w:p w14:paraId="1B26A4B1">
            <w:pPr>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color w:val="auto"/>
                <w:kern w:val="0"/>
                <w:sz w:val="24"/>
                <w:szCs w:val="20"/>
              </w:rPr>
            </w:pPr>
            <w:r>
              <w:rPr>
                <w:color w:val="auto"/>
                <w:kern w:val="0"/>
                <w:sz w:val="24"/>
                <w:szCs w:val="20"/>
              </w:rPr>
              <w:t>本项目施工期间水污染物主要为施工人员的生活污水和施工废水。</w:t>
            </w:r>
          </w:p>
          <w:p w14:paraId="0A67AB59">
            <w:pPr>
              <w:pStyle w:val="252"/>
              <w:adjustRightInd w:val="0"/>
              <w:snapToGrid w:val="0"/>
              <w:ind w:firstLine="480"/>
              <w:rPr>
                <w:rFonts w:hint="eastAsia" w:ascii="Times New Roman" w:hAnsi="宋体" w:eastAsia="宋体" w:cs="Times New Roman"/>
                <w:lang w:eastAsia="zh-CN"/>
              </w:rPr>
            </w:pPr>
            <w:r>
              <w:rPr>
                <w:rFonts w:hint="eastAsia" w:ascii="Times New Roman" w:hAnsi="宋体" w:eastAsia="宋体" w:cs="Times New Roman"/>
                <w:lang w:eastAsia="zh-CN"/>
              </w:rPr>
              <w:t>（</w:t>
            </w:r>
            <w:r>
              <w:rPr>
                <w:rFonts w:hint="eastAsia" w:ascii="Times New Roman" w:hAnsi="宋体" w:eastAsia="宋体" w:cs="Times New Roman"/>
                <w:lang w:val="en-US" w:eastAsia="zh-CN"/>
              </w:rPr>
              <w:t>1</w:t>
            </w:r>
            <w:r>
              <w:rPr>
                <w:rFonts w:hint="eastAsia" w:ascii="Times New Roman" w:hAnsi="宋体" w:eastAsia="宋体" w:cs="Times New Roman"/>
                <w:lang w:eastAsia="zh-CN"/>
              </w:rPr>
              <w:t>）</w:t>
            </w:r>
            <w:r>
              <w:rPr>
                <w:color w:val="auto"/>
                <w:kern w:val="0"/>
                <w:sz w:val="24"/>
                <w:szCs w:val="20"/>
              </w:rPr>
              <w:t>施工过程废水</w:t>
            </w:r>
          </w:p>
          <w:p w14:paraId="1916E085">
            <w:pPr>
              <w:pStyle w:val="252"/>
              <w:adjustRightInd w:val="0"/>
              <w:snapToGrid w:val="0"/>
              <w:ind w:firstLine="480"/>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①</w:t>
            </w:r>
            <w:r>
              <w:rPr>
                <w:color w:val="auto"/>
                <w:kern w:val="0"/>
                <w:sz w:val="24"/>
                <w:szCs w:val="20"/>
              </w:rPr>
              <w:t>含油废水</w:t>
            </w:r>
          </w:p>
          <w:p w14:paraId="4CA21A21">
            <w:pPr>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color w:val="auto"/>
                <w:kern w:val="0"/>
                <w:sz w:val="24"/>
                <w:szCs w:val="20"/>
              </w:rPr>
            </w:pPr>
            <w:r>
              <w:rPr>
                <w:color w:val="auto"/>
                <w:kern w:val="0"/>
                <w:sz w:val="24"/>
                <w:szCs w:val="20"/>
              </w:rPr>
              <w:t>项目施工</w:t>
            </w:r>
            <w:r>
              <w:rPr>
                <w:rFonts w:hint="eastAsia"/>
                <w:color w:val="auto"/>
                <w:kern w:val="0"/>
                <w:sz w:val="24"/>
                <w:szCs w:val="20"/>
              </w:rPr>
              <w:t>所需机修维修大部分在镇区修配厂完成</w:t>
            </w:r>
            <w:r>
              <w:rPr>
                <w:rFonts w:hint="eastAsia"/>
                <w:color w:val="auto"/>
                <w:kern w:val="0"/>
                <w:sz w:val="24"/>
                <w:szCs w:val="20"/>
                <w:lang w:eastAsia="zh-CN"/>
              </w:rPr>
              <w:t>。</w:t>
            </w:r>
            <w:r>
              <w:rPr>
                <w:color w:val="auto"/>
                <w:kern w:val="0"/>
                <w:sz w:val="24"/>
                <w:szCs w:val="20"/>
              </w:rPr>
              <w:t>在施工机械施工过程中不可避免地会出现油料跑冒滴漏现象，在施工人员关注施工机械状况并定期维护情况下，油料跑冒滴漏量较小。</w:t>
            </w:r>
          </w:p>
          <w:p w14:paraId="44AE7177">
            <w:pPr>
              <w:pStyle w:val="252"/>
              <w:adjustRightInd w:val="0"/>
              <w:snapToGrid w:val="0"/>
              <w:ind w:firstLine="480"/>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②基坑废水</w:t>
            </w:r>
          </w:p>
          <w:p w14:paraId="5B392A4F">
            <w:pPr>
              <w:widowControl/>
              <w:spacing w:line="360" w:lineRule="auto"/>
              <w:ind w:firstLine="480" w:firstLineChars="200"/>
              <w:jc w:val="left"/>
              <w:rPr>
                <w:rFonts w:hint="eastAsia" w:eastAsia="宋体"/>
                <w:kern w:val="0"/>
                <w:sz w:val="21"/>
                <w:szCs w:val="21"/>
                <w:lang w:eastAsia="zh-CN" w:bidi="ar"/>
              </w:rPr>
            </w:pPr>
            <w:r>
              <w:rPr>
                <w:rFonts w:hint="eastAsia"/>
                <w:kern w:val="0"/>
                <w:sz w:val="24"/>
                <w:lang w:bidi="ar"/>
              </w:rPr>
              <w:t>初期基坑排水基本为河道水，与天然河道水质相似。当基坑内水量较小时，由于存在人为扰动，SS含量较高，可采用絮凝沉淀的方法沉淀。经常性基坑排水为少量地下渗水，多数情况为清水。当出现强降雨时</w:t>
            </w:r>
            <w:r>
              <w:rPr>
                <w:rFonts w:hint="eastAsia"/>
                <w:kern w:val="0"/>
                <w:sz w:val="24"/>
                <w:lang w:eastAsia="zh-CN" w:bidi="ar"/>
              </w:rPr>
              <w:t>，</w:t>
            </w:r>
            <w:r>
              <w:rPr>
                <w:rFonts w:hint="eastAsia"/>
                <w:kern w:val="0"/>
                <w:sz w:val="24"/>
                <w:lang w:bidi="ar"/>
              </w:rPr>
              <w:t>基坑内积水SS浓度较高，采用絮凝沉淀后基本与天然河道水质一致。向基坑投加絮凝剂后，让坑水静置沉淀</w:t>
            </w:r>
            <w:r>
              <w:rPr>
                <w:rFonts w:hint="eastAsia"/>
                <w:kern w:val="0"/>
                <w:sz w:val="24"/>
                <w:lang w:val="en-US" w:eastAsia="zh-CN" w:bidi="ar"/>
              </w:rPr>
              <w:t>2</w:t>
            </w:r>
            <w:r>
              <w:rPr>
                <w:rFonts w:hint="eastAsia"/>
                <w:kern w:val="0"/>
                <w:sz w:val="24"/>
                <w:lang w:bidi="ar"/>
              </w:rPr>
              <w:t>小时后，达到排放标准后经收集</w:t>
            </w:r>
            <w:r>
              <w:rPr>
                <w:rFonts w:hint="eastAsia"/>
                <w:kern w:val="0"/>
                <w:sz w:val="24"/>
                <w:lang w:val="en-US" w:eastAsia="zh-CN" w:bidi="ar"/>
              </w:rPr>
              <w:t>沉淀</w:t>
            </w:r>
            <w:r>
              <w:rPr>
                <w:rFonts w:hint="eastAsia"/>
                <w:kern w:val="0"/>
                <w:sz w:val="24"/>
                <w:lang w:bidi="ar"/>
              </w:rPr>
              <w:t>用潜水泵抽排作为道路降尘用水</w:t>
            </w:r>
            <w:r>
              <w:rPr>
                <w:rFonts w:hint="eastAsia"/>
                <w:kern w:val="0"/>
                <w:sz w:val="24"/>
                <w:lang w:eastAsia="zh-CN" w:bidi="ar"/>
              </w:rPr>
              <w:t>。</w:t>
            </w:r>
          </w:p>
          <w:p w14:paraId="2D635C72">
            <w:pPr>
              <w:pStyle w:val="252"/>
              <w:adjustRightInd w:val="0"/>
              <w:snapToGrid w:val="0"/>
              <w:ind w:firstLine="480"/>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③</w:t>
            </w:r>
            <w:r>
              <w:rPr>
                <w:rFonts w:hint="eastAsia" w:ascii="Times New Roman" w:hAnsi="Times New Roman" w:eastAsia="宋体" w:cs="Times New Roman"/>
                <w:szCs w:val="24"/>
                <w:lang w:eastAsia="zh-CN"/>
              </w:rPr>
              <w:t>机械</w:t>
            </w:r>
            <w:r>
              <w:rPr>
                <w:rFonts w:hint="eastAsia" w:ascii="Times New Roman" w:hAnsi="Times New Roman" w:eastAsia="宋体" w:cs="Times New Roman"/>
                <w:szCs w:val="24"/>
                <w:lang w:val="en-US" w:eastAsia="zh-CN"/>
              </w:rPr>
              <w:t>养护废水</w:t>
            </w:r>
          </w:p>
          <w:p w14:paraId="5F77344F">
            <w:pPr>
              <w:pStyle w:val="252"/>
              <w:adjustRightInd w:val="0"/>
              <w:snapToGrid w:val="0"/>
              <w:ind w:firstLine="480"/>
              <w:rPr>
                <w:rFonts w:hint="eastAsia" w:ascii="Times New Roman" w:hAnsi="Times New Roman" w:eastAsia="宋体" w:cs="Times New Roman"/>
                <w:szCs w:val="24"/>
                <w:lang w:eastAsia="zh-CN"/>
              </w:rPr>
            </w:pPr>
            <w:r>
              <w:rPr>
                <w:rFonts w:hint="eastAsia" w:ascii="Times New Roman" w:hAnsi="Times New Roman" w:eastAsia="宋体" w:cs="Times New Roman"/>
                <w:szCs w:val="24"/>
                <w:lang w:eastAsia="zh-CN"/>
              </w:rPr>
              <w:t>机械保养等产生的废水。项目</w:t>
            </w:r>
            <w:r>
              <w:rPr>
                <w:rFonts w:hint="eastAsia" w:ascii="Times New Roman" w:hAnsi="Times New Roman" w:eastAsia="宋体" w:cs="Times New Roman"/>
                <w:szCs w:val="24"/>
                <w:lang w:val="en-US" w:eastAsia="zh-CN"/>
              </w:rPr>
              <w:t>临时</w:t>
            </w:r>
            <w:r>
              <w:rPr>
                <w:rFonts w:hint="eastAsia" w:ascii="Times New Roman" w:hAnsi="Times New Roman" w:eastAsia="宋体" w:cs="Times New Roman"/>
                <w:szCs w:val="24"/>
                <w:lang w:eastAsia="zh-CN"/>
              </w:rPr>
              <w:t>施工场地路面</w:t>
            </w:r>
            <w:r>
              <w:rPr>
                <w:rFonts w:hint="eastAsia" w:ascii="Times New Roman" w:hAnsi="Times New Roman" w:eastAsia="宋体" w:cs="Times New Roman"/>
                <w:szCs w:val="24"/>
                <w:lang w:val="en-US" w:eastAsia="zh-CN"/>
              </w:rPr>
              <w:t>需</w:t>
            </w:r>
            <w:r>
              <w:rPr>
                <w:rFonts w:hint="eastAsia" w:ascii="Times New Roman" w:hAnsi="Times New Roman" w:eastAsia="宋体" w:cs="Times New Roman"/>
                <w:szCs w:val="24"/>
                <w:lang w:eastAsia="zh-CN"/>
              </w:rPr>
              <w:t>硬化，场地四周将敷设排水沟，并利用洼地修建临时沉淀池，含SS、微量机油的施工废水及场地的车辆清洗废水排入沉淀池进行沉淀，沉淀时间不少</w:t>
            </w:r>
            <w:r>
              <w:rPr>
                <w:rFonts w:hint="eastAsia" w:ascii="Times New Roman" w:hAnsi="Times New Roman" w:eastAsia="宋体" w:cs="Times New Roman"/>
                <w:szCs w:val="24"/>
                <w:lang w:val="en-US" w:eastAsia="zh-CN"/>
              </w:rPr>
              <w:t>于2</w:t>
            </w:r>
            <w:r>
              <w:rPr>
                <w:rFonts w:hint="eastAsia" w:ascii="Times New Roman" w:hAnsi="Times New Roman" w:eastAsia="宋体" w:cs="Times New Roman"/>
                <w:szCs w:val="24"/>
                <w:lang w:eastAsia="zh-CN"/>
              </w:rPr>
              <w:t>小时，处理后尽可能回用于施工用水，也可用于洒水降尘，但应注意洒水量以及洒水地点的控制，避免施工废水进入</w:t>
            </w:r>
            <w:r>
              <w:rPr>
                <w:rFonts w:hint="eastAsia" w:ascii="Times New Roman" w:hAnsi="Times New Roman" w:eastAsia="宋体" w:cs="Times New Roman"/>
                <w:szCs w:val="24"/>
                <w:lang w:val="en-US" w:eastAsia="zh-CN"/>
              </w:rPr>
              <w:t>水体</w:t>
            </w:r>
            <w:r>
              <w:rPr>
                <w:rFonts w:hint="eastAsia" w:ascii="Times New Roman" w:hAnsi="Times New Roman" w:eastAsia="宋体" w:cs="Times New Roman"/>
                <w:szCs w:val="24"/>
                <w:lang w:eastAsia="zh-CN"/>
              </w:rPr>
              <w:t>。</w:t>
            </w:r>
          </w:p>
          <w:p w14:paraId="37C0421C">
            <w:pPr>
              <w:keepNext w:val="0"/>
              <w:keepLines w:val="0"/>
              <w:pageBreakBefore w:val="0"/>
              <w:widowControl w:val="0"/>
              <w:kinsoku/>
              <w:wordWrap/>
              <w:overflowPunct/>
              <w:topLinePunct w:val="0"/>
              <w:autoSpaceDE/>
              <w:autoSpaceDN/>
              <w:bidi w:val="0"/>
              <w:adjustRightInd/>
              <w:snapToGrid/>
              <w:spacing w:line="360" w:lineRule="auto"/>
              <w:ind w:left="37" w:right="30" w:firstLine="481"/>
              <w:textAlignment w:val="auto"/>
              <w:outlineLvl w:val="9"/>
              <w:rPr>
                <w:rFonts w:hint="default" w:ascii="Times New Roman" w:hAnsi="Times New Roman" w:eastAsia="宋体" w:cs="Times New Roman"/>
                <w:b w:val="0"/>
                <w:bCs w:val="0"/>
                <w:color w:val="auto"/>
                <w:spacing w:val="0"/>
                <w:position w:val="0"/>
                <w:sz w:val="24"/>
                <w:szCs w:val="24"/>
              </w:rPr>
            </w:pPr>
            <w:r>
              <w:rPr>
                <w:rFonts w:hint="eastAsia" w:ascii="宋体" w:hAnsi="宋体" w:eastAsia="宋体" w:cs="宋体"/>
                <w:b w:val="0"/>
                <w:bCs w:val="0"/>
                <w:color w:val="auto"/>
                <w:spacing w:val="0"/>
                <w:position w:val="0"/>
                <w:sz w:val="24"/>
                <w:szCs w:val="24"/>
              </w:rPr>
              <w:t>④</w:t>
            </w:r>
            <w:r>
              <w:rPr>
                <w:rFonts w:hint="default" w:ascii="Times New Roman" w:hAnsi="Times New Roman" w:eastAsia="宋体" w:cs="Times New Roman"/>
                <w:b w:val="0"/>
                <w:bCs w:val="0"/>
                <w:color w:val="auto"/>
                <w:spacing w:val="0"/>
                <w:position w:val="0"/>
                <w:sz w:val="24"/>
                <w:szCs w:val="24"/>
              </w:rPr>
              <w:t>帷幕灌浆防渗废水</w:t>
            </w:r>
          </w:p>
          <w:p w14:paraId="5080A5C4">
            <w:pPr>
              <w:keepNext w:val="0"/>
              <w:keepLines w:val="0"/>
              <w:pageBreakBefore w:val="0"/>
              <w:widowControl w:val="0"/>
              <w:kinsoku/>
              <w:wordWrap/>
              <w:overflowPunct/>
              <w:topLinePunct w:val="0"/>
              <w:autoSpaceDE/>
              <w:autoSpaceDN/>
              <w:bidi w:val="0"/>
              <w:adjustRightInd/>
              <w:snapToGrid/>
              <w:spacing w:line="360" w:lineRule="auto"/>
              <w:ind w:left="37" w:right="30" w:firstLine="481"/>
              <w:textAlignment w:val="auto"/>
              <w:outlineLvl w:val="9"/>
              <w:rPr>
                <w:rFonts w:hint="default" w:ascii="Times New Roman" w:hAnsi="Times New Roman" w:eastAsia="宋体" w:cs="Times New Roman"/>
                <w:b w:val="0"/>
                <w:bCs w:val="0"/>
                <w:color w:val="auto"/>
                <w:spacing w:val="0"/>
                <w:position w:val="0"/>
                <w:sz w:val="24"/>
                <w:szCs w:val="24"/>
              </w:rPr>
            </w:pPr>
            <w:r>
              <w:rPr>
                <w:rFonts w:hint="default" w:ascii="Times New Roman" w:hAnsi="Times New Roman" w:eastAsia="宋体" w:cs="Times New Roman"/>
                <w:b w:val="0"/>
                <w:bCs w:val="0"/>
                <w:color w:val="auto"/>
                <w:spacing w:val="0"/>
                <w:position w:val="0"/>
                <w:sz w:val="24"/>
                <w:szCs w:val="24"/>
              </w:rPr>
              <w:t>本项目水闸闸基帷幕灌浆防渗会产生少量防渗灌浆孔裂隙冲洗废水，主要为悬浮物，水泵通过相应的排水管连接，将帷幕灌浆防渗废水抽至沉淀池，处理达标后回用于洒水降尘。</w:t>
            </w:r>
          </w:p>
          <w:p w14:paraId="7831F0FC">
            <w:pPr>
              <w:keepNext w:val="0"/>
              <w:keepLines w:val="0"/>
              <w:pageBreakBefore w:val="0"/>
              <w:widowControl w:val="0"/>
              <w:kinsoku/>
              <w:wordWrap/>
              <w:overflowPunct/>
              <w:topLinePunct w:val="0"/>
              <w:autoSpaceDE/>
              <w:autoSpaceDN/>
              <w:bidi w:val="0"/>
              <w:adjustRightInd/>
              <w:snapToGrid/>
              <w:spacing w:line="360" w:lineRule="auto"/>
              <w:ind w:left="37" w:right="30" w:firstLine="481"/>
              <w:textAlignment w:val="auto"/>
              <w:outlineLvl w:val="9"/>
              <w:rPr>
                <w:rFonts w:hint="eastAsia" w:ascii="Times New Roman" w:hAnsi="Times New Roman" w:eastAsia="宋体" w:cs="Times New Roman"/>
                <w:szCs w:val="24"/>
                <w:lang w:eastAsia="zh-CN"/>
              </w:rPr>
            </w:pPr>
            <w:r>
              <w:rPr>
                <w:rFonts w:hint="default" w:ascii="Times New Roman" w:hAnsi="Times New Roman" w:eastAsia="宋体" w:cs="Times New Roman"/>
                <w:b w:val="0"/>
                <w:bCs w:val="0"/>
                <w:color w:val="auto"/>
                <w:spacing w:val="0"/>
                <w:position w:val="0"/>
                <w:sz w:val="24"/>
                <w:szCs w:val="24"/>
              </w:rPr>
              <w:t>应尽量缩短水闸闸基帷幕灌浆施工工期，项目在枯水期施工，对河道水体的影响较小，随着施工作业的结束，而逐渐消失。</w:t>
            </w:r>
          </w:p>
          <w:p w14:paraId="00232F48">
            <w:pPr>
              <w:pStyle w:val="252"/>
              <w:adjustRightInd w:val="0"/>
              <w:snapToGrid w:val="0"/>
              <w:ind w:firstLine="480"/>
              <w:rPr>
                <w:rFonts w:hint="default" w:ascii="Times New Roman" w:hAnsi="宋体" w:eastAsia="宋体" w:cs="Times New Roman"/>
                <w:lang w:val="en-US" w:eastAsia="zh-CN"/>
              </w:rPr>
            </w:pPr>
            <w:r>
              <w:rPr>
                <w:rFonts w:hint="eastAsia" w:ascii="Times New Roman" w:hAnsi="宋体" w:eastAsia="宋体" w:cs="Times New Roman"/>
                <w:lang w:val="en-US" w:eastAsia="zh-CN"/>
              </w:rPr>
              <w:t>（2）生活污水</w:t>
            </w:r>
          </w:p>
          <w:p w14:paraId="5A77516E">
            <w:pPr>
              <w:pStyle w:val="252"/>
              <w:adjustRightInd w:val="0"/>
              <w:snapToGrid w:val="0"/>
              <w:ind w:firstLine="480"/>
              <w:rPr>
                <w:rFonts w:hint="eastAsia" w:ascii="Times New Roman" w:hAnsi="Times New Roman" w:eastAsia="宋体" w:cs="Times New Roman"/>
                <w:szCs w:val="24"/>
                <w:lang w:eastAsia="zh-CN"/>
              </w:rPr>
            </w:pPr>
            <w:r>
              <w:rPr>
                <w:rFonts w:hint="eastAsia" w:ascii="Times New Roman" w:hAnsi="Times New Roman" w:eastAsia="宋体" w:cs="Times New Roman"/>
                <w:szCs w:val="24"/>
                <w:lang w:val="en-US" w:eastAsia="zh-CN"/>
              </w:rPr>
              <w:t>根据施工设计，</w:t>
            </w:r>
            <w:r>
              <w:rPr>
                <w:rFonts w:hint="eastAsia" w:ascii="Times New Roman" w:hAnsi="Times New Roman" w:eastAsia="宋体" w:cs="Times New Roman"/>
                <w:szCs w:val="24"/>
                <w:lang w:eastAsia="zh-CN"/>
              </w:rPr>
              <w:t>本工程施工人员依托民房内的生活设施，生活污水依托民房化粪池处理后定期用作农肥，不外排，对外环境影响</w:t>
            </w:r>
            <w:r>
              <w:rPr>
                <w:rFonts w:hint="eastAsia" w:ascii="Times New Roman" w:hAnsi="Times New Roman" w:eastAsia="宋体" w:cs="Times New Roman"/>
                <w:szCs w:val="24"/>
                <w:lang w:val="en-US" w:eastAsia="zh-CN"/>
              </w:rPr>
              <w:t>较小</w:t>
            </w:r>
            <w:r>
              <w:rPr>
                <w:rFonts w:hint="eastAsia" w:ascii="Times New Roman" w:hAnsi="Times New Roman" w:eastAsia="宋体" w:cs="Times New Roman"/>
                <w:szCs w:val="24"/>
                <w:lang w:eastAsia="zh-CN"/>
              </w:rPr>
              <w:t>。</w:t>
            </w:r>
          </w:p>
          <w:p w14:paraId="5C107A1C">
            <w:pPr>
              <w:pStyle w:val="252"/>
              <w:adjustRightInd w:val="0"/>
              <w:snapToGrid w:val="0"/>
              <w:ind w:firstLine="480"/>
              <w:rPr>
                <w:rFonts w:hint="default" w:ascii="Times New Roman" w:hAnsi="宋体" w:eastAsia="宋体" w:cs="Times New Roman"/>
                <w:lang w:val="en-US" w:eastAsia="zh-CN"/>
              </w:rPr>
            </w:pPr>
            <w:r>
              <w:rPr>
                <w:rFonts w:hint="eastAsia" w:ascii="Times New Roman" w:hAnsi="宋体" w:eastAsia="宋体" w:cs="Times New Roman"/>
                <w:lang w:val="en-US" w:eastAsia="zh-CN"/>
              </w:rPr>
              <w:t>（3）施工扰动对水质的影响分析</w:t>
            </w:r>
          </w:p>
          <w:p w14:paraId="2BBC2F28">
            <w:pPr>
              <w:pStyle w:val="252"/>
              <w:adjustRightInd w:val="0"/>
              <w:snapToGrid w:val="0"/>
              <w:ind w:firstLine="480"/>
              <w:rPr>
                <w:rFonts w:hint="eastAsia" w:ascii="Times New Roman" w:hAnsi="Times New Roman" w:eastAsia="宋体" w:cs="Times New Roman"/>
                <w:szCs w:val="24"/>
                <w:lang w:eastAsia="zh-CN"/>
              </w:rPr>
            </w:pPr>
            <w:r>
              <w:rPr>
                <w:rFonts w:hint="eastAsia" w:ascii="Times New Roman" w:hAnsi="宋体" w:eastAsia="宋体" w:cs="Times New Roman"/>
                <w:lang w:val="en-US" w:eastAsia="zh-CN"/>
              </w:rPr>
              <w:t>本项目</w:t>
            </w:r>
            <w:r>
              <w:rPr>
                <w:rFonts w:hint="eastAsia" w:ascii="Times New Roman" w:hAnsi="Times New Roman" w:eastAsia="宋体" w:cs="Times New Roman"/>
                <w:szCs w:val="24"/>
                <w:lang w:eastAsia="zh-CN"/>
              </w:rPr>
              <w:t>均有涉水作业，涉水施工时不可避免地扰动水体，产生一定的悬浮物，对地表水环境有一定的影响。</w:t>
            </w:r>
          </w:p>
          <w:p w14:paraId="228EDA55">
            <w:pPr>
              <w:pStyle w:val="252"/>
              <w:adjustRightInd w:val="0"/>
              <w:snapToGrid w:val="0"/>
              <w:ind w:firstLine="480"/>
              <w:rPr>
                <w:rFonts w:hint="eastAsia" w:ascii="Times New Roman" w:hAnsi="Times New Roman" w:eastAsia="宋体" w:cs="Times New Roman"/>
                <w:szCs w:val="24"/>
                <w:lang w:eastAsia="zh-CN"/>
              </w:rPr>
            </w:pPr>
            <w:r>
              <w:rPr>
                <w:rFonts w:hint="eastAsia" w:ascii="Times New Roman" w:hAnsi="Times New Roman" w:eastAsia="宋体" w:cs="Times New Roman"/>
                <w:szCs w:val="24"/>
                <w:lang w:eastAsia="zh-CN"/>
              </w:rPr>
              <w:t>项目在进行施工时，会先对河流施工涉水段进行施工导流</w:t>
            </w:r>
            <w:r>
              <w:rPr>
                <w:rFonts w:hint="eastAsia" w:ascii="Times New Roman" w:hAnsi="Times New Roman" w:eastAsia="宋体" w:cs="Times New Roman"/>
                <w:szCs w:val="24"/>
                <w:lang w:val="en-US" w:eastAsia="zh-CN"/>
              </w:rPr>
              <w:t>，且</w:t>
            </w:r>
            <w:r>
              <w:rPr>
                <w:rFonts w:hint="default" w:ascii="Times New Roman" w:hAnsi="Times New Roman" w:eastAsia="宋体" w:cs="Times New Roman"/>
                <w:szCs w:val="24"/>
                <w:lang w:val="en-US" w:eastAsia="zh-CN"/>
              </w:rPr>
              <w:t>基坑</w:t>
            </w:r>
            <w:r>
              <w:rPr>
                <w:rFonts w:hint="eastAsia" w:ascii="Times New Roman" w:hAnsi="Times New Roman" w:eastAsia="宋体" w:cs="Times New Roman"/>
                <w:szCs w:val="24"/>
                <w:lang w:val="en-US" w:eastAsia="zh-CN"/>
              </w:rPr>
              <w:t>废</w:t>
            </w:r>
            <w:r>
              <w:rPr>
                <w:rFonts w:hint="default" w:ascii="Times New Roman" w:hAnsi="Times New Roman" w:eastAsia="宋体" w:cs="Times New Roman"/>
                <w:szCs w:val="24"/>
                <w:lang w:val="en-US" w:eastAsia="zh-CN"/>
              </w:rPr>
              <w:t>水等废水不外排</w:t>
            </w:r>
            <w:r>
              <w:rPr>
                <w:rFonts w:hint="eastAsia" w:ascii="Times New Roman" w:hAnsi="Times New Roman" w:eastAsia="宋体" w:cs="Times New Roman"/>
                <w:szCs w:val="24"/>
                <w:lang w:eastAsia="zh-CN"/>
              </w:rPr>
              <w:t>。项目施工采用</w:t>
            </w:r>
            <w:r>
              <w:rPr>
                <w:rFonts w:hint="eastAsia" w:ascii="Times New Roman" w:hAnsi="Times New Roman" w:eastAsia="宋体" w:cs="Times New Roman"/>
                <w:szCs w:val="24"/>
                <w:lang w:val="en-US" w:eastAsia="zh-CN"/>
              </w:rPr>
              <w:t>二期</w:t>
            </w:r>
            <w:r>
              <w:rPr>
                <w:rFonts w:hint="eastAsia" w:ascii="Times New Roman" w:hAnsi="Times New Roman" w:eastAsia="宋体" w:cs="Times New Roman"/>
                <w:szCs w:val="24"/>
                <w:lang w:eastAsia="zh-CN"/>
              </w:rPr>
              <w:t>围堰</w:t>
            </w:r>
            <w:r>
              <w:rPr>
                <w:rFonts w:hint="eastAsia" w:ascii="Times New Roman" w:hAnsi="Times New Roman" w:eastAsia="宋体" w:cs="Times New Roman"/>
                <w:szCs w:val="24"/>
                <w:lang w:val="en-US" w:eastAsia="zh-CN"/>
              </w:rPr>
              <w:t>进行</w:t>
            </w:r>
            <w:r>
              <w:rPr>
                <w:rFonts w:hint="eastAsia" w:ascii="Times New Roman" w:hAnsi="Times New Roman" w:eastAsia="宋体" w:cs="Times New Roman"/>
                <w:szCs w:val="24"/>
                <w:lang w:eastAsia="zh-CN"/>
              </w:rPr>
              <w:t>导流，根据建设单位提供的</w:t>
            </w:r>
            <w:r>
              <w:rPr>
                <w:rFonts w:hint="eastAsia" w:ascii="Times New Roman" w:hAnsi="Times New Roman" w:eastAsia="宋体" w:cs="Times New Roman"/>
                <w:szCs w:val="24"/>
                <w:lang w:val="en-US" w:eastAsia="zh-CN"/>
              </w:rPr>
              <w:t>设计方案</w:t>
            </w:r>
            <w:r>
              <w:rPr>
                <w:rFonts w:hint="eastAsia" w:ascii="Times New Roman" w:hAnsi="Times New Roman" w:eastAsia="宋体" w:cs="Times New Roman"/>
                <w:szCs w:val="24"/>
                <w:lang w:eastAsia="zh-CN"/>
              </w:rPr>
              <w:t>可知，施工围堰计划枯水期进行，建设施工围堰时会对水体搅动，施工河段的SS浓度上升，局部水体中泥沙等悬浮物增加。由于围堰的施工持续时间较短，随着时间的变化，SS浓度会逐渐降低，水体重新变得清澈。</w:t>
            </w:r>
          </w:p>
          <w:p w14:paraId="6960BE74">
            <w:pPr>
              <w:keepNext w:val="0"/>
              <w:keepLines w:val="0"/>
              <w:pageBreakBefore w:val="0"/>
              <w:widowControl w:val="0"/>
              <w:kinsoku/>
              <w:wordWrap/>
              <w:overflowPunct/>
              <w:topLinePunct w:val="0"/>
              <w:autoSpaceDE/>
              <w:autoSpaceDN/>
              <w:bidi w:val="0"/>
              <w:adjustRightInd/>
              <w:snapToGrid/>
              <w:spacing w:line="360" w:lineRule="auto"/>
              <w:ind w:left="37" w:right="30" w:firstLine="481"/>
              <w:textAlignment w:val="auto"/>
              <w:outlineLvl w:val="9"/>
              <w:rPr>
                <w:rFonts w:hint="default" w:ascii="Times New Roman" w:hAnsi="Times New Roman" w:eastAsia="宋体" w:cs="Times New Roman"/>
                <w:b w:val="0"/>
                <w:bCs w:val="0"/>
                <w:color w:val="auto"/>
                <w:spacing w:val="0"/>
                <w:position w:val="0"/>
                <w:sz w:val="24"/>
                <w:szCs w:val="24"/>
              </w:rPr>
            </w:pP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4</w:t>
            </w:r>
            <w:r>
              <w:rPr>
                <w:rFonts w:hint="eastAsia" w:ascii="Times New Roman" w:hAnsi="Times New Roman" w:eastAsia="宋体" w:cs="Times New Roman"/>
                <w:szCs w:val="24"/>
                <w:lang w:eastAsia="zh-CN"/>
              </w:rPr>
              <w:t>）</w:t>
            </w:r>
            <w:r>
              <w:rPr>
                <w:rFonts w:hint="default" w:ascii="Times New Roman" w:hAnsi="Times New Roman" w:eastAsia="宋体" w:cs="Times New Roman"/>
                <w:b w:val="0"/>
                <w:bCs w:val="0"/>
                <w:color w:val="auto"/>
                <w:spacing w:val="0"/>
                <w:position w:val="0"/>
                <w:sz w:val="24"/>
                <w:szCs w:val="24"/>
              </w:rPr>
              <w:t>施工期水文影响分析</w:t>
            </w:r>
          </w:p>
          <w:p w14:paraId="28EADF37">
            <w:pPr>
              <w:keepNext w:val="0"/>
              <w:keepLines w:val="0"/>
              <w:pageBreakBefore w:val="0"/>
              <w:widowControl w:val="0"/>
              <w:kinsoku/>
              <w:wordWrap/>
              <w:overflowPunct/>
              <w:topLinePunct w:val="0"/>
              <w:autoSpaceDE/>
              <w:autoSpaceDN/>
              <w:bidi w:val="0"/>
              <w:adjustRightInd/>
              <w:snapToGrid/>
              <w:spacing w:line="360" w:lineRule="auto"/>
              <w:ind w:left="37" w:right="30" w:firstLine="481"/>
              <w:textAlignment w:val="auto"/>
              <w:outlineLvl w:val="9"/>
              <w:rPr>
                <w:rFonts w:hint="default" w:ascii="Times New Roman" w:hAnsi="Times New Roman" w:eastAsia="宋体" w:cs="Times New Roman"/>
                <w:b w:val="0"/>
                <w:bCs w:val="0"/>
                <w:color w:val="auto"/>
                <w:spacing w:val="0"/>
                <w:position w:val="0"/>
                <w:sz w:val="24"/>
                <w:szCs w:val="24"/>
              </w:rPr>
            </w:pPr>
            <w:r>
              <w:rPr>
                <w:rFonts w:hint="default" w:ascii="Times New Roman" w:hAnsi="Times New Roman" w:eastAsia="宋体" w:cs="Times New Roman"/>
                <w:b w:val="0"/>
                <w:bCs w:val="0"/>
                <w:color w:val="auto"/>
                <w:spacing w:val="0"/>
                <w:position w:val="0"/>
                <w:sz w:val="24"/>
                <w:szCs w:val="24"/>
              </w:rPr>
              <w:t>本项目采用分段施工，为施工时泄流需要，分左、右岸分段分期</w:t>
            </w:r>
            <w:r>
              <w:rPr>
                <w:rFonts w:hint="eastAsia" w:ascii="Times New Roman" w:hAnsi="Times New Roman" w:eastAsia="宋体" w:cs="Times New Roman"/>
                <w:b w:val="0"/>
                <w:bCs w:val="0"/>
                <w:color w:val="auto"/>
                <w:spacing w:val="0"/>
                <w:position w:val="0"/>
                <w:sz w:val="24"/>
                <w:szCs w:val="24"/>
                <w:lang w:val="en-US" w:eastAsia="zh-CN"/>
              </w:rPr>
              <w:t>围堰</w:t>
            </w:r>
            <w:r>
              <w:rPr>
                <w:rFonts w:hint="default" w:ascii="Times New Roman" w:hAnsi="Times New Roman" w:eastAsia="宋体" w:cs="Times New Roman"/>
                <w:b w:val="0"/>
                <w:bCs w:val="0"/>
                <w:color w:val="auto"/>
                <w:spacing w:val="0"/>
                <w:position w:val="0"/>
                <w:sz w:val="24"/>
                <w:szCs w:val="24"/>
              </w:rPr>
              <w:t>导流方式。在导流过程，与枯水期水闸正常运行情况相比，水闸泄流量增加，分期作业可保证水闸在施工过程中仍可维系泄流的功能，因此对水文要素影响不大。</w:t>
            </w:r>
          </w:p>
          <w:p w14:paraId="7BB96E90">
            <w:pPr>
              <w:keepNext w:val="0"/>
              <w:keepLines w:val="0"/>
              <w:pageBreakBefore w:val="0"/>
              <w:widowControl w:val="0"/>
              <w:kinsoku/>
              <w:wordWrap/>
              <w:overflowPunct/>
              <w:topLinePunct w:val="0"/>
              <w:autoSpaceDE/>
              <w:autoSpaceDN/>
              <w:bidi w:val="0"/>
              <w:adjustRightInd/>
              <w:snapToGrid/>
              <w:spacing w:line="360" w:lineRule="auto"/>
              <w:ind w:left="37" w:right="30" w:firstLine="481"/>
              <w:textAlignment w:val="auto"/>
              <w:outlineLvl w:val="9"/>
              <w:rPr>
                <w:rFonts w:hint="eastAsia" w:ascii="Times New Roman" w:hAnsi="Times New Roman" w:eastAsia="宋体" w:cs="Times New Roman"/>
                <w:szCs w:val="24"/>
                <w:lang w:eastAsia="zh-CN"/>
              </w:rPr>
            </w:pPr>
            <w:r>
              <w:rPr>
                <w:rFonts w:hint="default" w:ascii="Times New Roman" w:hAnsi="Times New Roman" w:eastAsia="宋体" w:cs="Times New Roman"/>
                <w:b w:val="0"/>
                <w:bCs w:val="0"/>
                <w:color w:val="auto"/>
                <w:spacing w:val="0"/>
                <w:position w:val="0"/>
                <w:sz w:val="24"/>
                <w:szCs w:val="24"/>
              </w:rPr>
              <w:t>施工过程处于上游来多少水放多少水的状态，为了维系下游灌溉取水及居民</w:t>
            </w:r>
            <w:r>
              <w:rPr>
                <w:rFonts w:hint="eastAsia" w:ascii="Times New Roman" w:hAnsi="Times New Roman" w:eastAsia="宋体" w:cs="Times New Roman"/>
                <w:b w:val="0"/>
                <w:bCs w:val="0"/>
                <w:color w:val="auto"/>
                <w:spacing w:val="0"/>
                <w:position w:val="0"/>
                <w:sz w:val="24"/>
                <w:szCs w:val="24"/>
                <w:lang w:val="en-US" w:eastAsia="zh-CN"/>
              </w:rPr>
              <w:t>用</w:t>
            </w:r>
            <w:r>
              <w:rPr>
                <w:rFonts w:hint="default" w:ascii="Times New Roman" w:hAnsi="Times New Roman" w:eastAsia="宋体" w:cs="Times New Roman"/>
                <w:b w:val="0"/>
                <w:bCs w:val="0"/>
                <w:color w:val="auto"/>
                <w:spacing w:val="0"/>
                <w:position w:val="0"/>
                <w:sz w:val="24"/>
                <w:szCs w:val="24"/>
              </w:rPr>
              <w:t>水，施工过程在围堰上游设置水泵进行持续性抽水，以保证正常的取水。因此项目施工对区域地表水水文要素影响很小。</w:t>
            </w:r>
          </w:p>
          <w:p w14:paraId="769445AA">
            <w:pPr>
              <w:pStyle w:val="233"/>
              <w:adjustRightInd w:val="0"/>
              <w:snapToGrid w:val="0"/>
              <w:spacing w:beforeLines="50" w:line="360" w:lineRule="auto"/>
              <w:ind w:firstLine="480"/>
              <w:rPr>
                <w:rFonts w:ascii="Times New Roman" w:hAnsi="Times New Roman" w:eastAsia="宋体" w:cs="Times New Roman"/>
                <w:color w:val="000000" w:themeColor="text1"/>
                <w:sz w:val="24"/>
                <w:u w:val="none" w:color="auto"/>
                <w14:textFill>
                  <w14:solidFill>
                    <w14:schemeClr w14:val="tx1"/>
                  </w14:solidFill>
                </w14:textFill>
              </w:rPr>
            </w:pPr>
            <w:r>
              <w:rPr>
                <w:rFonts w:ascii="Times New Roman" w:hAnsi="Times New Roman" w:eastAsia="宋体" w:cs="Times New Roman"/>
                <w:color w:val="000000" w:themeColor="text1"/>
                <w:sz w:val="24"/>
                <w:u w:val="none" w:color="auto"/>
                <w14:textFill>
                  <w14:solidFill>
                    <w14:schemeClr w14:val="tx1"/>
                  </w14:solidFill>
                </w14:textFill>
              </w:rPr>
              <w:t>2、施工期大气环境影响分析</w:t>
            </w:r>
          </w:p>
          <w:p w14:paraId="54C934D3">
            <w:pPr>
              <w:keepNext w:val="0"/>
              <w:keepLines w:val="0"/>
              <w:pageBreakBefore w:val="0"/>
              <w:widowControl w:val="0"/>
              <w:kinsoku/>
              <w:wordWrap/>
              <w:overflowPunct/>
              <w:topLinePunct w:val="0"/>
              <w:autoSpaceDE/>
              <w:autoSpaceDN/>
              <w:bidi w:val="0"/>
              <w:adjustRightInd/>
              <w:snapToGrid/>
              <w:spacing w:before="183" w:line="359" w:lineRule="auto"/>
              <w:ind w:left="166" w:right="159" w:firstLine="479"/>
              <w:outlineLvl w:val="9"/>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施工期对施工区域附近环境空气的污染主要来自施工扬尘、道路扬尘、施工机械排放的废气等。具体分析如下：</w:t>
            </w:r>
          </w:p>
          <w:p w14:paraId="21701F81">
            <w:pPr>
              <w:keepNext w:val="0"/>
              <w:keepLines w:val="0"/>
              <w:pageBreakBefore w:val="0"/>
              <w:widowControl w:val="0"/>
              <w:kinsoku/>
              <w:wordWrap/>
              <w:overflowPunct/>
              <w:topLinePunct w:val="0"/>
              <w:autoSpaceDE/>
              <w:autoSpaceDN/>
              <w:bidi w:val="0"/>
              <w:adjustRightInd/>
              <w:snapToGrid/>
              <w:spacing w:before="1" w:line="359" w:lineRule="auto"/>
              <w:ind w:left="168" w:right="159" w:firstLine="497"/>
              <w:outlineLvl w:val="9"/>
              <w:rPr>
                <w:rFonts w:hint="default" w:ascii="Times New Roman" w:hAnsi="Times New Roman" w:eastAsia="宋体" w:cs="Times New Roman"/>
                <w:b w:val="0"/>
                <w:bCs w:val="0"/>
                <w:color w:val="auto"/>
                <w:spacing w:val="0"/>
                <w:sz w:val="24"/>
                <w:szCs w:val="24"/>
              </w:rPr>
            </w:pPr>
            <w:r>
              <w:rPr>
                <w:rFonts w:hint="default" w:ascii="Times New Roman" w:hAnsi="Times New Roman" w:eastAsia="Times New Roman" w:cs="Times New Roman"/>
                <w:b w:val="0"/>
                <w:bCs w:val="0"/>
                <w:color w:val="auto"/>
                <w:spacing w:val="0"/>
                <w:sz w:val="24"/>
                <w:szCs w:val="24"/>
              </w:rPr>
              <w:t>1</w:t>
            </w:r>
            <w:r>
              <w:rPr>
                <w:rFonts w:hint="default" w:ascii="Times New Roman" w:hAnsi="Times New Roman" w:eastAsia="宋体" w:cs="Times New Roman"/>
                <w:b w:val="0"/>
                <w:bCs w:val="0"/>
                <w:color w:val="auto"/>
                <w:spacing w:val="0"/>
                <w:sz w:val="24"/>
                <w:szCs w:val="24"/>
              </w:rPr>
              <w:t>、施工扬尘土方开挖、回填等短时期使施工区粉尘浓度增大，对施工现场空气质量产生一定影响。根据类比调查，一般情况下，施工场地、施工道路在自然风作用下产生的扬尘对</w:t>
            </w:r>
            <w:r>
              <w:rPr>
                <w:rFonts w:hint="default" w:ascii="Times New Roman" w:hAnsi="Times New Roman" w:eastAsia="Times New Roman" w:cs="Times New Roman"/>
                <w:b w:val="0"/>
                <w:bCs w:val="0"/>
                <w:color w:val="auto"/>
                <w:spacing w:val="0"/>
                <w:sz w:val="24"/>
                <w:szCs w:val="24"/>
              </w:rPr>
              <w:t>100m</w:t>
            </w:r>
            <w:r>
              <w:rPr>
                <w:rFonts w:hint="default" w:ascii="Times New Roman" w:hAnsi="Times New Roman" w:eastAsia="宋体" w:cs="Times New Roman"/>
                <w:b w:val="0"/>
                <w:bCs w:val="0"/>
                <w:color w:val="auto"/>
                <w:spacing w:val="0"/>
                <w:sz w:val="24"/>
                <w:szCs w:val="24"/>
              </w:rPr>
              <w:t>范围内的空气质量有影响。建议开挖施工采取定时洒水等必要的降尘措施，最大限度的减少扬尘产生量及对周围大气环境的影响。</w:t>
            </w:r>
          </w:p>
          <w:p w14:paraId="6543E40C">
            <w:pPr>
              <w:keepNext w:val="0"/>
              <w:keepLines w:val="0"/>
              <w:pageBreakBefore w:val="0"/>
              <w:widowControl w:val="0"/>
              <w:kinsoku/>
              <w:wordWrap/>
              <w:overflowPunct/>
              <w:topLinePunct w:val="0"/>
              <w:autoSpaceDE/>
              <w:autoSpaceDN/>
              <w:bidi w:val="0"/>
              <w:adjustRightInd/>
              <w:snapToGrid/>
              <w:spacing w:before="1" w:line="360" w:lineRule="auto"/>
              <w:ind w:left="643"/>
              <w:outlineLvl w:val="9"/>
              <w:rPr>
                <w:rFonts w:hint="default" w:ascii="Times New Roman" w:hAnsi="Times New Roman" w:eastAsia="宋体" w:cs="Times New Roman"/>
                <w:b w:val="0"/>
                <w:bCs w:val="0"/>
                <w:color w:val="auto"/>
                <w:spacing w:val="0"/>
                <w:sz w:val="24"/>
                <w:szCs w:val="24"/>
              </w:rPr>
            </w:pPr>
            <w:bookmarkStart w:id="8" w:name="_Toc18751"/>
            <w:r>
              <w:rPr>
                <w:rFonts w:hint="default" w:ascii="Times New Roman" w:hAnsi="Times New Roman" w:eastAsia="Times New Roman" w:cs="Times New Roman"/>
                <w:b w:val="0"/>
                <w:bCs w:val="0"/>
                <w:color w:val="auto"/>
                <w:spacing w:val="0"/>
                <w:sz w:val="24"/>
                <w:szCs w:val="24"/>
              </w:rPr>
              <w:t>2</w:t>
            </w:r>
            <w:r>
              <w:rPr>
                <w:rFonts w:hint="default" w:ascii="Times New Roman" w:hAnsi="Times New Roman" w:eastAsia="宋体" w:cs="Times New Roman"/>
                <w:b w:val="0"/>
                <w:bCs w:val="0"/>
                <w:color w:val="auto"/>
                <w:spacing w:val="0"/>
                <w:sz w:val="24"/>
                <w:szCs w:val="24"/>
              </w:rPr>
              <w:t>、运输道路扬尘</w:t>
            </w:r>
            <w:bookmarkEnd w:id="8"/>
          </w:p>
          <w:p w14:paraId="7AC2B1D1">
            <w:pPr>
              <w:keepNext w:val="0"/>
              <w:keepLines w:val="0"/>
              <w:pageBreakBefore w:val="0"/>
              <w:widowControl w:val="0"/>
              <w:kinsoku/>
              <w:wordWrap/>
              <w:overflowPunct/>
              <w:topLinePunct w:val="0"/>
              <w:autoSpaceDE/>
              <w:autoSpaceDN/>
              <w:bidi w:val="0"/>
              <w:adjustRightInd/>
              <w:snapToGrid/>
              <w:spacing w:before="3" w:line="360" w:lineRule="auto"/>
              <w:ind w:left="167" w:right="159" w:firstLine="481"/>
              <w:outlineLvl w:val="9"/>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pacing w:val="0"/>
                <w:sz w:val="24"/>
                <w:szCs w:val="24"/>
              </w:rPr>
              <w:t>车辆行驶产生的动力起尘，路面清洁程度不同，车辆行驶速度不同，产生的扬尘量也不同。当一辆</w:t>
            </w:r>
            <w:r>
              <w:rPr>
                <w:rFonts w:hint="default" w:ascii="Times New Roman" w:hAnsi="Times New Roman" w:eastAsia="Times New Roman" w:cs="Times New Roman"/>
                <w:b w:val="0"/>
                <w:bCs w:val="0"/>
                <w:color w:val="auto"/>
                <w:spacing w:val="0"/>
                <w:sz w:val="24"/>
                <w:szCs w:val="24"/>
              </w:rPr>
              <w:t>10t</w:t>
            </w:r>
            <w:r>
              <w:rPr>
                <w:rFonts w:hint="default" w:ascii="Times New Roman" w:hAnsi="Times New Roman" w:eastAsia="宋体" w:cs="Times New Roman"/>
                <w:b w:val="0"/>
                <w:bCs w:val="0"/>
                <w:color w:val="auto"/>
                <w:spacing w:val="0"/>
                <w:sz w:val="24"/>
                <w:szCs w:val="24"/>
              </w:rPr>
              <w:t>卡车通过一段</w:t>
            </w:r>
            <w:r>
              <w:rPr>
                <w:rFonts w:hint="default" w:ascii="Times New Roman" w:hAnsi="Times New Roman" w:eastAsia="Times New Roman" w:cs="Times New Roman"/>
                <w:b w:val="0"/>
                <w:bCs w:val="0"/>
                <w:color w:val="auto"/>
                <w:spacing w:val="0"/>
                <w:sz w:val="24"/>
                <w:szCs w:val="24"/>
              </w:rPr>
              <w:t>1km</w:t>
            </w:r>
            <w:r>
              <w:rPr>
                <w:rFonts w:hint="default" w:ascii="Times New Roman" w:hAnsi="Times New Roman" w:eastAsia="宋体" w:cs="Times New Roman"/>
                <w:b w:val="0"/>
                <w:bCs w:val="0"/>
                <w:color w:val="auto"/>
                <w:spacing w:val="0"/>
                <w:sz w:val="24"/>
                <w:szCs w:val="24"/>
              </w:rPr>
              <w:t>的路面时，不同车速及地面清洁程度的汽车扬尘详见表</w:t>
            </w:r>
            <w:r>
              <w:rPr>
                <w:rFonts w:hint="default" w:ascii="Times New Roman" w:hAnsi="Times New Roman" w:eastAsia="Times New Roman" w:cs="Times New Roman"/>
                <w:b w:val="0"/>
                <w:bCs w:val="0"/>
                <w:color w:val="auto"/>
                <w:spacing w:val="0"/>
                <w:sz w:val="24"/>
                <w:szCs w:val="24"/>
              </w:rPr>
              <w:t>6.1-1</w:t>
            </w:r>
            <w:r>
              <w:rPr>
                <w:rFonts w:hint="default" w:ascii="Times New Roman" w:hAnsi="Times New Roman" w:eastAsia="宋体" w:cs="Times New Roman"/>
                <w:b w:val="0"/>
                <w:bCs w:val="0"/>
                <w:color w:val="auto"/>
                <w:spacing w:val="0"/>
                <w:sz w:val="24"/>
                <w:szCs w:val="24"/>
              </w:rPr>
              <w:t>，施工场地洒水抑尘试验结果见表</w:t>
            </w:r>
            <w:r>
              <w:rPr>
                <w:rFonts w:hint="eastAsia" w:eastAsia="宋体" w:cs="Times New Roman"/>
                <w:b w:val="0"/>
                <w:bCs w:val="0"/>
                <w:color w:val="auto"/>
                <w:spacing w:val="0"/>
                <w:sz w:val="24"/>
                <w:szCs w:val="24"/>
                <w:lang w:val="en-US" w:eastAsia="zh-CN"/>
              </w:rPr>
              <w:t>4-1</w:t>
            </w:r>
            <w:r>
              <w:rPr>
                <w:rFonts w:hint="default" w:ascii="Times New Roman" w:hAnsi="Times New Roman" w:eastAsia="宋体" w:cs="Times New Roman"/>
                <w:b w:val="0"/>
                <w:bCs w:val="0"/>
                <w:color w:val="auto"/>
                <w:spacing w:val="-5"/>
                <w:sz w:val="24"/>
                <w:szCs w:val="24"/>
              </w:rPr>
              <w:t>。</w:t>
            </w:r>
          </w:p>
          <w:p w14:paraId="032E0292">
            <w:pPr>
              <w:keepNext w:val="0"/>
              <w:keepLines w:val="0"/>
              <w:pageBreakBefore w:val="0"/>
              <w:widowControl w:val="0"/>
              <w:kinsoku/>
              <w:wordWrap/>
              <w:overflowPunct/>
              <w:topLinePunct w:val="0"/>
              <w:autoSpaceDE/>
              <w:autoSpaceDN/>
              <w:bidi w:val="0"/>
              <w:adjustRightInd/>
              <w:snapToGrid/>
              <w:spacing w:before="47" w:line="185" w:lineRule="auto"/>
              <w:ind w:left="634"/>
              <w:outlineLvl w:val="9"/>
              <w:rPr>
                <w:rFonts w:hint="default" w:ascii="Times New Roman" w:hAnsi="Times New Roman" w:eastAsia="Times New Roman" w:cs="Times New Roman"/>
                <w:b w:val="0"/>
                <w:bCs w:val="0"/>
                <w:color w:val="auto"/>
                <w:sz w:val="24"/>
                <w:szCs w:val="24"/>
              </w:rPr>
            </w:pPr>
            <w:r>
              <w:rPr>
                <w:rFonts w:hint="default" w:ascii="Times New Roman" w:hAnsi="Times New Roman" w:eastAsia="宋体" w:cs="Times New Roman"/>
                <w:b w:val="0"/>
                <w:bCs w:val="0"/>
                <w:color w:val="auto"/>
                <w:spacing w:val="-10"/>
                <w:sz w:val="24"/>
                <w:szCs w:val="24"/>
                <w14:textOutline w14:w="4354" w14:cap="flat" w14:cmpd="sng">
                  <w14:solidFill>
                    <w14:srgbClr w14:val="000000"/>
                  </w14:solidFill>
                  <w14:prstDash w14:val="solid"/>
                  <w14:miter w14:val="0"/>
                </w14:textOutline>
              </w:rPr>
              <w:t>表</w:t>
            </w:r>
            <w:r>
              <w:rPr>
                <w:rFonts w:hint="eastAsia" w:eastAsia="宋体" w:cs="Times New Roman"/>
                <w:b w:val="0"/>
                <w:bCs w:val="0"/>
                <w:color w:val="auto"/>
                <w:spacing w:val="-10"/>
                <w:sz w:val="24"/>
                <w:szCs w:val="24"/>
                <w:lang w:val="en-US" w:eastAsia="zh-CN"/>
              </w:rPr>
              <w:t>4-1</w:t>
            </w:r>
            <w:r>
              <w:rPr>
                <w:rFonts w:hint="default" w:ascii="Times New Roman" w:hAnsi="Times New Roman" w:eastAsia="宋体" w:cs="Times New Roman"/>
                <w:b w:val="0"/>
                <w:bCs w:val="0"/>
                <w:color w:val="auto"/>
                <w:spacing w:val="-5"/>
                <w:sz w:val="24"/>
                <w:szCs w:val="24"/>
                <w14:textOutline w14:w="4354" w14:cap="flat" w14:cmpd="sng">
                  <w14:solidFill>
                    <w14:srgbClr w14:val="000000"/>
                  </w14:solidFill>
                  <w14:prstDash w14:val="solid"/>
                  <w14:miter w14:val="0"/>
                </w14:textOutline>
              </w:rPr>
              <w:t>不同车速和地面清洁程度时的汽车扬尘单位：</w:t>
            </w:r>
            <w:r>
              <w:rPr>
                <w:rFonts w:hint="default" w:ascii="Times New Roman" w:hAnsi="Times New Roman" w:eastAsia="Times New Roman" w:cs="Times New Roman"/>
                <w:b w:val="0"/>
                <w:bCs w:val="0"/>
                <w:color w:val="auto"/>
                <w:spacing w:val="-5"/>
                <w:sz w:val="24"/>
                <w:szCs w:val="24"/>
              </w:rPr>
              <w:t>kg/</w:t>
            </w:r>
            <w:r>
              <w:rPr>
                <w:rFonts w:hint="default" w:ascii="Times New Roman" w:hAnsi="Times New Roman" w:eastAsia="宋体" w:cs="Times New Roman"/>
                <w:b w:val="0"/>
                <w:bCs w:val="0"/>
                <w:color w:val="auto"/>
                <w:spacing w:val="-5"/>
                <w:sz w:val="24"/>
                <w:szCs w:val="24"/>
                <w14:textOutline w14:w="4354" w14:cap="flat" w14:cmpd="sng">
                  <w14:solidFill>
                    <w14:srgbClr w14:val="000000"/>
                  </w14:solidFill>
                  <w14:prstDash w14:val="solid"/>
                  <w14:miter w14:val="0"/>
                </w14:textOutline>
              </w:rPr>
              <w:t>辆</w:t>
            </w:r>
            <w:r>
              <w:rPr>
                <w:rFonts w:hint="default" w:ascii="Times New Roman" w:hAnsi="Times New Roman" w:eastAsia="微软雅黑" w:cs="Times New Roman"/>
                <w:b w:val="0"/>
                <w:bCs w:val="0"/>
                <w:color w:val="auto"/>
                <w:spacing w:val="-5"/>
                <w:sz w:val="24"/>
                <w:szCs w:val="24"/>
                <w14:textOutline w14:w="3175" w14:cap="flat" w14:cmpd="sng">
                  <w14:solidFill>
                    <w14:srgbClr w14:val="000000"/>
                  </w14:solidFill>
                  <w14:prstDash w14:val="solid"/>
                  <w14:miter w14:val="0"/>
                </w14:textOutline>
              </w:rPr>
              <w:t>・</w:t>
            </w:r>
            <w:r>
              <w:rPr>
                <w:rFonts w:hint="default" w:ascii="Times New Roman" w:hAnsi="Times New Roman" w:eastAsia="Times New Roman" w:cs="Times New Roman"/>
                <w:b w:val="0"/>
                <w:bCs w:val="0"/>
                <w:color w:val="auto"/>
                <w:spacing w:val="-5"/>
                <w:sz w:val="24"/>
                <w:szCs w:val="24"/>
              </w:rPr>
              <w:t>km</w:t>
            </w:r>
          </w:p>
          <w:tbl>
            <w:tblPr>
              <w:tblStyle w:val="236"/>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24"/>
              <w:gridCol w:w="1110"/>
              <w:gridCol w:w="1105"/>
              <w:gridCol w:w="1113"/>
              <w:gridCol w:w="1105"/>
              <w:gridCol w:w="1107"/>
              <w:gridCol w:w="1342"/>
            </w:tblGrid>
            <w:tr w14:paraId="194C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1424" w:type="dxa"/>
                  <w:vAlign w:val="center"/>
                </w:tcPr>
                <w:p w14:paraId="5A995BE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Times New Roman" w:cs="Times New Roman"/>
                      <w:b w:val="0"/>
                      <w:bCs w:val="0"/>
                      <w:color w:val="auto"/>
                      <w:sz w:val="21"/>
                      <w:szCs w:val="21"/>
                    </w:rPr>
                    <w:t>P</w:t>
                  </w:r>
                  <w:r>
                    <w:rPr>
                      <w:rFonts w:hint="default" w:ascii="Times New Roman" w:hAnsi="Times New Roman" w:eastAsia="宋体" w:cs="Times New Roman"/>
                      <w:b w:val="0"/>
                      <w:bCs w:val="0"/>
                      <w:color w:val="auto"/>
                      <w:spacing w:val="1"/>
                      <w:sz w:val="21"/>
                      <w:szCs w:val="21"/>
                    </w:rPr>
                    <w:t>车速</w:t>
                  </w:r>
                </w:p>
              </w:tc>
              <w:tc>
                <w:tcPr>
                  <w:tcW w:w="1110" w:type="dxa"/>
                  <w:vAlign w:val="center"/>
                </w:tcPr>
                <w:p w14:paraId="58BC930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Times New Roman" w:cs="Times New Roman"/>
                      <w:b w:val="0"/>
                      <w:bCs w:val="0"/>
                      <w:color w:val="auto"/>
                      <w:spacing w:val="-3"/>
                      <w:sz w:val="21"/>
                      <w:szCs w:val="21"/>
                    </w:rPr>
                    <w:t>0</w:t>
                  </w:r>
                  <w:r>
                    <w:rPr>
                      <w:rFonts w:hint="default" w:ascii="Times New Roman" w:hAnsi="Times New Roman" w:eastAsia="Times New Roman" w:cs="Times New Roman"/>
                      <w:b w:val="0"/>
                      <w:bCs w:val="0"/>
                      <w:color w:val="auto"/>
                      <w:spacing w:val="-2"/>
                      <w:sz w:val="21"/>
                      <w:szCs w:val="21"/>
                    </w:rPr>
                    <w:t>.1</w:t>
                  </w:r>
                  <w:r>
                    <w:rPr>
                      <w:rFonts w:hint="eastAsia" w:ascii="Times New Roman" w:hAnsi="Times New Roman" w:eastAsia="宋体" w:cs="Times New Roman"/>
                      <w:b w:val="0"/>
                      <w:bCs w:val="0"/>
                      <w:color w:val="auto"/>
                      <w:spacing w:val="11"/>
                      <w:sz w:val="21"/>
                      <w:szCs w:val="21"/>
                      <w:lang w:eastAsia="zh-CN"/>
                    </w:rPr>
                    <w:t>（</w:t>
                  </w:r>
                  <w:r>
                    <w:rPr>
                      <w:rFonts w:hint="default" w:ascii="Times New Roman" w:hAnsi="Times New Roman" w:eastAsia="Times New Roman" w:cs="Times New Roman"/>
                      <w:b w:val="0"/>
                      <w:bCs w:val="0"/>
                      <w:color w:val="auto"/>
                      <w:sz w:val="21"/>
                      <w:szCs w:val="21"/>
                    </w:rPr>
                    <w:t>kg</w:t>
                  </w:r>
                  <w:r>
                    <w:rPr>
                      <w:rFonts w:hint="default" w:ascii="Times New Roman" w:hAnsi="Times New Roman" w:eastAsia="Times New Roman" w:cs="Times New Roman"/>
                      <w:b w:val="0"/>
                      <w:bCs w:val="0"/>
                      <w:color w:val="auto"/>
                      <w:spacing w:val="10"/>
                      <w:sz w:val="21"/>
                      <w:szCs w:val="21"/>
                    </w:rPr>
                    <w:t>/</w:t>
                  </w:r>
                  <w:r>
                    <w:rPr>
                      <w:rFonts w:hint="default" w:ascii="Times New Roman" w:hAnsi="Times New Roman" w:eastAsia="Times New Roman" w:cs="Times New Roman"/>
                      <w:b w:val="0"/>
                      <w:bCs w:val="0"/>
                      <w:color w:val="auto"/>
                      <w:sz w:val="21"/>
                      <w:szCs w:val="21"/>
                    </w:rPr>
                    <w:t>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pacing w:val="10"/>
                      <w:sz w:val="21"/>
                      <w:szCs w:val="21"/>
                      <w:lang w:eastAsia="zh-CN"/>
                    </w:rPr>
                    <w:t>）</w:t>
                  </w:r>
                </w:p>
              </w:tc>
              <w:tc>
                <w:tcPr>
                  <w:tcW w:w="1105" w:type="dxa"/>
                  <w:vAlign w:val="center"/>
                </w:tcPr>
                <w:p w14:paraId="4EE009B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Times New Roman" w:cs="Times New Roman"/>
                      <w:b w:val="0"/>
                      <w:bCs w:val="0"/>
                      <w:color w:val="auto"/>
                      <w:spacing w:val="-3"/>
                      <w:sz w:val="21"/>
                      <w:szCs w:val="21"/>
                    </w:rPr>
                    <w:t>0</w:t>
                  </w:r>
                  <w:r>
                    <w:rPr>
                      <w:rFonts w:hint="default" w:ascii="Times New Roman" w:hAnsi="Times New Roman" w:eastAsia="Times New Roman" w:cs="Times New Roman"/>
                      <w:b w:val="0"/>
                      <w:bCs w:val="0"/>
                      <w:color w:val="auto"/>
                      <w:spacing w:val="-2"/>
                      <w:sz w:val="21"/>
                      <w:szCs w:val="21"/>
                    </w:rPr>
                    <w:t>.2</w:t>
                  </w:r>
                  <w:r>
                    <w:rPr>
                      <w:rFonts w:hint="eastAsia" w:ascii="Times New Roman" w:hAnsi="Times New Roman" w:eastAsia="宋体" w:cs="Times New Roman"/>
                      <w:b w:val="0"/>
                      <w:bCs w:val="0"/>
                      <w:color w:val="auto"/>
                      <w:spacing w:val="10"/>
                      <w:sz w:val="21"/>
                      <w:szCs w:val="21"/>
                      <w:lang w:eastAsia="zh-CN"/>
                    </w:rPr>
                    <w:t>（</w:t>
                  </w:r>
                  <w:r>
                    <w:rPr>
                      <w:rFonts w:hint="default" w:ascii="Times New Roman" w:hAnsi="Times New Roman" w:eastAsia="Times New Roman" w:cs="Times New Roman"/>
                      <w:b w:val="0"/>
                      <w:bCs w:val="0"/>
                      <w:color w:val="auto"/>
                      <w:sz w:val="21"/>
                      <w:szCs w:val="21"/>
                    </w:rPr>
                    <w:t>kg</w:t>
                  </w:r>
                  <w:r>
                    <w:rPr>
                      <w:rFonts w:hint="default" w:ascii="Times New Roman" w:hAnsi="Times New Roman" w:eastAsia="Times New Roman" w:cs="Times New Roman"/>
                      <w:b w:val="0"/>
                      <w:bCs w:val="0"/>
                      <w:color w:val="auto"/>
                      <w:spacing w:val="10"/>
                      <w:sz w:val="21"/>
                      <w:szCs w:val="21"/>
                    </w:rPr>
                    <w:t>/</w:t>
                  </w:r>
                  <w:r>
                    <w:rPr>
                      <w:rFonts w:hint="default" w:ascii="Times New Roman" w:hAnsi="Times New Roman" w:eastAsia="Times New Roman" w:cs="Times New Roman"/>
                      <w:b w:val="0"/>
                      <w:bCs w:val="0"/>
                      <w:color w:val="auto"/>
                      <w:sz w:val="21"/>
                      <w:szCs w:val="21"/>
                    </w:rPr>
                    <w:t>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pacing w:val="10"/>
                      <w:sz w:val="21"/>
                      <w:szCs w:val="21"/>
                      <w:lang w:eastAsia="zh-CN"/>
                    </w:rPr>
                    <w:t>）</w:t>
                  </w:r>
                </w:p>
              </w:tc>
              <w:tc>
                <w:tcPr>
                  <w:tcW w:w="1113" w:type="dxa"/>
                  <w:vAlign w:val="center"/>
                </w:tcPr>
                <w:p w14:paraId="09022E2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Times New Roman" w:cs="Times New Roman"/>
                      <w:b w:val="0"/>
                      <w:bCs w:val="0"/>
                      <w:color w:val="auto"/>
                      <w:spacing w:val="-3"/>
                      <w:sz w:val="21"/>
                      <w:szCs w:val="21"/>
                    </w:rPr>
                    <w:t>0</w:t>
                  </w:r>
                  <w:r>
                    <w:rPr>
                      <w:rFonts w:hint="default" w:ascii="Times New Roman" w:hAnsi="Times New Roman" w:eastAsia="Times New Roman" w:cs="Times New Roman"/>
                      <w:b w:val="0"/>
                      <w:bCs w:val="0"/>
                      <w:color w:val="auto"/>
                      <w:spacing w:val="-2"/>
                      <w:sz w:val="21"/>
                      <w:szCs w:val="21"/>
                    </w:rPr>
                    <w:t>.3</w:t>
                  </w:r>
                  <w:r>
                    <w:rPr>
                      <w:rFonts w:hint="eastAsia" w:ascii="Times New Roman" w:hAnsi="Times New Roman" w:eastAsia="宋体" w:cs="Times New Roman"/>
                      <w:b w:val="0"/>
                      <w:bCs w:val="0"/>
                      <w:color w:val="auto"/>
                      <w:spacing w:val="10"/>
                      <w:sz w:val="21"/>
                      <w:szCs w:val="21"/>
                      <w:lang w:eastAsia="zh-CN"/>
                    </w:rPr>
                    <w:t>（</w:t>
                  </w:r>
                  <w:r>
                    <w:rPr>
                      <w:rFonts w:hint="default" w:ascii="Times New Roman" w:hAnsi="Times New Roman" w:eastAsia="Times New Roman" w:cs="Times New Roman"/>
                      <w:b w:val="0"/>
                      <w:bCs w:val="0"/>
                      <w:color w:val="auto"/>
                      <w:sz w:val="21"/>
                      <w:szCs w:val="21"/>
                    </w:rPr>
                    <w:t>kg</w:t>
                  </w:r>
                  <w:r>
                    <w:rPr>
                      <w:rFonts w:hint="default" w:ascii="Times New Roman" w:hAnsi="Times New Roman" w:eastAsia="Times New Roman" w:cs="Times New Roman"/>
                      <w:b w:val="0"/>
                      <w:bCs w:val="0"/>
                      <w:color w:val="auto"/>
                      <w:spacing w:val="10"/>
                      <w:sz w:val="21"/>
                      <w:szCs w:val="21"/>
                    </w:rPr>
                    <w:t>/</w:t>
                  </w:r>
                  <w:r>
                    <w:rPr>
                      <w:rFonts w:hint="default" w:ascii="Times New Roman" w:hAnsi="Times New Roman" w:eastAsia="Times New Roman" w:cs="Times New Roman"/>
                      <w:b w:val="0"/>
                      <w:bCs w:val="0"/>
                      <w:color w:val="auto"/>
                      <w:sz w:val="21"/>
                      <w:szCs w:val="21"/>
                    </w:rPr>
                    <w:t>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pacing w:val="10"/>
                      <w:sz w:val="21"/>
                      <w:szCs w:val="21"/>
                      <w:lang w:eastAsia="zh-CN"/>
                    </w:rPr>
                    <w:t>）</w:t>
                  </w:r>
                </w:p>
              </w:tc>
              <w:tc>
                <w:tcPr>
                  <w:tcW w:w="1105" w:type="dxa"/>
                  <w:vAlign w:val="center"/>
                </w:tcPr>
                <w:p w14:paraId="4DC2582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Times New Roman" w:cs="Times New Roman"/>
                      <w:b w:val="0"/>
                      <w:bCs w:val="0"/>
                      <w:color w:val="auto"/>
                      <w:spacing w:val="-3"/>
                      <w:sz w:val="21"/>
                      <w:szCs w:val="21"/>
                    </w:rPr>
                    <w:t>0</w:t>
                  </w:r>
                  <w:r>
                    <w:rPr>
                      <w:rFonts w:hint="default" w:ascii="Times New Roman" w:hAnsi="Times New Roman" w:eastAsia="Times New Roman" w:cs="Times New Roman"/>
                      <w:b w:val="0"/>
                      <w:bCs w:val="0"/>
                      <w:color w:val="auto"/>
                      <w:spacing w:val="-2"/>
                      <w:sz w:val="21"/>
                      <w:szCs w:val="21"/>
                    </w:rPr>
                    <w:t>.4</w:t>
                  </w:r>
                  <w:r>
                    <w:rPr>
                      <w:rFonts w:hint="eastAsia" w:ascii="Times New Roman" w:hAnsi="Times New Roman" w:eastAsia="宋体" w:cs="Times New Roman"/>
                      <w:b w:val="0"/>
                      <w:bCs w:val="0"/>
                      <w:color w:val="auto"/>
                      <w:spacing w:val="10"/>
                      <w:sz w:val="21"/>
                      <w:szCs w:val="21"/>
                      <w:lang w:eastAsia="zh-CN"/>
                    </w:rPr>
                    <w:t>（</w:t>
                  </w:r>
                  <w:r>
                    <w:rPr>
                      <w:rFonts w:hint="default" w:ascii="Times New Roman" w:hAnsi="Times New Roman" w:eastAsia="Times New Roman" w:cs="Times New Roman"/>
                      <w:b w:val="0"/>
                      <w:bCs w:val="0"/>
                      <w:color w:val="auto"/>
                      <w:sz w:val="21"/>
                      <w:szCs w:val="21"/>
                    </w:rPr>
                    <w:t>kg</w:t>
                  </w:r>
                  <w:r>
                    <w:rPr>
                      <w:rFonts w:hint="default" w:ascii="Times New Roman" w:hAnsi="Times New Roman" w:eastAsia="Times New Roman" w:cs="Times New Roman"/>
                      <w:b w:val="0"/>
                      <w:bCs w:val="0"/>
                      <w:color w:val="auto"/>
                      <w:spacing w:val="10"/>
                      <w:sz w:val="21"/>
                      <w:szCs w:val="21"/>
                    </w:rPr>
                    <w:t>/</w:t>
                  </w:r>
                  <w:r>
                    <w:rPr>
                      <w:rFonts w:hint="default" w:ascii="Times New Roman" w:hAnsi="Times New Roman" w:eastAsia="Times New Roman" w:cs="Times New Roman"/>
                      <w:b w:val="0"/>
                      <w:bCs w:val="0"/>
                      <w:color w:val="auto"/>
                      <w:sz w:val="21"/>
                      <w:szCs w:val="21"/>
                    </w:rPr>
                    <w:t>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pacing w:val="10"/>
                      <w:sz w:val="21"/>
                      <w:szCs w:val="21"/>
                      <w:lang w:eastAsia="zh-CN"/>
                    </w:rPr>
                    <w:t>）</w:t>
                  </w:r>
                </w:p>
              </w:tc>
              <w:tc>
                <w:tcPr>
                  <w:tcW w:w="1107" w:type="dxa"/>
                  <w:vAlign w:val="center"/>
                </w:tcPr>
                <w:p w14:paraId="31C1808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Times New Roman" w:cs="Times New Roman"/>
                      <w:b w:val="0"/>
                      <w:bCs w:val="0"/>
                      <w:color w:val="auto"/>
                      <w:spacing w:val="-3"/>
                      <w:sz w:val="21"/>
                      <w:szCs w:val="21"/>
                    </w:rPr>
                    <w:t>0</w:t>
                  </w:r>
                  <w:r>
                    <w:rPr>
                      <w:rFonts w:hint="default" w:ascii="Times New Roman" w:hAnsi="Times New Roman" w:eastAsia="Times New Roman" w:cs="Times New Roman"/>
                      <w:b w:val="0"/>
                      <w:bCs w:val="0"/>
                      <w:color w:val="auto"/>
                      <w:spacing w:val="-2"/>
                      <w:sz w:val="21"/>
                      <w:szCs w:val="21"/>
                    </w:rPr>
                    <w:t>.5</w:t>
                  </w:r>
                  <w:r>
                    <w:rPr>
                      <w:rFonts w:hint="eastAsia" w:ascii="Times New Roman" w:hAnsi="Times New Roman" w:eastAsia="宋体" w:cs="Times New Roman"/>
                      <w:b w:val="0"/>
                      <w:bCs w:val="0"/>
                      <w:color w:val="auto"/>
                      <w:spacing w:val="10"/>
                      <w:sz w:val="21"/>
                      <w:szCs w:val="21"/>
                      <w:lang w:eastAsia="zh-CN"/>
                    </w:rPr>
                    <w:t>（</w:t>
                  </w:r>
                  <w:r>
                    <w:rPr>
                      <w:rFonts w:hint="default" w:ascii="Times New Roman" w:hAnsi="Times New Roman" w:eastAsia="Times New Roman" w:cs="Times New Roman"/>
                      <w:b w:val="0"/>
                      <w:bCs w:val="0"/>
                      <w:color w:val="auto"/>
                      <w:sz w:val="21"/>
                      <w:szCs w:val="21"/>
                    </w:rPr>
                    <w:t>kg</w:t>
                  </w:r>
                  <w:r>
                    <w:rPr>
                      <w:rFonts w:hint="default" w:ascii="Times New Roman" w:hAnsi="Times New Roman" w:eastAsia="Times New Roman" w:cs="Times New Roman"/>
                      <w:b w:val="0"/>
                      <w:bCs w:val="0"/>
                      <w:color w:val="auto"/>
                      <w:spacing w:val="10"/>
                      <w:sz w:val="21"/>
                      <w:szCs w:val="21"/>
                    </w:rPr>
                    <w:t>/</w:t>
                  </w:r>
                  <w:r>
                    <w:rPr>
                      <w:rFonts w:hint="default" w:ascii="Times New Roman" w:hAnsi="Times New Roman" w:eastAsia="Times New Roman" w:cs="Times New Roman"/>
                      <w:b w:val="0"/>
                      <w:bCs w:val="0"/>
                      <w:color w:val="auto"/>
                      <w:sz w:val="21"/>
                      <w:szCs w:val="21"/>
                    </w:rPr>
                    <w:t>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pacing w:val="10"/>
                      <w:sz w:val="21"/>
                      <w:szCs w:val="21"/>
                      <w:lang w:eastAsia="zh-CN"/>
                    </w:rPr>
                    <w:t>）</w:t>
                  </w:r>
                </w:p>
              </w:tc>
              <w:tc>
                <w:tcPr>
                  <w:tcW w:w="1342" w:type="dxa"/>
                  <w:vAlign w:val="center"/>
                </w:tcPr>
                <w:p w14:paraId="4146BD4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Times New Roman" w:cs="Times New Roman"/>
                      <w:b w:val="0"/>
                      <w:bCs w:val="0"/>
                      <w:color w:val="auto"/>
                      <w:spacing w:val="-10"/>
                      <w:sz w:val="21"/>
                      <w:szCs w:val="21"/>
                    </w:rPr>
                    <w:t>1</w:t>
                  </w:r>
                  <w:r>
                    <w:rPr>
                      <w:rFonts w:hint="default" w:ascii="Times New Roman" w:hAnsi="Times New Roman" w:eastAsia="Times New Roman" w:cs="Times New Roman"/>
                      <w:b w:val="0"/>
                      <w:bCs w:val="0"/>
                      <w:color w:val="auto"/>
                      <w:spacing w:val="-7"/>
                      <w:sz w:val="21"/>
                      <w:szCs w:val="21"/>
                    </w:rPr>
                    <w:t>.0</w:t>
                  </w:r>
                  <w:r>
                    <w:rPr>
                      <w:rFonts w:hint="eastAsia" w:ascii="Times New Roman" w:hAnsi="Times New Roman" w:eastAsia="宋体" w:cs="Times New Roman"/>
                      <w:b w:val="0"/>
                      <w:bCs w:val="0"/>
                      <w:color w:val="auto"/>
                      <w:spacing w:val="10"/>
                      <w:sz w:val="21"/>
                      <w:szCs w:val="21"/>
                      <w:lang w:eastAsia="zh-CN"/>
                    </w:rPr>
                    <w:t>（</w:t>
                  </w:r>
                  <w:r>
                    <w:rPr>
                      <w:rFonts w:hint="default" w:ascii="Times New Roman" w:hAnsi="Times New Roman" w:eastAsia="Times New Roman" w:cs="Times New Roman"/>
                      <w:b w:val="0"/>
                      <w:bCs w:val="0"/>
                      <w:color w:val="auto"/>
                      <w:sz w:val="21"/>
                      <w:szCs w:val="21"/>
                    </w:rPr>
                    <w:t>kg</w:t>
                  </w:r>
                  <w:r>
                    <w:rPr>
                      <w:rFonts w:hint="default" w:ascii="Times New Roman" w:hAnsi="Times New Roman" w:eastAsia="Times New Roman" w:cs="Times New Roman"/>
                      <w:b w:val="0"/>
                      <w:bCs w:val="0"/>
                      <w:color w:val="auto"/>
                      <w:spacing w:val="10"/>
                      <w:sz w:val="21"/>
                      <w:szCs w:val="21"/>
                    </w:rPr>
                    <w:t>/</w:t>
                  </w:r>
                  <w:r>
                    <w:rPr>
                      <w:rFonts w:hint="default" w:ascii="Times New Roman" w:hAnsi="Times New Roman" w:eastAsia="Times New Roman" w:cs="Times New Roman"/>
                      <w:b w:val="0"/>
                      <w:bCs w:val="0"/>
                      <w:color w:val="auto"/>
                      <w:sz w:val="21"/>
                      <w:szCs w:val="21"/>
                    </w:rPr>
                    <w:t>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pacing w:val="10"/>
                      <w:sz w:val="21"/>
                      <w:szCs w:val="21"/>
                      <w:lang w:eastAsia="zh-CN"/>
                    </w:rPr>
                    <w:t>）</w:t>
                  </w:r>
                </w:p>
              </w:tc>
            </w:tr>
            <w:tr w14:paraId="2477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1424" w:type="dxa"/>
                  <w:vAlign w:val="center"/>
                </w:tcPr>
                <w:p w14:paraId="7165C7B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Times New Roman" w:cs="Times New Roman"/>
                      <w:b w:val="0"/>
                      <w:bCs w:val="0"/>
                      <w:color w:val="auto"/>
                      <w:spacing w:val="-1"/>
                      <w:sz w:val="21"/>
                      <w:szCs w:val="21"/>
                    </w:rPr>
                    <w:t>5</w:t>
                  </w:r>
                  <w:r>
                    <w:rPr>
                      <w:rFonts w:hint="eastAsia" w:ascii="Times New Roman" w:hAnsi="Times New Roman" w:eastAsia="宋体" w:cs="Times New Roman"/>
                      <w:b w:val="0"/>
                      <w:bCs w:val="0"/>
                      <w:color w:val="auto"/>
                      <w:spacing w:val="-1"/>
                      <w:sz w:val="21"/>
                      <w:szCs w:val="21"/>
                      <w:lang w:eastAsia="zh-CN"/>
                    </w:rPr>
                    <w:t>（</w:t>
                  </w:r>
                  <w:r>
                    <w:rPr>
                      <w:rFonts w:hint="default" w:ascii="Times New Roman" w:hAnsi="Times New Roman" w:eastAsia="Times New Roman" w:cs="Times New Roman"/>
                      <w:b w:val="0"/>
                      <w:bCs w:val="0"/>
                      <w:color w:val="auto"/>
                      <w:spacing w:val="-1"/>
                      <w:sz w:val="21"/>
                      <w:szCs w:val="21"/>
                    </w:rPr>
                    <w:t>km/</w:t>
                  </w:r>
                  <w:r>
                    <w:rPr>
                      <w:rFonts w:hint="default" w:ascii="Times New Roman" w:hAnsi="Times New Roman" w:eastAsia="Times New Roman" w:cs="Times New Roman"/>
                      <w:b w:val="0"/>
                      <w:bCs w:val="0"/>
                      <w:color w:val="auto"/>
                      <w:sz w:val="21"/>
                      <w:szCs w:val="21"/>
                    </w:rPr>
                    <w:t>h</w:t>
                  </w:r>
                  <w:r>
                    <w:rPr>
                      <w:rFonts w:hint="eastAsia" w:ascii="Times New Roman" w:hAnsi="Times New Roman" w:eastAsia="宋体" w:cs="Times New Roman"/>
                      <w:b w:val="0"/>
                      <w:bCs w:val="0"/>
                      <w:color w:val="auto"/>
                      <w:spacing w:val="-1"/>
                      <w:sz w:val="21"/>
                      <w:szCs w:val="21"/>
                      <w:lang w:eastAsia="zh-CN"/>
                    </w:rPr>
                    <w:t>）</w:t>
                  </w:r>
                </w:p>
              </w:tc>
              <w:tc>
                <w:tcPr>
                  <w:tcW w:w="1110" w:type="dxa"/>
                  <w:vAlign w:val="center"/>
                </w:tcPr>
                <w:p w14:paraId="7855E06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0.02</w:t>
                  </w:r>
                  <w:r>
                    <w:rPr>
                      <w:rFonts w:hint="default" w:ascii="Times New Roman" w:hAnsi="Times New Roman" w:eastAsia="Times New Roman" w:cs="Times New Roman"/>
                      <w:b w:val="0"/>
                      <w:bCs w:val="0"/>
                      <w:color w:val="auto"/>
                      <w:sz w:val="21"/>
                      <w:szCs w:val="21"/>
                    </w:rPr>
                    <w:t>83</w:t>
                  </w:r>
                </w:p>
              </w:tc>
              <w:tc>
                <w:tcPr>
                  <w:tcW w:w="1105" w:type="dxa"/>
                  <w:vAlign w:val="center"/>
                </w:tcPr>
                <w:p w14:paraId="597EA99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0.04</w:t>
                  </w:r>
                  <w:r>
                    <w:rPr>
                      <w:rFonts w:hint="default" w:ascii="Times New Roman" w:hAnsi="Times New Roman" w:eastAsia="Times New Roman" w:cs="Times New Roman"/>
                      <w:b w:val="0"/>
                      <w:bCs w:val="0"/>
                      <w:color w:val="auto"/>
                      <w:sz w:val="21"/>
                      <w:szCs w:val="21"/>
                    </w:rPr>
                    <w:t>76</w:t>
                  </w:r>
                </w:p>
              </w:tc>
              <w:tc>
                <w:tcPr>
                  <w:tcW w:w="1113" w:type="dxa"/>
                  <w:vAlign w:val="center"/>
                </w:tcPr>
                <w:p w14:paraId="179B500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0.06</w:t>
                  </w:r>
                  <w:r>
                    <w:rPr>
                      <w:rFonts w:hint="default" w:ascii="Times New Roman" w:hAnsi="Times New Roman" w:eastAsia="Times New Roman" w:cs="Times New Roman"/>
                      <w:b w:val="0"/>
                      <w:bCs w:val="0"/>
                      <w:color w:val="auto"/>
                      <w:sz w:val="21"/>
                      <w:szCs w:val="21"/>
                    </w:rPr>
                    <w:t>46</w:t>
                  </w:r>
                </w:p>
              </w:tc>
              <w:tc>
                <w:tcPr>
                  <w:tcW w:w="1105" w:type="dxa"/>
                  <w:vAlign w:val="center"/>
                </w:tcPr>
                <w:p w14:paraId="34BFC03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0.08</w:t>
                  </w:r>
                  <w:r>
                    <w:rPr>
                      <w:rFonts w:hint="default" w:ascii="Times New Roman" w:hAnsi="Times New Roman" w:eastAsia="Times New Roman" w:cs="Times New Roman"/>
                      <w:b w:val="0"/>
                      <w:bCs w:val="0"/>
                      <w:color w:val="auto"/>
                      <w:sz w:val="21"/>
                      <w:szCs w:val="21"/>
                    </w:rPr>
                    <w:t>01</w:t>
                  </w:r>
                </w:p>
              </w:tc>
              <w:tc>
                <w:tcPr>
                  <w:tcW w:w="1107" w:type="dxa"/>
                  <w:vAlign w:val="center"/>
                </w:tcPr>
                <w:p w14:paraId="2F1B836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0.09</w:t>
                  </w:r>
                  <w:r>
                    <w:rPr>
                      <w:rFonts w:hint="default" w:ascii="Times New Roman" w:hAnsi="Times New Roman" w:eastAsia="Times New Roman" w:cs="Times New Roman"/>
                      <w:b w:val="0"/>
                      <w:bCs w:val="0"/>
                      <w:color w:val="auto"/>
                      <w:sz w:val="21"/>
                      <w:szCs w:val="21"/>
                    </w:rPr>
                    <w:t>47</w:t>
                  </w:r>
                </w:p>
              </w:tc>
              <w:tc>
                <w:tcPr>
                  <w:tcW w:w="1342" w:type="dxa"/>
                  <w:vAlign w:val="center"/>
                </w:tcPr>
                <w:p w14:paraId="0B00EBC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0.15</w:t>
                  </w:r>
                  <w:r>
                    <w:rPr>
                      <w:rFonts w:hint="default" w:ascii="Times New Roman" w:hAnsi="Times New Roman" w:eastAsia="Times New Roman" w:cs="Times New Roman"/>
                      <w:b w:val="0"/>
                      <w:bCs w:val="0"/>
                      <w:color w:val="auto"/>
                      <w:sz w:val="21"/>
                      <w:szCs w:val="21"/>
                    </w:rPr>
                    <w:t>93</w:t>
                  </w:r>
                </w:p>
              </w:tc>
            </w:tr>
            <w:tr w14:paraId="0685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1424" w:type="dxa"/>
                  <w:vAlign w:val="center"/>
                </w:tcPr>
                <w:p w14:paraId="7C65919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Times New Roman" w:cs="Times New Roman"/>
                      <w:b w:val="0"/>
                      <w:bCs w:val="0"/>
                      <w:color w:val="auto"/>
                      <w:spacing w:val="-4"/>
                      <w:sz w:val="21"/>
                      <w:szCs w:val="21"/>
                    </w:rPr>
                    <w:t>1</w:t>
                  </w:r>
                  <w:r>
                    <w:rPr>
                      <w:rFonts w:hint="default" w:ascii="Times New Roman" w:hAnsi="Times New Roman" w:eastAsia="Times New Roman" w:cs="Times New Roman"/>
                      <w:b w:val="0"/>
                      <w:bCs w:val="0"/>
                      <w:color w:val="auto"/>
                      <w:spacing w:val="-2"/>
                      <w:sz w:val="21"/>
                      <w:szCs w:val="21"/>
                    </w:rPr>
                    <w:t>0</w:t>
                  </w:r>
                  <w:r>
                    <w:rPr>
                      <w:rFonts w:hint="eastAsia" w:ascii="Times New Roman" w:hAnsi="Times New Roman" w:eastAsia="宋体" w:cs="Times New Roman"/>
                      <w:b w:val="0"/>
                      <w:bCs w:val="0"/>
                      <w:color w:val="auto"/>
                      <w:spacing w:val="-2"/>
                      <w:sz w:val="21"/>
                      <w:szCs w:val="21"/>
                      <w:lang w:eastAsia="zh-CN"/>
                    </w:rPr>
                    <w:t>（</w:t>
                  </w:r>
                  <w:r>
                    <w:rPr>
                      <w:rFonts w:hint="default" w:ascii="Times New Roman" w:hAnsi="Times New Roman" w:eastAsia="Times New Roman" w:cs="Times New Roman"/>
                      <w:b w:val="0"/>
                      <w:bCs w:val="0"/>
                      <w:color w:val="auto"/>
                      <w:spacing w:val="-2"/>
                      <w:sz w:val="21"/>
                      <w:szCs w:val="21"/>
                    </w:rPr>
                    <w:t>km/h</w:t>
                  </w:r>
                  <w:r>
                    <w:rPr>
                      <w:rFonts w:hint="eastAsia" w:ascii="Times New Roman" w:hAnsi="Times New Roman" w:eastAsia="宋体" w:cs="Times New Roman"/>
                      <w:b w:val="0"/>
                      <w:bCs w:val="0"/>
                      <w:color w:val="auto"/>
                      <w:spacing w:val="-2"/>
                      <w:sz w:val="21"/>
                      <w:szCs w:val="21"/>
                      <w:lang w:eastAsia="zh-CN"/>
                    </w:rPr>
                    <w:t>）</w:t>
                  </w:r>
                </w:p>
              </w:tc>
              <w:tc>
                <w:tcPr>
                  <w:tcW w:w="1110" w:type="dxa"/>
                  <w:vAlign w:val="center"/>
                </w:tcPr>
                <w:p w14:paraId="6B5260E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0.05</w:t>
                  </w:r>
                  <w:r>
                    <w:rPr>
                      <w:rFonts w:hint="default" w:ascii="Times New Roman" w:hAnsi="Times New Roman" w:eastAsia="Times New Roman" w:cs="Times New Roman"/>
                      <w:b w:val="0"/>
                      <w:bCs w:val="0"/>
                      <w:color w:val="auto"/>
                      <w:sz w:val="21"/>
                      <w:szCs w:val="21"/>
                    </w:rPr>
                    <w:t>66</w:t>
                  </w:r>
                </w:p>
              </w:tc>
              <w:tc>
                <w:tcPr>
                  <w:tcW w:w="1105" w:type="dxa"/>
                  <w:vAlign w:val="center"/>
                </w:tcPr>
                <w:p w14:paraId="25ADF4E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0.09</w:t>
                  </w:r>
                  <w:r>
                    <w:rPr>
                      <w:rFonts w:hint="default" w:ascii="Times New Roman" w:hAnsi="Times New Roman" w:eastAsia="Times New Roman" w:cs="Times New Roman"/>
                      <w:b w:val="0"/>
                      <w:bCs w:val="0"/>
                      <w:color w:val="auto"/>
                      <w:sz w:val="21"/>
                      <w:szCs w:val="21"/>
                    </w:rPr>
                    <w:t>53</w:t>
                  </w:r>
                </w:p>
              </w:tc>
              <w:tc>
                <w:tcPr>
                  <w:tcW w:w="1113" w:type="dxa"/>
                  <w:vAlign w:val="center"/>
                </w:tcPr>
                <w:p w14:paraId="3B72B0B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0.12</w:t>
                  </w:r>
                  <w:r>
                    <w:rPr>
                      <w:rFonts w:hint="default" w:ascii="Times New Roman" w:hAnsi="Times New Roman" w:eastAsia="Times New Roman" w:cs="Times New Roman"/>
                      <w:b w:val="0"/>
                      <w:bCs w:val="0"/>
                      <w:color w:val="auto"/>
                      <w:sz w:val="21"/>
                      <w:szCs w:val="21"/>
                    </w:rPr>
                    <w:t>91</w:t>
                  </w:r>
                </w:p>
              </w:tc>
              <w:tc>
                <w:tcPr>
                  <w:tcW w:w="1105" w:type="dxa"/>
                  <w:vAlign w:val="center"/>
                </w:tcPr>
                <w:p w14:paraId="3B47CF9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0.16</w:t>
                  </w:r>
                  <w:r>
                    <w:rPr>
                      <w:rFonts w:hint="default" w:ascii="Times New Roman" w:hAnsi="Times New Roman" w:eastAsia="Times New Roman" w:cs="Times New Roman"/>
                      <w:b w:val="0"/>
                      <w:bCs w:val="0"/>
                      <w:color w:val="auto"/>
                      <w:sz w:val="21"/>
                      <w:szCs w:val="21"/>
                    </w:rPr>
                    <w:t>02</w:t>
                  </w:r>
                </w:p>
              </w:tc>
              <w:tc>
                <w:tcPr>
                  <w:tcW w:w="1107" w:type="dxa"/>
                  <w:vAlign w:val="center"/>
                </w:tcPr>
                <w:p w14:paraId="4B6FF46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0.18</w:t>
                  </w:r>
                  <w:r>
                    <w:rPr>
                      <w:rFonts w:hint="default" w:ascii="Times New Roman" w:hAnsi="Times New Roman" w:eastAsia="Times New Roman" w:cs="Times New Roman"/>
                      <w:b w:val="0"/>
                      <w:bCs w:val="0"/>
                      <w:color w:val="auto"/>
                      <w:sz w:val="21"/>
                      <w:szCs w:val="21"/>
                    </w:rPr>
                    <w:t>94</w:t>
                  </w:r>
                </w:p>
              </w:tc>
              <w:tc>
                <w:tcPr>
                  <w:tcW w:w="1342" w:type="dxa"/>
                  <w:vAlign w:val="center"/>
                </w:tcPr>
                <w:p w14:paraId="75B6481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0.31</w:t>
                  </w:r>
                  <w:r>
                    <w:rPr>
                      <w:rFonts w:hint="default" w:ascii="Times New Roman" w:hAnsi="Times New Roman" w:eastAsia="Times New Roman" w:cs="Times New Roman"/>
                      <w:b w:val="0"/>
                      <w:bCs w:val="0"/>
                      <w:color w:val="auto"/>
                      <w:sz w:val="21"/>
                      <w:szCs w:val="21"/>
                    </w:rPr>
                    <w:t>86</w:t>
                  </w:r>
                </w:p>
              </w:tc>
            </w:tr>
            <w:tr w14:paraId="5D4F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1424" w:type="dxa"/>
                  <w:vAlign w:val="center"/>
                </w:tcPr>
                <w:p w14:paraId="2CC9E39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Times New Roman" w:cs="Times New Roman"/>
                      <w:b w:val="0"/>
                      <w:bCs w:val="0"/>
                      <w:color w:val="auto"/>
                      <w:spacing w:val="-4"/>
                      <w:sz w:val="21"/>
                      <w:szCs w:val="21"/>
                    </w:rPr>
                    <w:t>1</w:t>
                  </w:r>
                  <w:r>
                    <w:rPr>
                      <w:rFonts w:hint="default" w:ascii="Times New Roman" w:hAnsi="Times New Roman" w:eastAsia="Times New Roman" w:cs="Times New Roman"/>
                      <w:b w:val="0"/>
                      <w:bCs w:val="0"/>
                      <w:color w:val="auto"/>
                      <w:spacing w:val="-2"/>
                      <w:sz w:val="21"/>
                      <w:szCs w:val="21"/>
                    </w:rPr>
                    <w:t>5</w:t>
                  </w:r>
                  <w:r>
                    <w:rPr>
                      <w:rFonts w:hint="eastAsia" w:ascii="Times New Roman" w:hAnsi="Times New Roman" w:eastAsia="宋体" w:cs="Times New Roman"/>
                      <w:b w:val="0"/>
                      <w:bCs w:val="0"/>
                      <w:color w:val="auto"/>
                      <w:spacing w:val="-2"/>
                      <w:sz w:val="21"/>
                      <w:szCs w:val="21"/>
                      <w:lang w:eastAsia="zh-CN"/>
                    </w:rPr>
                    <w:t>（</w:t>
                  </w:r>
                  <w:r>
                    <w:rPr>
                      <w:rFonts w:hint="default" w:ascii="Times New Roman" w:hAnsi="Times New Roman" w:eastAsia="Times New Roman" w:cs="Times New Roman"/>
                      <w:b w:val="0"/>
                      <w:bCs w:val="0"/>
                      <w:color w:val="auto"/>
                      <w:spacing w:val="-2"/>
                      <w:sz w:val="21"/>
                      <w:szCs w:val="21"/>
                    </w:rPr>
                    <w:t>km/h</w:t>
                  </w:r>
                  <w:r>
                    <w:rPr>
                      <w:rFonts w:hint="eastAsia" w:ascii="Times New Roman" w:hAnsi="Times New Roman" w:eastAsia="宋体" w:cs="Times New Roman"/>
                      <w:b w:val="0"/>
                      <w:bCs w:val="0"/>
                      <w:color w:val="auto"/>
                      <w:spacing w:val="-2"/>
                      <w:sz w:val="21"/>
                      <w:szCs w:val="21"/>
                      <w:lang w:eastAsia="zh-CN"/>
                    </w:rPr>
                    <w:t>）</w:t>
                  </w:r>
                </w:p>
              </w:tc>
              <w:tc>
                <w:tcPr>
                  <w:tcW w:w="1110" w:type="dxa"/>
                  <w:vAlign w:val="center"/>
                </w:tcPr>
                <w:p w14:paraId="69CE82E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0.08</w:t>
                  </w:r>
                  <w:r>
                    <w:rPr>
                      <w:rFonts w:hint="default" w:ascii="Times New Roman" w:hAnsi="Times New Roman" w:eastAsia="Times New Roman" w:cs="Times New Roman"/>
                      <w:b w:val="0"/>
                      <w:bCs w:val="0"/>
                      <w:color w:val="auto"/>
                      <w:sz w:val="21"/>
                      <w:szCs w:val="21"/>
                    </w:rPr>
                    <w:t>50</w:t>
                  </w:r>
                </w:p>
              </w:tc>
              <w:tc>
                <w:tcPr>
                  <w:tcW w:w="1105" w:type="dxa"/>
                  <w:vAlign w:val="center"/>
                </w:tcPr>
                <w:p w14:paraId="63AD2BA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0.14</w:t>
                  </w:r>
                  <w:r>
                    <w:rPr>
                      <w:rFonts w:hint="default" w:ascii="Times New Roman" w:hAnsi="Times New Roman" w:eastAsia="Times New Roman" w:cs="Times New Roman"/>
                      <w:b w:val="0"/>
                      <w:bCs w:val="0"/>
                      <w:color w:val="auto"/>
                      <w:sz w:val="21"/>
                      <w:szCs w:val="21"/>
                    </w:rPr>
                    <w:t>29</w:t>
                  </w:r>
                </w:p>
              </w:tc>
              <w:tc>
                <w:tcPr>
                  <w:tcW w:w="1113" w:type="dxa"/>
                  <w:vAlign w:val="center"/>
                </w:tcPr>
                <w:p w14:paraId="3D723CD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0.19</w:t>
                  </w:r>
                  <w:r>
                    <w:rPr>
                      <w:rFonts w:hint="default" w:ascii="Times New Roman" w:hAnsi="Times New Roman" w:eastAsia="Times New Roman" w:cs="Times New Roman"/>
                      <w:b w:val="0"/>
                      <w:bCs w:val="0"/>
                      <w:color w:val="auto"/>
                      <w:sz w:val="21"/>
                      <w:szCs w:val="21"/>
                    </w:rPr>
                    <w:t>37</w:t>
                  </w:r>
                </w:p>
              </w:tc>
              <w:tc>
                <w:tcPr>
                  <w:tcW w:w="1105" w:type="dxa"/>
                  <w:vAlign w:val="center"/>
                </w:tcPr>
                <w:p w14:paraId="407CC8D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0.24</w:t>
                  </w:r>
                  <w:r>
                    <w:rPr>
                      <w:rFonts w:hint="default" w:ascii="Times New Roman" w:hAnsi="Times New Roman" w:eastAsia="Times New Roman" w:cs="Times New Roman"/>
                      <w:b w:val="0"/>
                      <w:bCs w:val="0"/>
                      <w:color w:val="auto"/>
                      <w:sz w:val="21"/>
                      <w:szCs w:val="21"/>
                    </w:rPr>
                    <w:t>03</w:t>
                  </w:r>
                </w:p>
              </w:tc>
              <w:tc>
                <w:tcPr>
                  <w:tcW w:w="1107" w:type="dxa"/>
                  <w:vAlign w:val="center"/>
                </w:tcPr>
                <w:p w14:paraId="62ECCEA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0.28</w:t>
                  </w:r>
                  <w:r>
                    <w:rPr>
                      <w:rFonts w:hint="default" w:ascii="Times New Roman" w:hAnsi="Times New Roman" w:eastAsia="Times New Roman" w:cs="Times New Roman"/>
                      <w:b w:val="0"/>
                      <w:bCs w:val="0"/>
                      <w:color w:val="auto"/>
                      <w:sz w:val="21"/>
                      <w:szCs w:val="21"/>
                    </w:rPr>
                    <w:t>41</w:t>
                  </w:r>
                </w:p>
              </w:tc>
              <w:tc>
                <w:tcPr>
                  <w:tcW w:w="1342" w:type="dxa"/>
                  <w:vAlign w:val="center"/>
                </w:tcPr>
                <w:p w14:paraId="405FEEC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0.47</w:t>
                  </w:r>
                  <w:r>
                    <w:rPr>
                      <w:rFonts w:hint="default" w:ascii="Times New Roman" w:hAnsi="Times New Roman" w:eastAsia="Times New Roman" w:cs="Times New Roman"/>
                      <w:b w:val="0"/>
                      <w:bCs w:val="0"/>
                      <w:color w:val="auto"/>
                      <w:sz w:val="21"/>
                      <w:szCs w:val="21"/>
                    </w:rPr>
                    <w:t>78</w:t>
                  </w:r>
                </w:p>
              </w:tc>
            </w:tr>
            <w:tr w14:paraId="78B4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424" w:type="dxa"/>
                  <w:vAlign w:val="center"/>
                </w:tcPr>
                <w:p w14:paraId="39CF0B7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Times New Roman" w:cs="Times New Roman"/>
                      <w:b w:val="0"/>
                      <w:bCs w:val="0"/>
                      <w:color w:val="auto"/>
                      <w:spacing w:val="-1"/>
                      <w:sz w:val="21"/>
                      <w:szCs w:val="21"/>
                    </w:rPr>
                    <w:t>20</w:t>
                  </w:r>
                  <w:r>
                    <w:rPr>
                      <w:rFonts w:hint="eastAsia" w:ascii="Times New Roman" w:hAnsi="Times New Roman" w:eastAsia="宋体" w:cs="Times New Roman"/>
                      <w:b w:val="0"/>
                      <w:bCs w:val="0"/>
                      <w:color w:val="auto"/>
                      <w:sz w:val="21"/>
                      <w:szCs w:val="21"/>
                      <w:lang w:eastAsia="zh-CN"/>
                    </w:rPr>
                    <w:t>（</w:t>
                  </w:r>
                  <w:r>
                    <w:rPr>
                      <w:rFonts w:hint="default" w:ascii="Times New Roman" w:hAnsi="Times New Roman" w:eastAsia="Times New Roman" w:cs="Times New Roman"/>
                      <w:b w:val="0"/>
                      <w:bCs w:val="0"/>
                      <w:color w:val="auto"/>
                      <w:sz w:val="21"/>
                      <w:szCs w:val="21"/>
                    </w:rPr>
                    <w:t>km/h</w:t>
                  </w:r>
                  <w:r>
                    <w:rPr>
                      <w:rFonts w:hint="eastAsia" w:ascii="Times New Roman" w:hAnsi="Times New Roman" w:eastAsia="宋体" w:cs="Times New Roman"/>
                      <w:b w:val="0"/>
                      <w:bCs w:val="0"/>
                      <w:color w:val="auto"/>
                      <w:sz w:val="21"/>
                      <w:szCs w:val="21"/>
                      <w:lang w:eastAsia="zh-CN"/>
                    </w:rPr>
                    <w:t>）</w:t>
                  </w:r>
                </w:p>
              </w:tc>
              <w:tc>
                <w:tcPr>
                  <w:tcW w:w="1110" w:type="dxa"/>
                  <w:vAlign w:val="center"/>
                </w:tcPr>
                <w:p w14:paraId="60D1C0E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0.11</w:t>
                  </w:r>
                  <w:r>
                    <w:rPr>
                      <w:rFonts w:hint="default" w:ascii="Times New Roman" w:hAnsi="Times New Roman" w:eastAsia="Times New Roman" w:cs="Times New Roman"/>
                      <w:b w:val="0"/>
                      <w:bCs w:val="0"/>
                      <w:color w:val="auto"/>
                      <w:sz w:val="21"/>
                      <w:szCs w:val="21"/>
                    </w:rPr>
                    <w:t>33</w:t>
                  </w:r>
                </w:p>
              </w:tc>
              <w:tc>
                <w:tcPr>
                  <w:tcW w:w="1105" w:type="dxa"/>
                  <w:vAlign w:val="center"/>
                </w:tcPr>
                <w:p w14:paraId="5071CA0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0.19</w:t>
                  </w:r>
                  <w:r>
                    <w:rPr>
                      <w:rFonts w:hint="default" w:ascii="Times New Roman" w:hAnsi="Times New Roman" w:eastAsia="Times New Roman" w:cs="Times New Roman"/>
                      <w:b w:val="0"/>
                      <w:bCs w:val="0"/>
                      <w:color w:val="auto"/>
                      <w:sz w:val="21"/>
                      <w:szCs w:val="21"/>
                    </w:rPr>
                    <w:t>05</w:t>
                  </w:r>
                </w:p>
              </w:tc>
              <w:tc>
                <w:tcPr>
                  <w:tcW w:w="1113" w:type="dxa"/>
                  <w:vAlign w:val="center"/>
                </w:tcPr>
                <w:p w14:paraId="54E795B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0.25</w:t>
                  </w:r>
                  <w:r>
                    <w:rPr>
                      <w:rFonts w:hint="default" w:ascii="Times New Roman" w:hAnsi="Times New Roman" w:eastAsia="Times New Roman" w:cs="Times New Roman"/>
                      <w:b w:val="0"/>
                      <w:bCs w:val="0"/>
                      <w:color w:val="auto"/>
                      <w:sz w:val="21"/>
                      <w:szCs w:val="21"/>
                    </w:rPr>
                    <w:t>83</w:t>
                  </w:r>
                </w:p>
              </w:tc>
              <w:tc>
                <w:tcPr>
                  <w:tcW w:w="1105" w:type="dxa"/>
                  <w:vAlign w:val="center"/>
                </w:tcPr>
                <w:p w14:paraId="7293B5B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0.32</w:t>
                  </w:r>
                  <w:r>
                    <w:rPr>
                      <w:rFonts w:hint="default" w:ascii="Times New Roman" w:hAnsi="Times New Roman" w:eastAsia="Times New Roman" w:cs="Times New Roman"/>
                      <w:b w:val="0"/>
                      <w:bCs w:val="0"/>
                      <w:color w:val="auto"/>
                      <w:sz w:val="21"/>
                      <w:szCs w:val="21"/>
                    </w:rPr>
                    <w:t>04</w:t>
                  </w:r>
                </w:p>
              </w:tc>
              <w:tc>
                <w:tcPr>
                  <w:tcW w:w="1107" w:type="dxa"/>
                  <w:vAlign w:val="center"/>
                </w:tcPr>
                <w:p w14:paraId="3393936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0.37</w:t>
                  </w:r>
                  <w:r>
                    <w:rPr>
                      <w:rFonts w:hint="default" w:ascii="Times New Roman" w:hAnsi="Times New Roman" w:eastAsia="Times New Roman" w:cs="Times New Roman"/>
                      <w:b w:val="0"/>
                      <w:bCs w:val="0"/>
                      <w:color w:val="auto"/>
                      <w:sz w:val="21"/>
                      <w:szCs w:val="21"/>
                    </w:rPr>
                    <w:t>88</w:t>
                  </w:r>
                </w:p>
              </w:tc>
              <w:tc>
                <w:tcPr>
                  <w:tcW w:w="1342" w:type="dxa"/>
                  <w:vAlign w:val="center"/>
                </w:tcPr>
                <w:p w14:paraId="6B7F375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0.63</w:t>
                  </w:r>
                  <w:r>
                    <w:rPr>
                      <w:rFonts w:hint="default" w:ascii="Times New Roman" w:hAnsi="Times New Roman" w:eastAsia="Times New Roman" w:cs="Times New Roman"/>
                      <w:b w:val="0"/>
                      <w:bCs w:val="0"/>
                      <w:color w:val="auto"/>
                      <w:sz w:val="21"/>
                      <w:szCs w:val="21"/>
                    </w:rPr>
                    <w:t>71</w:t>
                  </w:r>
                </w:p>
              </w:tc>
            </w:tr>
          </w:tbl>
          <w:p w14:paraId="002B0E1B">
            <w:pPr>
              <w:keepNext w:val="0"/>
              <w:keepLines w:val="0"/>
              <w:pageBreakBefore w:val="0"/>
              <w:widowControl w:val="0"/>
              <w:kinsoku/>
              <w:wordWrap/>
              <w:overflowPunct/>
              <w:topLinePunct w:val="0"/>
              <w:autoSpaceDE/>
              <w:autoSpaceDN/>
              <w:bidi w:val="0"/>
              <w:adjustRightInd/>
              <w:snapToGrid/>
              <w:spacing w:before="36" w:line="212" w:lineRule="auto"/>
              <w:ind w:left="2375"/>
              <w:outlineLvl w:val="9"/>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pacing w:val="1"/>
                <w:sz w:val="24"/>
                <w:szCs w:val="24"/>
                <w14:textOutline w14:w="4354" w14:cap="flat" w14:cmpd="sng">
                  <w14:solidFill>
                    <w14:srgbClr w14:val="000000"/>
                  </w14:solidFill>
                  <w14:prstDash w14:val="solid"/>
                  <w14:miter w14:val="0"/>
                </w14:textOutline>
              </w:rPr>
              <w:t>表</w:t>
            </w:r>
            <w:r>
              <w:rPr>
                <w:rFonts w:hint="eastAsia" w:eastAsia="宋体" w:cs="Times New Roman"/>
                <w:b w:val="0"/>
                <w:bCs w:val="0"/>
                <w:color w:val="auto"/>
                <w:spacing w:val="1"/>
                <w:sz w:val="24"/>
                <w:szCs w:val="24"/>
                <w:lang w:val="en-US" w:eastAsia="zh-CN"/>
              </w:rPr>
              <w:t>4</w:t>
            </w:r>
            <w:r>
              <w:rPr>
                <w:rFonts w:hint="default" w:ascii="Times New Roman" w:hAnsi="Times New Roman" w:eastAsia="Times New Roman" w:cs="Times New Roman"/>
                <w:b w:val="0"/>
                <w:bCs w:val="0"/>
                <w:color w:val="auto"/>
                <w:spacing w:val="1"/>
                <w:sz w:val="24"/>
                <w:szCs w:val="24"/>
              </w:rPr>
              <w:t>-2</w:t>
            </w:r>
            <w:r>
              <w:rPr>
                <w:rFonts w:hint="default" w:ascii="Times New Roman" w:hAnsi="Times New Roman" w:eastAsia="宋体" w:cs="Times New Roman"/>
                <w:b w:val="0"/>
                <w:bCs w:val="0"/>
                <w:color w:val="auto"/>
                <w:sz w:val="24"/>
                <w:szCs w:val="24"/>
                <w14:textOutline w14:w="4354" w14:cap="flat" w14:cmpd="sng">
                  <w14:solidFill>
                    <w14:srgbClr w14:val="000000"/>
                  </w14:solidFill>
                  <w14:prstDash w14:val="solid"/>
                  <w14:miter w14:val="0"/>
                </w14:textOutline>
              </w:rPr>
              <w:t>施工场地洒水抑尘试验结果</w:t>
            </w:r>
          </w:p>
          <w:tbl>
            <w:tblPr>
              <w:tblStyle w:val="236"/>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91"/>
              <w:gridCol w:w="1310"/>
              <w:gridCol w:w="1233"/>
              <w:gridCol w:w="1375"/>
              <w:gridCol w:w="1175"/>
              <w:gridCol w:w="1022"/>
            </w:tblGrid>
            <w:tr w14:paraId="3F08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3501" w:type="dxa"/>
                  <w:gridSpan w:val="2"/>
                  <w:vAlign w:val="top"/>
                </w:tcPr>
                <w:p w14:paraId="64725762">
                  <w:pPr>
                    <w:keepNext w:val="0"/>
                    <w:keepLines w:val="0"/>
                    <w:pageBreakBefore w:val="0"/>
                    <w:widowControl w:val="0"/>
                    <w:kinsoku/>
                    <w:wordWrap/>
                    <w:overflowPunct/>
                    <w:topLinePunct w:val="0"/>
                    <w:autoSpaceDE/>
                    <w:autoSpaceDN/>
                    <w:bidi w:val="0"/>
                    <w:adjustRightInd/>
                    <w:snapToGrid/>
                    <w:spacing w:before="84" w:line="215" w:lineRule="auto"/>
                    <w:ind w:left="1392"/>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pacing w:val="27"/>
                      <w:sz w:val="21"/>
                      <w:szCs w:val="21"/>
                    </w:rPr>
                    <w:t>距</w:t>
                  </w:r>
                  <w:r>
                    <w:rPr>
                      <w:rFonts w:hint="default" w:ascii="Times New Roman" w:hAnsi="Times New Roman" w:eastAsia="宋体" w:cs="Times New Roman"/>
                      <w:b w:val="0"/>
                      <w:bCs w:val="0"/>
                      <w:color w:val="auto"/>
                      <w:spacing w:val="25"/>
                      <w:sz w:val="21"/>
                      <w:szCs w:val="21"/>
                    </w:rPr>
                    <w:t>离</w:t>
                  </w:r>
                  <w:r>
                    <w:rPr>
                      <w:rFonts w:hint="eastAsia" w:ascii="Times New Roman" w:hAnsi="Times New Roman" w:eastAsia="宋体" w:cs="Times New Roman"/>
                      <w:b w:val="0"/>
                      <w:bCs w:val="0"/>
                      <w:color w:val="auto"/>
                      <w:spacing w:val="25"/>
                      <w:sz w:val="21"/>
                      <w:szCs w:val="21"/>
                      <w:lang w:eastAsia="zh-CN"/>
                    </w:rPr>
                    <w:t>（</w:t>
                  </w:r>
                  <w:r>
                    <w:rPr>
                      <w:rFonts w:hint="default" w:ascii="Times New Roman" w:hAnsi="Times New Roman" w:eastAsia="Times New Roman" w:cs="Times New Roman"/>
                      <w:b w:val="0"/>
                      <w:bCs w:val="0"/>
                      <w:color w:val="auto"/>
                      <w:sz w:val="21"/>
                      <w:szCs w:val="21"/>
                    </w:rPr>
                    <w:t>m</w:t>
                  </w:r>
                  <w:r>
                    <w:rPr>
                      <w:rFonts w:hint="eastAsia" w:ascii="Times New Roman" w:hAnsi="Times New Roman" w:eastAsia="宋体" w:cs="Times New Roman"/>
                      <w:b w:val="0"/>
                      <w:bCs w:val="0"/>
                      <w:color w:val="auto"/>
                      <w:spacing w:val="25"/>
                      <w:sz w:val="21"/>
                      <w:szCs w:val="21"/>
                      <w:lang w:eastAsia="zh-CN"/>
                    </w:rPr>
                    <w:t>）</w:t>
                  </w:r>
                </w:p>
              </w:tc>
              <w:tc>
                <w:tcPr>
                  <w:tcW w:w="1233" w:type="dxa"/>
                  <w:vAlign w:val="top"/>
                </w:tcPr>
                <w:p w14:paraId="376A60BE">
                  <w:pPr>
                    <w:keepNext w:val="0"/>
                    <w:keepLines w:val="0"/>
                    <w:pageBreakBefore w:val="0"/>
                    <w:widowControl w:val="0"/>
                    <w:kinsoku/>
                    <w:wordWrap/>
                    <w:overflowPunct/>
                    <w:topLinePunct w:val="0"/>
                    <w:autoSpaceDE/>
                    <w:autoSpaceDN/>
                    <w:bidi w:val="0"/>
                    <w:adjustRightInd/>
                    <w:snapToGrid/>
                    <w:spacing w:before="126" w:line="184" w:lineRule="auto"/>
                    <w:ind w:left="619"/>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z w:val="21"/>
                      <w:szCs w:val="21"/>
                    </w:rPr>
                    <w:t>5</w:t>
                  </w:r>
                </w:p>
              </w:tc>
              <w:tc>
                <w:tcPr>
                  <w:tcW w:w="1375" w:type="dxa"/>
                  <w:vAlign w:val="top"/>
                </w:tcPr>
                <w:p w14:paraId="15C6FF68">
                  <w:pPr>
                    <w:keepNext w:val="0"/>
                    <w:keepLines w:val="0"/>
                    <w:pageBreakBefore w:val="0"/>
                    <w:widowControl w:val="0"/>
                    <w:kinsoku/>
                    <w:wordWrap/>
                    <w:overflowPunct/>
                    <w:topLinePunct w:val="0"/>
                    <w:autoSpaceDE/>
                    <w:autoSpaceDN/>
                    <w:bidi w:val="0"/>
                    <w:adjustRightInd/>
                    <w:snapToGrid/>
                    <w:spacing w:before="123" w:line="187" w:lineRule="auto"/>
                    <w:ind w:left="638"/>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20</w:t>
                  </w:r>
                </w:p>
              </w:tc>
              <w:tc>
                <w:tcPr>
                  <w:tcW w:w="1175" w:type="dxa"/>
                  <w:vAlign w:val="top"/>
                </w:tcPr>
                <w:p w14:paraId="38414025">
                  <w:pPr>
                    <w:keepNext w:val="0"/>
                    <w:keepLines w:val="0"/>
                    <w:pageBreakBefore w:val="0"/>
                    <w:widowControl w:val="0"/>
                    <w:kinsoku/>
                    <w:wordWrap/>
                    <w:overflowPunct/>
                    <w:topLinePunct w:val="0"/>
                    <w:autoSpaceDE/>
                    <w:autoSpaceDN/>
                    <w:bidi w:val="0"/>
                    <w:adjustRightInd/>
                    <w:snapToGrid/>
                    <w:spacing w:before="123" w:line="187" w:lineRule="auto"/>
                    <w:ind w:left="536"/>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3"/>
                      <w:sz w:val="21"/>
                      <w:szCs w:val="21"/>
                    </w:rPr>
                    <w:t>5</w:t>
                  </w:r>
                  <w:r>
                    <w:rPr>
                      <w:rFonts w:hint="default" w:ascii="Times New Roman" w:hAnsi="Times New Roman" w:eastAsia="Times New Roman" w:cs="Times New Roman"/>
                      <w:b w:val="0"/>
                      <w:bCs w:val="0"/>
                      <w:color w:val="auto"/>
                      <w:spacing w:val="-2"/>
                      <w:sz w:val="21"/>
                      <w:szCs w:val="21"/>
                    </w:rPr>
                    <w:t>0</w:t>
                  </w:r>
                </w:p>
              </w:tc>
              <w:tc>
                <w:tcPr>
                  <w:tcW w:w="1022" w:type="dxa"/>
                  <w:vAlign w:val="top"/>
                </w:tcPr>
                <w:p w14:paraId="7B18DE0E">
                  <w:pPr>
                    <w:keepNext w:val="0"/>
                    <w:keepLines w:val="0"/>
                    <w:pageBreakBefore w:val="0"/>
                    <w:widowControl w:val="0"/>
                    <w:kinsoku/>
                    <w:wordWrap/>
                    <w:overflowPunct/>
                    <w:topLinePunct w:val="0"/>
                    <w:autoSpaceDE/>
                    <w:autoSpaceDN/>
                    <w:bidi w:val="0"/>
                    <w:adjustRightInd/>
                    <w:snapToGrid/>
                    <w:spacing w:before="123" w:line="187" w:lineRule="auto"/>
                    <w:ind w:left="416"/>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5"/>
                      <w:sz w:val="21"/>
                      <w:szCs w:val="21"/>
                    </w:rPr>
                    <w:t>00</w:t>
                  </w:r>
                </w:p>
              </w:tc>
            </w:tr>
            <w:tr w14:paraId="624C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191" w:type="dxa"/>
                  <w:vMerge w:val="restart"/>
                  <w:vAlign w:val="top"/>
                </w:tcPr>
                <w:p w14:paraId="59CB73ED">
                  <w:pPr>
                    <w:keepNext w:val="0"/>
                    <w:keepLines w:val="0"/>
                    <w:pageBreakBefore w:val="0"/>
                    <w:widowControl w:val="0"/>
                    <w:kinsoku/>
                    <w:wordWrap/>
                    <w:overflowPunct/>
                    <w:topLinePunct w:val="0"/>
                    <w:autoSpaceDE/>
                    <w:autoSpaceDN/>
                    <w:bidi w:val="0"/>
                    <w:adjustRightInd/>
                    <w:snapToGrid/>
                    <w:spacing w:before="39" w:line="221" w:lineRule="auto"/>
                    <w:ind w:left="349"/>
                    <w:outlineLvl w:val="9"/>
                    <w:rPr>
                      <w:rFonts w:hint="default" w:ascii="Times New Roman" w:hAnsi="Times New Roman" w:eastAsia="宋体" w:cs="Times New Roman"/>
                      <w:b w:val="0"/>
                      <w:bCs w:val="0"/>
                      <w:color w:val="auto"/>
                      <w:sz w:val="21"/>
                      <w:szCs w:val="21"/>
                    </w:rPr>
                  </w:pPr>
                  <w:r>
                    <w:rPr>
                      <w:rFonts w:hint="default" w:ascii="Times New Roman" w:hAnsi="Times New Roman" w:eastAsia="Times New Roman" w:cs="Times New Roman"/>
                      <w:b w:val="0"/>
                      <w:bCs w:val="0"/>
                      <w:color w:val="auto"/>
                      <w:sz w:val="21"/>
                      <w:szCs w:val="21"/>
                    </w:rPr>
                    <w:t>TSP</w:t>
                  </w:r>
                  <w:r>
                    <w:rPr>
                      <w:rFonts w:hint="default" w:ascii="Times New Roman" w:hAnsi="Times New Roman" w:eastAsia="宋体" w:cs="Times New Roman"/>
                      <w:b w:val="0"/>
                      <w:bCs w:val="0"/>
                      <w:color w:val="auto"/>
                      <w:spacing w:val="-1"/>
                      <w:sz w:val="21"/>
                      <w:szCs w:val="21"/>
                    </w:rPr>
                    <w:t>小时平</w:t>
                  </w:r>
                  <w:r>
                    <w:rPr>
                      <w:rFonts w:hint="default" w:ascii="Times New Roman" w:hAnsi="Times New Roman" w:eastAsia="宋体" w:cs="Times New Roman"/>
                      <w:b w:val="0"/>
                      <w:bCs w:val="0"/>
                      <w:color w:val="auto"/>
                      <w:sz w:val="21"/>
                      <w:szCs w:val="21"/>
                    </w:rPr>
                    <w:t>均浓度</w:t>
                  </w:r>
                </w:p>
                <w:p w14:paraId="348E60C6">
                  <w:pPr>
                    <w:keepNext w:val="0"/>
                    <w:keepLines w:val="0"/>
                    <w:pageBreakBefore w:val="0"/>
                    <w:widowControl w:val="0"/>
                    <w:kinsoku/>
                    <w:wordWrap/>
                    <w:overflowPunct/>
                    <w:topLinePunct w:val="0"/>
                    <w:autoSpaceDE/>
                    <w:autoSpaceDN/>
                    <w:bidi w:val="0"/>
                    <w:adjustRightInd/>
                    <w:snapToGrid/>
                    <w:spacing w:before="19" w:line="213" w:lineRule="auto"/>
                    <w:ind w:left="705"/>
                    <w:outlineLvl w:val="9"/>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pacing w:val="21"/>
                      <w:sz w:val="21"/>
                      <w:szCs w:val="21"/>
                      <w:lang w:eastAsia="zh-CN"/>
                    </w:rPr>
                    <w:t>（</w:t>
                  </w:r>
                  <w:r>
                    <w:rPr>
                      <w:rFonts w:hint="default" w:ascii="Times New Roman" w:hAnsi="Times New Roman" w:eastAsia="Times New Roman" w:cs="Times New Roman"/>
                      <w:b w:val="0"/>
                      <w:bCs w:val="0"/>
                      <w:color w:val="auto"/>
                      <w:sz w:val="21"/>
                      <w:szCs w:val="21"/>
                    </w:rPr>
                    <w:t>mg</w:t>
                  </w:r>
                  <w:r>
                    <w:rPr>
                      <w:rFonts w:hint="default" w:ascii="Times New Roman" w:hAnsi="Times New Roman" w:eastAsia="Times New Roman" w:cs="Times New Roman"/>
                      <w:b w:val="0"/>
                      <w:bCs w:val="0"/>
                      <w:color w:val="auto"/>
                      <w:spacing w:val="18"/>
                      <w:sz w:val="21"/>
                      <w:szCs w:val="21"/>
                    </w:rPr>
                    <w:t>/</w:t>
                  </w:r>
                  <w:r>
                    <w:rPr>
                      <w:rFonts w:hint="default" w:ascii="Times New Roman" w:hAnsi="Times New Roman" w:eastAsia="Times New Roman" w:cs="Times New Roman"/>
                      <w:b w:val="0"/>
                      <w:bCs w:val="0"/>
                      <w:color w:val="auto"/>
                      <w:sz w:val="21"/>
                      <w:szCs w:val="21"/>
                    </w:rPr>
                    <w:t>m</w:t>
                  </w:r>
                  <w:r>
                    <w:rPr>
                      <w:rFonts w:hint="default" w:ascii="Times New Roman" w:hAnsi="Times New Roman" w:eastAsia="Times New Roman" w:cs="Times New Roman"/>
                      <w:b w:val="0"/>
                      <w:bCs w:val="0"/>
                      <w:color w:val="auto"/>
                      <w:spacing w:val="18"/>
                      <w:position w:val="6"/>
                      <w:sz w:val="13"/>
                      <w:szCs w:val="13"/>
                    </w:rPr>
                    <w:t>3</w:t>
                  </w:r>
                  <w:r>
                    <w:rPr>
                      <w:rFonts w:hint="eastAsia" w:ascii="Times New Roman" w:hAnsi="Times New Roman" w:eastAsia="宋体" w:cs="Times New Roman"/>
                      <w:b w:val="0"/>
                      <w:bCs w:val="0"/>
                      <w:color w:val="auto"/>
                      <w:spacing w:val="18"/>
                      <w:sz w:val="21"/>
                      <w:szCs w:val="21"/>
                      <w:lang w:eastAsia="zh-CN"/>
                    </w:rPr>
                    <w:t>）</w:t>
                  </w:r>
                </w:p>
                <w:p w14:paraId="248B9850">
                  <w:pPr>
                    <w:keepNext w:val="0"/>
                    <w:keepLines w:val="0"/>
                    <w:pageBreakBefore w:val="0"/>
                    <w:widowControl w:val="0"/>
                    <w:kinsoku/>
                    <w:wordWrap/>
                    <w:overflowPunct/>
                    <w:topLinePunct w:val="0"/>
                    <w:autoSpaceDE/>
                    <w:autoSpaceDN/>
                    <w:bidi w:val="0"/>
                    <w:adjustRightInd/>
                    <w:snapToGrid/>
                    <w:spacing w:before="8" w:line="29" w:lineRule="exact"/>
                    <w:textAlignment w:val="center"/>
                    <w:outlineLvl w:val="9"/>
                    <w:rPr>
                      <w:rFonts w:hint="default" w:ascii="Times New Roman" w:hAnsi="Times New Roman" w:cs="Times New Roman"/>
                      <w:b w:val="0"/>
                      <w:bCs w:val="0"/>
                      <w:color w:val="auto"/>
                    </w:rPr>
                  </w:pPr>
                </w:p>
              </w:tc>
              <w:tc>
                <w:tcPr>
                  <w:tcW w:w="1310" w:type="dxa"/>
                  <w:vAlign w:val="top"/>
                </w:tcPr>
                <w:p w14:paraId="240BA8BE">
                  <w:pPr>
                    <w:keepNext w:val="0"/>
                    <w:keepLines w:val="0"/>
                    <w:pageBreakBefore w:val="0"/>
                    <w:widowControl w:val="0"/>
                    <w:kinsoku/>
                    <w:wordWrap/>
                    <w:overflowPunct/>
                    <w:topLinePunct w:val="0"/>
                    <w:autoSpaceDE/>
                    <w:autoSpaceDN/>
                    <w:bidi w:val="0"/>
                    <w:adjustRightInd/>
                    <w:snapToGrid/>
                    <w:spacing w:before="34" w:line="213" w:lineRule="auto"/>
                    <w:ind w:left="398"/>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2"/>
                      <w:sz w:val="21"/>
                      <w:szCs w:val="21"/>
                    </w:rPr>
                    <w:t>不洒水</w:t>
                  </w:r>
                </w:p>
              </w:tc>
              <w:tc>
                <w:tcPr>
                  <w:tcW w:w="1233" w:type="dxa"/>
                  <w:vAlign w:val="top"/>
                </w:tcPr>
                <w:p w14:paraId="2BD8AD6F">
                  <w:pPr>
                    <w:keepNext w:val="0"/>
                    <w:keepLines w:val="0"/>
                    <w:pageBreakBefore w:val="0"/>
                    <w:widowControl w:val="0"/>
                    <w:kinsoku/>
                    <w:wordWrap/>
                    <w:overflowPunct/>
                    <w:topLinePunct w:val="0"/>
                    <w:autoSpaceDE/>
                    <w:autoSpaceDN/>
                    <w:bidi w:val="0"/>
                    <w:adjustRightInd/>
                    <w:snapToGrid/>
                    <w:spacing w:before="73" w:line="187" w:lineRule="auto"/>
                    <w:ind w:left="449"/>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3"/>
                      <w:sz w:val="21"/>
                      <w:szCs w:val="21"/>
                    </w:rPr>
                    <w:t>0.14</w:t>
                  </w:r>
                </w:p>
              </w:tc>
              <w:tc>
                <w:tcPr>
                  <w:tcW w:w="1375" w:type="dxa"/>
                  <w:vAlign w:val="top"/>
                </w:tcPr>
                <w:p w14:paraId="4C614590">
                  <w:pPr>
                    <w:keepNext w:val="0"/>
                    <w:keepLines w:val="0"/>
                    <w:pageBreakBefore w:val="0"/>
                    <w:widowControl w:val="0"/>
                    <w:kinsoku/>
                    <w:wordWrap/>
                    <w:overflowPunct/>
                    <w:topLinePunct w:val="0"/>
                    <w:autoSpaceDE/>
                    <w:autoSpaceDN/>
                    <w:bidi w:val="0"/>
                    <w:adjustRightInd/>
                    <w:snapToGrid/>
                    <w:spacing w:before="73" w:line="187" w:lineRule="auto"/>
                    <w:ind w:left="559"/>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2.</w:t>
                  </w:r>
                  <w:r>
                    <w:rPr>
                      <w:rFonts w:hint="default" w:ascii="Times New Roman" w:hAnsi="Times New Roman" w:eastAsia="Times New Roman" w:cs="Times New Roman"/>
                      <w:b w:val="0"/>
                      <w:bCs w:val="0"/>
                      <w:color w:val="auto"/>
                      <w:sz w:val="21"/>
                      <w:szCs w:val="21"/>
                    </w:rPr>
                    <w:t>89</w:t>
                  </w:r>
                </w:p>
              </w:tc>
              <w:tc>
                <w:tcPr>
                  <w:tcW w:w="1175" w:type="dxa"/>
                  <w:vAlign w:val="top"/>
                </w:tcPr>
                <w:p w14:paraId="621CCC85">
                  <w:pPr>
                    <w:keepNext w:val="0"/>
                    <w:keepLines w:val="0"/>
                    <w:pageBreakBefore w:val="0"/>
                    <w:widowControl w:val="0"/>
                    <w:kinsoku/>
                    <w:wordWrap/>
                    <w:overflowPunct/>
                    <w:topLinePunct w:val="0"/>
                    <w:autoSpaceDE/>
                    <w:autoSpaceDN/>
                    <w:bidi w:val="0"/>
                    <w:adjustRightInd/>
                    <w:snapToGrid/>
                    <w:spacing w:before="73" w:line="187" w:lineRule="auto"/>
                    <w:ind w:left="471"/>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5"/>
                      <w:sz w:val="21"/>
                      <w:szCs w:val="21"/>
                    </w:rPr>
                    <w:t>1</w:t>
                  </w:r>
                  <w:r>
                    <w:rPr>
                      <w:rFonts w:hint="default" w:ascii="Times New Roman" w:hAnsi="Times New Roman" w:eastAsia="Times New Roman" w:cs="Times New Roman"/>
                      <w:b w:val="0"/>
                      <w:bCs w:val="0"/>
                      <w:color w:val="auto"/>
                      <w:spacing w:val="-4"/>
                      <w:sz w:val="21"/>
                      <w:szCs w:val="21"/>
                    </w:rPr>
                    <w:t>.15</w:t>
                  </w:r>
                </w:p>
              </w:tc>
              <w:tc>
                <w:tcPr>
                  <w:tcW w:w="1022" w:type="dxa"/>
                  <w:vAlign w:val="top"/>
                </w:tcPr>
                <w:p w14:paraId="577BC0FA">
                  <w:pPr>
                    <w:keepNext w:val="0"/>
                    <w:keepLines w:val="0"/>
                    <w:pageBreakBefore w:val="0"/>
                    <w:widowControl w:val="0"/>
                    <w:kinsoku/>
                    <w:wordWrap/>
                    <w:overflowPunct/>
                    <w:topLinePunct w:val="0"/>
                    <w:autoSpaceDE/>
                    <w:autoSpaceDN/>
                    <w:bidi w:val="0"/>
                    <w:adjustRightInd/>
                    <w:snapToGrid/>
                    <w:spacing w:before="73" w:line="187" w:lineRule="auto"/>
                    <w:ind w:left="372"/>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0.86</w:t>
                  </w:r>
                </w:p>
              </w:tc>
            </w:tr>
            <w:tr w14:paraId="585B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2191" w:type="dxa"/>
                  <w:vMerge w:val="continue"/>
                  <w:vAlign w:val="top"/>
                </w:tcPr>
                <w:p w14:paraId="5CBE50E2">
                  <w:pPr>
                    <w:keepNext w:val="0"/>
                    <w:keepLines w:val="0"/>
                    <w:pageBreakBefore w:val="0"/>
                    <w:widowControl w:val="0"/>
                    <w:kinsoku/>
                    <w:wordWrap/>
                    <w:overflowPunct/>
                    <w:topLinePunct w:val="0"/>
                    <w:autoSpaceDE/>
                    <w:autoSpaceDN/>
                    <w:bidi w:val="0"/>
                    <w:adjustRightInd/>
                    <w:snapToGrid/>
                    <w:outlineLvl w:val="9"/>
                    <w:rPr>
                      <w:rFonts w:hint="default" w:ascii="Times New Roman" w:hAnsi="Times New Roman" w:cs="Times New Roman"/>
                      <w:b w:val="0"/>
                      <w:bCs w:val="0"/>
                      <w:color w:val="auto"/>
                      <w:sz w:val="21"/>
                    </w:rPr>
                  </w:pPr>
                </w:p>
              </w:tc>
              <w:tc>
                <w:tcPr>
                  <w:tcW w:w="1310" w:type="dxa"/>
                  <w:vAlign w:val="top"/>
                </w:tcPr>
                <w:p w14:paraId="21A1A77C">
                  <w:pPr>
                    <w:keepNext w:val="0"/>
                    <w:keepLines w:val="0"/>
                    <w:pageBreakBefore w:val="0"/>
                    <w:widowControl w:val="0"/>
                    <w:kinsoku/>
                    <w:wordWrap/>
                    <w:overflowPunct/>
                    <w:topLinePunct w:val="0"/>
                    <w:autoSpaceDE/>
                    <w:autoSpaceDN/>
                    <w:bidi w:val="0"/>
                    <w:adjustRightInd/>
                    <w:snapToGrid/>
                    <w:spacing w:before="33" w:line="216" w:lineRule="auto"/>
                    <w:ind w:left="502"/>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3"/>
                      <w:sz w:val="21"/>
                      <w:szCs w:val="21"/>
                    </w:rPr>
                    <w:t>洒</w:t>
                  </w:r>
                  <w:r>
                    <w:rPr>
                      <w:rFonts w:hint="default" w:ascii="Times New Roman" w:hAnsi="Times New Roman" w:eastAsia="宋体" w:cs="Times New Roman"/>
                      <w:b w:val="0"/>
                      <w:bCs w:val="0"/>
                      <w:color w:val="auto"/>
                      <w:spacing w:val="-2"/>
                      <w:sz w:val="21"/>
                      <w:szCs w:val="21"/>
                    </w:rPr>
                    <w:t>水</w:t>
                  </w:r>
                </w:p>
                <w:p w14:paraId="7E949ACB">
                  <w:pPr>
                    <w:keepNext w:val="0"/>
                    <w:keepLines w:val="0"/>
                    <w:pageBreakBefore w:val="0"/>
                    <w:widowControl w:val="0"/>
                    <w:kinsoku/>
                    <w:wordWrap/>
                    <w:overflowPunct/>
                    <w:topLinePunct w:val="0"/>
                    <w:autoSpaceDE/>
                    <w:autoSpaceDN/>
                    <w:bidi w:val="0"/>
                    <w:adjustRightInd/>
                    <w:snapToGrid/>
                    <w:spacing w:line="28" w:lineRule="exact"/>
                    <w:ind w:firstLine="50"/>
                    <w:textAlignment w:val="center"/>
                    <w:outlineLvl w:val="9"/>
                    <w:rPr>
                      <w:rFonts w:hint="default" w:ascii="Times New Roman" w:hAnsi="Times New Roman" w:cs="Times New Roman"/>
                      <w:b w:val="0"/>
                      <w:bCs w:val="0"/>
                      <w:color w:val="auto"/>
                    </w:rPr>
                  </w:pPr>
                </w:p>
              </w:tc>
              <w:tc>
                <w:tcPr>
                  <w:tcW w:w="1233" w:type="dxa"/>
                  <w:vAlign w:val="top"/>
                </w:tcPr>
                <w:p w14:paraId="00E86580">
                  <w:pPr>
                    <w:keepNext w:val="0"/>
                    <w:keepLines w:val="0"/>
                    <w:pageBreakBefore w:val="0"/>
                    <w:widowControl w:val="0"/>
                    <w:kinsoku/>
                    <w:wordWrap/>
                    <w:overflowPunct/>
                    <w:topLinePunct w:val="0"/>
                    <w:autoSpaceDE/>
                    <w:autoSpaceDN/>
                    <w:bidi w:val="0"/>
                    <w:adjustRightInd/>
                    <w:snapToGrid/>
                    <w:spacing w:before="71" w:line="187" w:lineRule="auto"/>
                    <w:ind w:left="486"/>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2"/>
                      <w:sz w:val="21"/>
                      <w:szCs w:val="21"/>
                    </w:rPr>
                    <w:t>3</w:t>
                  </w:r>
                  <w:r>
                    <w:rPr>
                      <w:rFonts w:hint="default" w:ascii="Times New Roman" w:hAnsi="Times New Roman" w:eastAsia="Times New Roman" w:cs="Times New Roman"/>
                      <w:b w:val="0"/>
                      <w:bCs w:val="0"/>
                      <w:color w:val="auto"/>
                      <w:spacing w:val="-1"/>
                      <w:sz w:val="21"/>
                      <w:szCs w:val="21"/>
                    </w:rPr>
                    <w:t>.04</w:t>
                  </w:r>
                </w:p>
                <w:p w14:paraId="0ADDD810">
                  <w:pPr>
                    <w:keepNext w:val="0"/>
                    <w:keepLines w:val="0"/>
                    <w:pageBreakBefore w:val="0"/>
                    <w:widowControl w:val="0"/>
                    <w:kinsoku/>
                    <w:wordWrap/>
                    <w:overflowPunct/>
                    <w:topLinePunct w:val="0"/>
                    <w:autoSpaceDE/>
                    <w:autoSpaceDN/>
                    <w:bidi w:val="0"/>
                    <w:adjustRightInd/>
                    <w:snapToGrid/>
                    <w:spacing w:before="19" w:line="29" w:lineRule="exact"/>
                    <w:ind w:firstLine="50"/>
                    <w:textAlignment w:val="center"/>
                    <w:outlineLvl w:val="9"/>
                    <w:rPr>
                      <w:rFonts w:hint="default" w:ascii="Times New Roman" w:hAnsi="Times New Roman" w:cs="Times New Roman"/>
                      <w:b w:val="0"/>
                      <w:bCs w:val="0"/>
                      <w:color w:val="auto"/>
                    </w:rPr>
                  </w:pPr>
                </w:p>
              </w:tc>
              <w:tc>
                <w:tcPr>
                  <w:tcW w:w="1375" w:type="dxa"/>
                  <w:vAlign w:val="top"/>
                </w:tcPr>
                <w:p w14:paraId="73659228">
                  <w:pPr>
                    <w:keepNext w:val="0"/>
                    <w:keepLines w:val="0"/>
                    <w:pageBreakBefore w:val="0"/>
                    <w:widowControl w:val="0"/>
                    <w:kinsoku/>
                    <w:wordWrap/>
                    <w:overflowPunct/>
                    <w:topLinePunct w:val="0"/>
                    <w:autoSpaceDE/>
                    <w:autoSpaceDN/>
                    <w:bidi w:val="0"/>
                    <w:adjustRightInd/>
                    <w:snapToGrid/>
                    <w:spacing w:before="71" w:line="187" w:lineRule="auto"/>
                    <w:ind w:left="579"/>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5"/>
                      <w:sz w:val="21"/>
                      <w:szCs w:val="21"/>
                    </w:rPr>
                    <w:t>1</w:t>
                  </w:r>
                  <w:r>
                    <w:rPr>
                      <w:rFonts w:hint="default" w:ascii="Times New Roman" w:hAnsi="Times New Roman" w:eastAsia="Times New Roman" w:cs="Times New Roman"/>
                      <w:b w:val="0"/>
                      <w:bCs w:val="0"/>
                      <w:color w:val="auto"/>
                      <w:spacing w:val="-4"/>
                      <w:sz w:val="21"/>
                      <w:szCs w:val="21"/>
                    </w:rPr>
                    <w:t>.01</w:t>
                  </w:r>
                </w:p>
                <w:p w14:paraId="2E45C957">
                  <w:pPr>
                    <w:keepNext w:val="0"/>
                    <w:keepLines w:val="0"/>
                    <w:pageBreakBefore w:val="0"/>
                    <w:widowControl w:val="0"/>
                    <w:kinsoku/>
                    <w:wordWrap/>
                    <w:overflowPunct/>
                    <w:topLinePunct w:val="0"/>
                    <w:autoSpaceDE/>
                    <w:autoSpaceDN/>
                    <w:bidi w:val="0"/>
                    <w:adjustRightInd/>
                    <w:snapToGrid/>
                    <w:spacing w:before="19" w:line="29" w:lineRule="exact"/>
                    <w:ind w:firstLine="50"/>
                    <w:textAlignment w:val="center"/>
                    <w:outlineLvl w:val="9"/>
                    <w:rPr>
                      <w:rFonts w:hint="default" w:ascii="Times New Roman" w:hAnsi="Times New Roman" w:cs="Times New Roman"/>
                      <w:b w:val="0"/>
                      <w:bCs w:val="0"/>
                      <w:color w:val="auto"/>
                    </w:rPr>
                  </w:pPr>
                </w:p>
              </w:tc>
              <w:tc>
                <w:tcPr>
                  <w:tcW w:w="1175" w:type="dxa"/>
                  <w:vAlign w:val="top"/>
                </w:tcPr>
                <w:p w14:paraId="2D8CA111">
                  <w:pPr>
                    <w:keepNext w:val="0"/>
                    <w:keepLines w:val="0"/>
                    <w:pageBreakBefore w:val="0"/>
                    <w:widowControl w:val="0"/>
                    <w:kinsoku/>
                    <w:wordWrap/>
                    <w:overflowPunct/>
                    <w:topLinePunct w:val="0"/>
                    <w:autoSpaceDE/>
                    <w:autoSpaceDN/>
                    <w:bidi w:val="0"/>
                    <w:adjustRightInd/>
                    <w:snapToGrid/>
                    <w:spacing w:before="71" w:line="187" w:lineRule="auto"/>
                    <w:ind w:left="454"/>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0.32</w:t>
                  </w:r>
                </w:p>
                <w:p w14:paraId="706ED5EC">
                  <w:pPr>
                    <w:keepNext w:val="0"/>
                    <w:keepLines w:val="0"/>
                    <w:pageBreakBefore w:val="0"/>
                    <w:widowControl w:val="0"/>
                    <w:kinsoku/>
                    <w:wordWrap/>
                    <w:overflowPunct/>
                    <w:topLinePunct w:val="0"/>
                    <w:autoSpaceDE/>
                    <w:autoSpaceDN/>
                    <w:bidi w:val="0"/>
                    <w:adjustRightInd/>
                    <w:snapToGrid/>
                    <w:spacing w:before="19" w:line="29" w:lineRule="exact"/>
                    <w:ind w:firstLine="50"/>
                    <w:textAlignment w:val="center"/>
                    <w:outlineLvl w:val="9"/>
                    <w:rPr>
                      <w:rFonts w:hint="default" w:ascii="Times New Roman" w:hAnsi="Times New Roman" w:cs="Times New Roman"/>
                      <w:b w:val="0"/>
                      <w:bCs w:val="0"/>
                      <w:color w:val="auto"/>
                    </w:rPr>
                  </w:pPr>
                </w:p>
              </w:tc>
              <w:tc>
                <w:tcPr>
                  <w:tcW w:w="1022" w:type="dxa"/>
                  <w:vAlign w:val="top"/>
                </w:tcPr>
                <w:p w14:paraId="1A9685E4">
                  <w:pPr>
                    <w:keepNext w:val="0"/>
                    <w:keepLines w:val="0"/>
                    <w:pageBreakBefore w:val="0"/>
                    <w:widowControl w:val="0"/>
                    <w:kinsoku/>
                    <w:wordWrap/>
                    <w:overflowPunct/>
                    <w:topLinePunct w:val="0"/>
                    <w:autoSpaceDE/>
                    <w:autoSpaceDN/>
                    <w:bidi w:val="0"/>
                    <w:adjustRightInd/>
                    <w:snapToGrid/>
                    <w:spacing w:before="71" w:line="187" w:lineRule="auto"/>
                    <w:ind w:left="372"/>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0.25</w:t>
                  </w:r>
                </w:p>
                <w:p w14:paraId="4C8491C1">
                  <w:pPr>
                    <w:keepNext w:val="0"/>
                    <w:keepLines w:val="0"/>
                    <w:pageBreakBefore w:val="0"/>
                    <w:widowControl w:val="0"/>
                    <w:kinsoku/>
                    <w:wordWrap/>
                    <w:overflowPunct/>
                    <w:topLinePunct w:val="0"/>
                    <w:autoSpaceDE/>
                    <w:autoSpaceDN/>
                    <w:bidi w:val="0"/>
                    <w:adjustRightInd/>
                    <w:snapToGrid/>
                    <w:spacing w:before="19" w:line="29" w:lineRule="exact"/>
                    <w:ind w:firstLine="50"/>
                    <w:textAlignment w:val="center"/>
                    <w:outlineLvl w:val="9"/>
                    <w:rPr>
                      <w:rFonts w:hint="default" w:ascii="Times New Roman" w:hAnsi="Times New Roman" w:cs="Times New Roman"/>
                      <w:b w:val="0"/>
                      <w:bCs w:val="0"/>
                      <w:color w:val="auto"/>
                    </w:rPr>
                  </w:pPr>
                </w:p>
              </w:tc>
            </w:tr>
          </w:tbl>
          <w:p w14:paraId="3F965C64">
            <w:pPr>
              <w:keepNext w:val="0"/>
              <w:keepLines w:val="0"/>
              <w:pageBreakBefore w:val="0"/>
              <w:widowControl w:val="0"/>
              <w:kinsoku/>
              <w:wordWrap/>
              <w:overflowPunct/>
              <w:topLinePunct w:val="0"/>
              <w:autoSpaceDE/>
              <w:autoSpaceDN/>
              <w:bidi w:val="0"/>
              <w:adjustRightInd/>
              <w:snapToGrid/>
              <w:spacing w:before="36" w:line="359" w:lineRule="auto"/>
              <w:ind w:left="166" w:right="115" w:rightChars="0" w:firstLine="509"/>
              <w:outlineLvl w:val="9"/>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由表</w:t>
            </w:r>
            <w:r>
              <w:rPr>
                <w:rFonts w:hint="eastAsia" w:eastAsia="宋体" w:cs="Times New Roman"/>
                <w:b w:val="0"/>
                <w:bCs w:val="0"/>
                <w:color w:val="auto"/>
                <w:spacing w:val="0"/>
                <w:sz w:val="24"/>
                <w:szCs w:val="24"/>
                <w:lang w:val="en-US" w:eastAsia="zh-CN"/>
              </w:rPr>
              <w:t>4</w:t>
            </w:r>
            <w:r>
              <w:rPr>
                <w:rFonts w:hint="default" w:ascii="Times New Roman" w:hAnsi="Times New Roman" w:eastAsia="Times New Roman" w:cs="Times New Roman"/>
                <w:b w:val="0"/>
                <w:bCs w:val="0"/>
                <w:color w:val="auto"/>
                <w:spacing w:val="0"/>
                <w:sz w:val="24"/>
                <w:szCs w:val="24"/>
              </w:rPr>
              <w:t>-1</w:t>
            </w:r>
            <w:r>
              <w:rPr>
                <w:rFonts w:hint="default" w:ascii="Times New Roman" w:hAnsi="Times New Roman" w:eastAsia="宋体" w:cs="Times New Roman"/>
                <w:b w:val="0"/>
                <w:bCs w:val="0"/>
                <w:color w:val="auto"/>
                <w:spacing w:val="0"/>
                <w:sz w:val="24"/>
                <w:szCs w:val="24"/>
              </w:rPr>
              <w:t>可以看出，在同样路面清洁情况下，车速越快，扬尘量越大；而在同样车速情况下，路面清洁度越差，则扬尘量越大。由表</w:t>
            </w:r>
            <w:r>
              <w:rPr>
                <w:rFonts w:hint="eastAsia" w:eastAsia="宋体" w:cs="Times New Roman"/>
                <w:b w:val="0"/>
                <w:bCs w:val="0"/>
                <w:color w:val="auto"/>
                <w:spacing w:val="0"/>
                <w:sz w:val="24"/>
                <w:szCs w:val="24"/>
                <w:lang w:val="en-US" w:eastAsia="zh-CN"/>
              </w:rPr>
              <w:t>4</w:t>
            </w:r>
            <w:r>
              <w:rPr>
                <w:rFonts w:hint="default" w:ascii="Times New Roman" w:hAnsi="Times New Roman" w:eastAsia="Times New Roman" w:cs="Times New Roman"/>
                <w:b w:val="0"/>
                <w:bCs w:val="0"/>
                <w:color w:val="auto"/>
                <w:spacing w:val="0"/>
                <w:sz w:val="24"/>
                <w:szCs w:val="24"/>
              </w:rPr>
              <w:t>-2</w:t>
            </w:r>
            <w:r>
              <w:rPr>
                <w:rFonts w:hint="default" w:ascii="Times New Roman" w:hAnsi="Times New Roman" w:eastAsia="宋体" w:cs="Times New Roman"/>
                <w:b w:val="0"/>
                <w:bCs w:val="0"/>
                <w:color w:val="auto"/>
                <w:spacing w:val="0"/>
                <w:sz w:val="24"/>
                <w:szCs w:val="24"/>
              </w:rPr>
              <w:t>可以看出，每天对施工场地洒水，可有效地控制施工扬尘，可使扬尘减少</w:t>
            </w:r>
            <w:r>
              <w:rPr>
                <w:rFonts w:hint="default" w:ascii="Times New Roman" w:hAnsi="Times New Roman" w:eastAsia="Times New Roman" w:cs="Times New Roman"/>
                <w:b w:val="0"/>
                <w:bCs w:val="0"/>
                <w:color w:val="auto"/>
                <w:spacing w:val="0"/>
                <w:sz w:val="24"/>
                <w:szCs w:val="24"/>
              </w:rPr>
              <w:t>70%</w:t>
            </w:r>
            <w:r>
              <w:rPr>
                <w:rFonts w:hint="default" w:ascii="Times New Roman" w:hAnsi="Times New Roman" w:eastAsia="宋体" w:cs="Times New Roman"/>
                <w:b w:val="0"/>
                <w:bCs w:val="0"/>
                <w:color w:val="auto"/>
                <w:spacing w:val="0"/>
                <w:sz w:val="24"/>
                <w:szCs w:val="24"/>
              </w:rPr>
              <w:t>左右，将</w:t>
            </w:r>
            <w:r>
              <w:rPr>
                <w:rFonts w:hint="default" w:ascii="Times New Roman" w:hAnsi="Times New Roman" w:eastAsia="Times New Roman" w:cs="Times New Roman"/>
                <w:b w:val="0"/>
                <w:bCs w:val="0"/>
                <w:color w:val="auto"/>
                <w:spacing w:val="0"/>
                <w:sz w:val="24"/>
                <w:szCs w:val="24"/>
              </w:rPr>
              <w:t>TSP</w:t>
            </w:r>
            <w:r>
              <w:rPr>
                <w:rFonts w:hint="default" w:ascii="Times New Roman" w:hAnsi="Times New Roman" w:eastAsia="宋体" w:cs="Times New Roman"/>
                <w:b w:val="0"/>
                <w:bCs w:val="0"/>
                <w:color w:val="auto"/>
                <w:spacing w:val="0"/>
                <w:sz w:val="24"/>
                <w:szCs w:val="24"/>
              </w:rPr>
              <w:t>污染距离缩小到</w:t>
            </w:r>
            <w:r>
              <w:rPr>
                <w:rFonts w:hint="default" w:ascii="Times New Roman" w:hAnsi="Times New Roman" w:eastAsia="Times New Roman" w:cs="Times New Roman"/>
                <w:b w:val="0"/>
                <w:bCs w:val="0"/>
                <w:color w:val="auto"/>
                <w:spacing w:val="0"/>
                <w:sz w:val="24"/>
                <w:szCs w:val="24"/>
              </w:rPr>
              <w:t>20</w:t>
            </w:r>
            <w:r>
              <w:rPr>
                <w:rFonts w:hint="default" w:ascii="Times New Roman" w:hAnsi="Times New Roman" w:eastAsia="宋体" w:cs="Times New Roman"/>
                <w:b w:val="0"/>
                <w:bCs w:val="0"/>
                <w:color w:val="auto"/>
                <w:spacing w:val="0"/>
                <w:sz w:val="24"/>
                <w:szCs w:val="24"/>
              </w:rPr>
              <w:t>~</w:t>
            </w:r>
            <w:r>
              <w:rPr>
                <w:rFonts w:hint="default" w:ascii="Times New Roman" w:hAnsi="Times New Roman" w:eastAsia="Times New Roman" w:cs="Times New Roman"/>
                <w:b w:val="0"/>
                <w:bCs w:val="0"/>
                <w:color w:val="auto"/>
                <w:spacing w:val="0"/>
                <w:sz w:val="24"/>
                <w:szCs w:val="24"/>
              </w:rPr>
              <w:t>50m</w:t>
            </w:r>
            <w:r>
              <w:rPr>
                <w:rFonts w:hint="default" w:ascii="Times New Roman" w:hAnsi="Times New Roman" w:eastAsia="宋体" w:cs="Times New Roman"/>
                <w:b w:val="0"/>
                <w:bCs w:val="0"/>
                <w:color w:val="auto"/>
                <w:spacing w:val="0"/>
                <w:sz w:val="24"/>
                <w:szCs w:val="24"/>
              </w:rPr>
              <w:t>范围之内。</w:t>
            </w:r>
          </w:p>
          <w:p w14:paraId="3EC0FD19">
            <w:pPr>
              <w:keepNext w:val="0"/>
              <w:keepLines w:val="0"/>
              <w:pageBreakBefore w:val="0"/>
              <w:widowControl w:val="0"/>
              <w:kinsoku/>
              <w:wordWrap/>
              <w:overflowPunct/>
              <w:topLinePunct w:val="0"/>
              <w:autoSpaceDE/>
              <w:autoSpaceDN/>
              <w:bidi w:val="0"/>
              <w:adjustRightInd/>
              <w:snapToGrid/>
              <w:spacing w:before="78" w:line="232" w:lineRule="auto"/>
              <w:ind w:left="640"/>
              <w:outlineLvl w:val="9"/>
              <w:rPr>
                <w:rFonts w:hint="default" w:ascii="Times New Roman" w:hAnsi="Times New Roman" w:eastAsia="宋体" w:cs="Times New Roman"/>
                <w:b w:val="0"/>
                <w:bCs w:val="0"/>
                <w:color w:val="auto"/>
                <w:spacing w:val="0"/>
                <w:sz w:val="24"/>
                <w:szCs w:val="24"/>
              </w:rPr>
            </w:pPr>
            <w:bookmarkStart w:id="9" w:name="_Toc19775"/>
            <w:r>
              <w:rPr>
                <w:rFonts w:hint="default" w:ascii="Times New Roman" w:hAnsi="Times New Roman" w:eastAsia="Times New Roman" w:cs="Times New Roman"/>
                <w:b w:val="0"/>
                <w:bCs w:val="0"/>
                <w:color w:val="auto"/>
                <w:spacing w:val="0"/>
                <w:sz w:val="24"/>
                <w:szCs w:val="24"/>
              </w:rPr>
              <w:t>3</w:t>
            </w:r>
            <w:r>
              <w:rPr>
                <w:rFonts w:hint="default" w:ascii="Times New Roman" w:hAnsi="Times New Roman" w:eastAsia="宋体" w:cs="Times New Roman"/>
                <w:b w:val="0"/>
                <w:bCs w:val="0"/>
                <w:color w:val="auto"/>
                <w:spacing w:val="0"/>
                <w:sz w:val="24"/>
                <w:szCs w:val="24"/>
              </w:rPr>
              <w:t>、堆场扬尘</w:t>
            </w:r>
            <w:bookmarkEnd w:id="9"/>
          </w:p>
          <w:p w14:paraId="5A1507B2">
            <w:pPr>
              <w:keepNext w:val="0"/>
              <w:keepLines w:val="0"/>
              <w:pageBreakBefore w:val="0"/>
              <w:widowControl w:val="0"/>
              <w:kinsoku/>
              <w:wordWrap/>
              <w:overflowPunct/>
              <w:topLinePunct w:val="0"/>
              <w:autoSpaceDE/>
              <w:autoSpaceDN/>
              <w:bidi w:val="0"/>
              <w:adjustRightInd/>
              <w:snapToGrid/>
              <w:spacing w:before="165" w:line="359" w:lineRule="auto"/>
              <w:ind w:left="195" w:right="157" w:firstLine="465"/>
              <w:outlineLvl w:val="9"/>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pacing w:val="0"/>
                <w:sz w:val="24"/>
                <w:szCs w:val="24"/>
              </w:rPr>
              <w:t>施工阶段扬尘的另一个主要来源是露天堆场和裸露场地的风力扬尘。由于施工需要，一些建筑材料需要露天堆放，一些施工作业点的表层土壤在经过人工开挖后，临时露天堆放，在气候干燥且有风的情况下，会产生大量的扬尘，扬尘量可按堆场的经验公式计算</w:t>
            </w:r>
            <w:r>
              <w:rPr>
                <w:rFonts w:hint="default" w:ascii="Times New Roman" w:hAnsi="Times New Roman" w:eastAsia="宋体" w:cs="Times New Roman"/>
                <w:b w:val="0"/>
                <w:bCs w:val="0"/>
                <w:color w:val="auto"/>
                <w:spacing w:val="-5"/>
                <w:sz w:val="24"/>
                <w:szCs w:val="24"/>
              </w:rPr>
              <w:t>：</w:t>
            </w:r>
          </w:p>
          <w:p w14:paraId="6288201C">
            <w:pPr>
              <w:keepNext w:val="0"/>
              <w:keepLines w:val="0"/>
              <w:pageBreakBefore w:val="0"/>
              <w:widowControl w:val="0"/>
              <w:kinsoku/>
              <w:wordWrap/>
              <w:overflowPunct/>
              <w:topLinePunct w:val="0"/>
              <w:autoSpaceDE/>
              <w:autoSpaceDN/>
              <w:bidi w:val="0"/>
              <w:adjustRightInd/>
              <w:snapToGrid/>
              <w:spacing w:before="146" w:line="668" w:lineRule="exact"/>
              <w:ind w:firstLine="3082"/>
              <w:textAlignment w:val="center"/>
              <w:outlineLvl w:val="9"/>
              <w:rPr>
                <w:rFonts w:hint="default" w:ascii="Times New Roman" w:hAnsi="Times New Roman" w:cs="Times New Roman"/>
                <w:b w:val="0"/>
                <w:bCs w:val="0"/>
                <w:color w:val="auto"/>
              </w:rPr>
            </w:pPr>
            <w:r>
              <w:rPr>
                <w:rFonts w:hint="default" w:ascii="Times New Roman" w:hAnsi="Times New Roman" w:cs="Times New Roman"/>
                <w:b w:val="0"/>
                <w:bCs w:val="0"/>
                <w:color w:val="auto"/>
              </w:rPr>
              <w:drawing>
                <wp:inline distT="0" distB="0" distL="0" distR="0">
                  <wp:extent cx="2092325" cy="423545"/>
                  <wp:effectExtent l="0" t="0" r="3175" b="14605"/>
                  <wp:docPr id="81" name="IM 81"/>
                  <wp:cNvGraphicFramePr/>
                  <a:graphic xmlns:a="http://schemas.openxmlformats.org/drawingml/2006/main">
                    <a:graphicData uri="http://schemas.openxmlformats.org/drawingml/2006/picture">
                      <pic:pic xmlns:pic="http://schemas.openxmlformats.org/drawingml/2006/picture">
                        <pic:nvPicPr>
                          <pic:cNvPr id="81" name="IM 81"/>
                          <pic:cNvPicPr/>
                        </pic:nvPicPr>
                        <pic:blipFill>
                          <a:blip r:embed="rId11"/>
                          <a:stretch>
                            <a:fillRect/>
                          </a:stretch>
                        </pic:blipFill>
                        <pic:spPr>
                          <a:xfrm>
                            <a:off x="0" y="0"/>
                            <a:ext cx="2092959" cy="423659"/>
                          </a:xfrm>
                          <a:prstGeom prst="rect">
                            <a:avLst/>
                          </a:prstGeom>
                        </pic:spPr>
                      </pic:pic>
                    </a:graphicData>
                  </a:graphic>
                </wp:inline>
              </w:drawing>
            </w:r>
          </w:p>
          <w:p w14:paraId="2FBA33E9">
            <w:pPr>
              <w:keepNext w:val="0"/>
              <w:keepLines w:val="0"/>
              <w:pageBreakBefore w:val="0"/>
              <w:widowControl w:val="0"/>
              <w:kinsoku/>
              <w:wordWrap/>
              <w:overflowPunct/>
              <w:topLinePunct w:val="0"/>
              <w:autoSpaceDE/>
              <w:autoSpaceDN/>
              <w:bidi w:val="0"/>
              <w:adjustRightInd/>
              <w:snapToGrid/>
              <w:spacing w:before="36" w:line="469" w:lineRule="exact"/>
              <w:ind w:left="666"/>
              <w:outlineLvl w:val="9"/>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pacing w:val="-19"/>
                <w:position w:val="17"/>
                <w:sz w:val="24"/>
                <w:szCs w:val="24"/>
              </w:rPr>
              <w:t>式</w:t>
            </w:r>
            <w:r>
              <w:rPr>
                <w:rFonts w:hint="default" w:ascii="Times New Roman" w:hAnsi="Times New Roman" w:eastAsia="宋体" w:cs="Times New Roman"/>
                <w:b w:val="0"/>
                <w:bCs w:val="0"/>
                <w:color w:val="auto"/>
                <w:spacing w:val="-15"/>
                <w:position w:val="17"/>
                <w:sz w:val="24"/>
                <w:szCs w:val="24"/>
              </w:rPr>
              <w:t>中：</w:t>
            </w:r>
            <w:r>
              <w:rPr>
                <w:rFonts w:hint="default" w:ascii="Times New Roman" w:hAnsi="Times New Roman" w:eastAsia="Times New Roman" w:cs="Times New Roman"/>
                <w:b w:val="0"/>
                <w:bCs w:val="0"/>
                <w:color w:val="auto"/>
                <w:spacing w:val="-15"/>
                <w:position w:val="17"/>
                <w:sz w:val="24"/>
                <w:szCs w:val="24"/>
              </w:rPr>
              <w:t>Q—</w:t>
            </w:r>
            <w:r>
              <w:rPr>
                <w:rFonts w:hint="default" w:ascii="Times New Roman" w:hAnsi="Times New Roman" w:eastAsia="宋体" w:cs="Times New Roman"/>
                <w:b w:val="0"/>
                <w:bCs w:val="0"/>
                <w:color w:val="auto"/>
                <w:spacing w:val="-15"/>
                <w:position w:val="17"/>
                <w:sz w:val="24"/>
                <w:szCs w:val="24"/>
              </w:rPr>
              <w:t>起尘量，</w:t>
            </w:r>
            <w:r>
              <w:rPr>
                <w:rFonts w:hint="default" w:ascii="Times New Roman" w:hAnsi="Times New Roman" w:eastAsia="Times New Roman" w:cs="Times New Roman"/>
                <w:b w:val="0"/>
                <w:bCs w:val="0"/>
                <w:color w:val="auto"/>
                <w:spacing w:val="-15"/>
                <w:position w:val="17"/>
                <w:sz w:val="24"/>
                <w:szCs w:val="24"/>
              </w:rPr>
              <w:t>kg/t·</w:t>
            </w:r>
            <w:r>
              <w:rPr>
                <w:rFonts w:hint="default" w:ascii="Times New Roman" w:hAnsi="Times New Roman" w:eastAsia="宋体" w:cs="Times New Roman"/>
                <w:b w:val="0"/>
                <w:bCs w:val="0"/>
                <w:color w:val="auto"/>
                <w:spacing w:val="-15"/>
                <w:position w:val="17"/>
                <w:sz w:val="24"/>
                <w:szCs w:val="24"/>
              </w:rPr>
              <w:t>年；</w:t>
            </w:r>
          </w:p>
          <w:p w14:paraId="1BBE6E7C">
            <w:pPr>
              <w:keepNext w:val="0"/>
              <w:keepLines w:val="0"/>
              <w:pageBreakBefore w:val="0"/>
              <w:widowControl w:val="0"/>
              <w:kinsoku/>
              <w:wordWrap/>
              <w:overflowPunct/>
              <w:topLinePunct w:val="0"/>
              <w:autoSpaceDE/>
              <w:autoSpaceDN/>
              <w:bidi w:val="0"/>
              <w:adjustRightInd/>
              <w:snapToGrid/>
              <w:spacing w:line="234" w:lineRule="auto"/>
              <w:ind w:left="654"/>
              <w:outlineLvl w:val="9"/>
              <w:rPr>
                <w:rFonts w:hint="default" w:ascii="Times New Roman" w:hAnsi="Times New Roman" w:eastAsia="宋体" w:cs="Times New Roman"/>
                <w:b w:val="0"/>
                <w:bCs w:val="0"/>
                <w:color w:val="auto"/>
                <w:sz w:val="24"/>
                <w:szCs w:val="24"/>
              </w:rPr>
            </w:pPr>
            <w:r>
              <w:rPr>
                <w:rFonts w:hint="default" w:ascii="Times New Roman" w:hAnsi="Times New Roman" w:eastAsia="Times New Roman" w:cs="Times New Roman"/>
                <w:b w:val="0"/>
                <w:bCs w:val="0"/>
                <w:color w:val="auto"/>
                <w:spacing w:val="-8"/>
                <w:sz w:val="24"/>
                <w:szCs w:val="24"/>
              </w:rPr>
              <w:t>V</w:t>
            </w:r>
            <w:r>
              <w:rPr>
                <w:rFonts w:hint="default" w:ascii="Times New Roman" w:hAnsi="Times New Roman" w:eastAsia="Times New Roman" w:cs="Times New Roman"/>
                <w:b w:val="0"/>
                <w:bCs w:val="0"/>
                <w:color w:val="auto"/>
                <w:spacing w:val="-16"/>
                <w:position w:val="-1"/>
                <w:sz w:val="16"/>
                <w:szCs w:val="16"/>
              </w:rPr>
              <w:t>5</w:t>
            </w:r>
            <w:r>
              <w:rPr>
                <w:rFonts w:hint="default" w:ascii="Times New Roman" w:hAnsi="Times New Roman" w:eastAsia="Times New Roman" w:cs="Times New Roman"/>
                <w:b w:val="0"/>
                <w:bCs w:val="0"/>
                <w:color w:val="auto"/>
                <w:spacing w:val="-12"/>
                <w:position w:val="-1"/>
                <w:sz w:val="16"/>
                <w:szCs w:val="16"/>
              </w:rPr>
              <w:t>0</w:t>
            </w:r>
            <w:r>
              <w:rPr>
                <w:rFonts w:hint="default" w:ascii="Times New Roman" w:hAnsi="Times New Roman" w:eastAsia="Times New Roman" w:cs="Times New Roman"/>
                <w:b w:val="0"/>
                <w:bCs w:val="0"/>
                <w:color w:val="auto"/>
                <w:spacing w:val="-8"/>
                <w:sz w:val="24"/>
                <w:szCs w:val="24"/>
              </w:rPr>
              <w:t>—</w:t>
            </w:r>
            <w:r>
              <w:rPr>
                <w:rFonts w:hint="default" w:ascii="Times New Roman" w:hAnsi="Times New Roman" w:eastAsia="宋体" w:cs="Times New Roman"/>
                <w:b w:val="0"/>
                <w:bCs w:val="0"/>
                <w:color w:val="auto"/>
                <w:spacing w:val="-8"/>
                <w:sz w:val="24"/>
                <w:szCs w:val="24"/>
              </w:rPr>
              <w:t>距地面</w:t>
            </w:r>
            <w:r>
              <w:rPr>
                <w:rFonts w:hint="default" w:ascii="Times New Roman" w:hAnsi="Times New Roman" w:eastAsia="Times New Roman" w:cs="Times New Roman"/>
                <w:b w:val="0"/>
                <w:bCs w:val="0"/>
                <w:color w:val="auto"/>
                <w:spacing w:val="-8"/>
                <w:sz w:val="24"/>
                <w:szCs w:val="24"/>
              </w:rPr>
              <w:t>50m</w:t>
            </w:r>
            <w:r>
              <w:rPr>
                <w:rFonts w:hint="default" w:ascii="Times New Roman" w:hAnsi="Times New Roman" w:eastAsia="宋体" w:cs="Times New Roman"/>
                <w:b w:val="0"/>
                <w:bCs w:val="0"/>
                <w:color w:val="auto"/>
                <w:spacing w:val="-8"/>
                <w:sz w:val="24"/>
                <w:szCs w:val="24"/>
              </w:rPr>
              <w:t>处风速，</w:t>
            </w:r>
            <w:r>
              <w:rPr>
                <w:rFonts w:hint="default" w:ascii="Times New Roman" w:hAnsi="Times New Roman" w:eastAsia="Times New Roman" w:cs="Times New Roman"/>
                <w:b w:val="0"/>
                <w:bCs w:val="0"/>
                <w:color w:val="auto"/>
                <w:spacing w:val="-8"/>
                <w:sz w:val="24"/>
                <w:szCs w:val="24"/>
              </w:rPr>
              <w:t>m/s</w:t>
            </w:r>
            <w:r>
              <w:rPr>
                <w:rFonts w:hint="default" w:ascii="Times New Roman" w:hAnsi="Times New Roman" w:eastAsia="宋体" w:cs="Times New Roman"/>
                <w:b w:val="0"/>
                <w:bCs w:val="0"/>
                <w:color w:val="auto"/>
                <w:spacing w:val="-8"/>
                <w:sz w:val="24"/>
                <w:szCs w:val="24"/>
              </w:rPr>
              <w:t>；</w:t>
            </w:r>
          </w:p>
          <w:p w14:paraId="2B28A1DB">
            <w:pPr>
              <w:keepNext w:val="0"/>
              <w:keepLines w:val="0"/>
              <w:pageBreakBefore w:val="0"/>
              <w:widowControl w:val="0"/>
              <w:kinsoku/>
              <w:wordWrap/>
              <w:overflowPunct/>
              <w:topLinePunct w:val="0"/>
              <w:autoSpaceDE/>
              <w:autoSpaceDN/>
              <w:bidi w:val="0"/>
              <w:adjustRightInd/>
              <w:snapToGrid/>
              <w:spacing w:before="161" w:line="234" w:lineRule="auto"/>
              <w:ind w:left="654"/>
              <w:outlineLvl w:val="9"/>
              <w:rPr>
                <w:rFonts w:hint="default" w:ascii="Times New Roman" w:hAnsi="Times New Roman" w:eastAsia="宋体" w:cs="Times New Roman"/>
                <w:b w:val="0"/>
                <w:bCs w:val="0"/>
                <w:color w:val="auto"/>
                <w:sz w:val="24"/>
                <w:szCs w:val="24"/>
              </w:rPr>
            </w:pPr>
            <w:r>
              <w:rPr>
                <w:rFonts w:hint="default" w:ascii="Times New Roman" w:hAnsi="Times New Roman" w:eastAsia="Times New Roman" w:cs="Times New Roman"/>
                <w:b w:val="0"/>
                <w:bCs w:val="0"/>
                <w:color w:val="auto"/>
                <w:spacing w:val="-9"/>
                <w:sz w:val="24"/>
                <w:szCs w:val="24"/>
              </w:rPr>
              <w:t>V</w:t>
            </w:r>
            <w:r>
              <w:rPr>
                <w:rFonts w:hint="default" w:ascii="Times New Roman" w:hAnsi="Times New Roman" w:eastAsia="Times New Roman" w:cs="Times New Roman"/>
                <w:b w:val="0"/>
                <w:bCs w:val="0"/>
                <w:color w:val="auto"/>
                <w:spacing w:val="-14"/>
                <w:sz w:val="24"/>
                <w:szCs w:val="24"/>
              </w:rPr>
              <w:t>0</w:t>
            </w:r>
            <w:r>
              <w:rPr>
                <w:rFonts w:hint="default" w:ascii="Times New Roman" w:hAnsi="Times New Roman" w:eastAsia="Times New Roman" w:cs="Times New Roman"/>
                <w:b w:val="0"/>
                <w:bCs w:val="0"/>
                <w:color w:val="auto"/>
                <w:spacing w:val="-9"/>
                <w:sz w:val="24"/>
                <w:szCs w:val="24"/>
              </w:rPr>
              <w:t>—</w:t>
            </w:r>
            <w:r>
              <w:rPr>
                <w:rFonts w:hint="default" w:ascii="Times New Roman" w:hAnsi="Times New Roman" w:eastAsia="宋体" w:cs="Times New Roman"/>
                <w:b w:val="0"/>
                <w:bCs w:val="0"/>
                <w:color w:val="auto"/>
                <w:spacing w:val="-9"/>
                <w:sz w:val="24"/>
                <w:szCs w:val="24"/>
              </w:rPr>
              <w:t>起尘风速，</w:t>
            </w:r>
            <w:r>
              <w:rPr>
                <w:rFonts w:hint="default" w:ascii="Times New Roman" w:hAnsi="Times New Roman" w:eastAsia="Times New Roman" w:cs="Times New Roman"/>
                <w:b w:val="0"/>
                <w:bCs w:val="0"/>
                <w:color w:val="auto"/>
                <w:spacing w:val="-9"/>
                <w:sz w:val="24"/>
                <w:szCs w:val="24"/>
              </w:rPr>
              <w:t>m/s</w:t>
            </w:r>
            <w:r>
              <w:rPr>
                <w:rFonts w:hint="default" w:ascii="Times New Roman" w:hAnsi="Times New Roman" w:eastAsia="宋体" w:cs="Times New Roman"/>
                <w:b w:val="0"/>
                <w:bCs w:val="0"/>
                <w:color w:val="auto"/>
                <w:spacing w:val="-9"/>
                <w:sz w:val="24"/>
                <w:szCs w:val="24"/>
              </w:rPr>
              <w:t>；</w:t>
            </w:r>
          </w:p>
          <w:p w14:paraId="4C69A4DA">
            <w:pPr>
              <w:keepNext w:val="0"/>
              <w:keepLines w:val="0"/>
              <w:pageBreakBefore w:val="0"/>
              <w:widowControl w:val="0"/>
              <w:kinsoku/>
              <w:wordWrap/>
              <w:overflowPunct/>
              <w:topLinePunct w:val="0"/>
              <w:autoSpaceDE/>
              <w:autoSpaceDN/>
              <w:bidi w:val="0"/>
              <w:adjustRightInd/>
              <w:snapToGrid/>
              <w:spacing w:before="164" w:line="233" w:lineRule="auto"/>
              <w:ind w:left="655"/>
              <w:outlineLvl w:val="9"/>
              <w:rPr>
                <w:rFonts w:hint="default" w:ascii="Times New Roman" w:hAnsi="Times New Roman" w:eastAsia="宋体" w:cs="Times New Roman"/>
                <w:b w:val="0"/>
                <w:bCs w:val="0"/>
                <w:color w:val="auto"/>
                <w:sz w:val="24"/>
                <w:szCs w:val="24"/>
              </w:rPr>
            </w:pPr>
            <w:r>
              <w:rPr>
                <w:rFonts w:hint="default" w:ascii="Times New Roman" w:hAnsi="Times New Roman" w:eastAsia="Times New Roman" w:cs="Times New Roman"/>
                <w:b w:val="0"/>
                <w:bCs w:val="0"/>
                <w:color w:val="auto"/>
                <w:spacing w:val="-10"/>
                <w:sz w:val="24"/>
                <w:szCs w:val="24"/>
              </w:rPr>
              <w:t>W</w:t>
            </w:r>
            <w:r>
              <w:rPr>
                <w:rFonts w:hint="default" w:ascii="Times New Roman" w:hAnsi="Times New Roman" w:eastAsia="Times New Roman" w:cs="Times New Roman"/>
                <w:b w:val="0"/>
                <w:bCs w:val="0"/>
                <w:color w:val="auto"/>
                <w:spacing w:val="-14"/>
                <w:sz w:val="24"/>
                <w:szCs w:val="24"/>
              </w:rPr>
              <w:t>—</w:t>
            </w:r>
            <w:r>
              <w:rPr>
                <w:rFonts w:hint="default" w:ascii="Times New Roman" w:hAnsi="Times New Roman" w:eastAsia="宋体" w:cs="Times New Roman"/>
                <w:b w:val="0"/>
                <w:bCs w:val="0"/>
                <w:color w:val="auto"/>
                <w:spacing w:val="-10"/>
                <w:sz w:val="24"/>
                <w:szCs w:val="24"/>
              </w:rPr>
              <w:t>尘粒的含水量，</w:t>
            </w:r>
            <w:r>
              <w:rPr>
                <w:rFonts w:hint="default" w:ascii="Times New Roman" w:hAnsi="Times New Roman" w:eastAsia="Times New Roman" w:cs="Times New Roman"/>
                <w:b w:val="0"/>
                <w:bCs w:val="0"/>
                <w:color w:val="auto"/>
                <w:spacing w:val="-10"/>
                <w:sz w:val="24"/>
                <w:szCs w:val="24"/>
              </w:rPr>
              <w:t>%</w:t>
            </w:r>
            <w:r>
              <w:rPr>
                <w:rFonts w:hint="default" w:ascii="Times New Roman" w:hAnsi="Times New Roman" w:eastAsia="宋体" w:cs="Times New Roman"/>
                <w:b w:val="0"/>
                <w:bCs w:val="0"/>
                <w:color w:val="auto"/>
                <w:spacing w:val="-10"/>
                <w:sz w:val="24"/>
                <w:szCs w:val="24"/>
              </w:rPr>
              <w:t>。</w:t>
            </w:r>
          </w:p>
          <w:p w14:paraId="3EDBF5E4">
            <w:pPr>
              <w:keepNext w:val="0"/>
              <w:keepLines w:val="0"/>
              <w:pageBreakBefore w:val="0"/>
              <w:widowControl w:val="0"/>
              <w:kinsoku/>
              <w:wordWrap/>
              <w:overflowPunct/>
              <w:topLinePunct w:val="0"/>
              <w:autoSpaceDE/>
              <w:autoSpaceDN/>
              <w:bidi w:val="0"/>
              <w:adjustRightInd/>
              <w:snapToGrid/>
              <w:spacing w:before="161" w:line="359" w:lineRule="auto"/>
              <w:ind w:left="183" w:right="157" w:firstLine="479"/>
              <w:outlineLvl w:val="9"/>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pacing w:val="-1"/>
                <w:sz w:val="24"/>
                <w:szCs w:val="24"/>
              </w:rPr>
              <w:t>起尘风速与尘粒和含水量</w:t>
            </w:r>
            <w:r>
              <w:rPr>
                <w:rFonts w:hint="default" w:ascii="Times New Roman" w:hAnsi="Times New Roman" w:eastAsia="宋体" w:cs="Times New Roman"/>
                <w:b w:val="0"/>
                <w:bCs w:val="0"/>
                <w:color w:val="auto"/>
                <w:sz w:val="24"/>
                <w:szCs w:val="24"/>
              </w:rPr>
              <w:t>有关，因此，减少露天堆放和保证一定的含水量及减</w:t>
            </w:r>
            <w:r>
              <w:rPr>
                <w:rFonts w:hint="default" w:ascii="Times New Roman" w:hAnsi="Times New Roman" w:eastAsia="宋体" w:cs="Times New Roman"/>
                <w:b w:val="0"/>
                <w:bCs w:val="0"/>
                <w:color w:val="auto"/>
                <w:spacing w:val="-1"/>
                <w:sz w:val="24"/>
                <w:szCs w:val="24"/>
              </w:rPr>
              <w:t>少裸露地面是减少风力起</w:t>
            </w:r>
            <w:r>
              <w:rPr>
                <w:rFonts w:hint="default" w:ascii="Times New Roman" w:hAnsi="Times New Roman" w:eastAsia="宋体" w:cs="Times New Roman"/>
                <w:b w:val="0"/>
                <w:bCs w:val="0"/>
                <w:color w:val="auto"/>
                <w:sz w:val="24"/>
                <w:szCs w:val="24"/>
              </w:rPr>
              <w:t>尘的有效手段。粉尘在空气的扩散稀释与风速等气象条件</w:t>
            </w:r>
            <w:r>
              <w:rPr>
                <w:rFonts w:hint="default" w:ascii="Times New Roman" w:hAnsi="Times New Roman" w:eastAsia="宋体" w:cs="Times New Roman"/>
                <w:b w:val="0"/>
                <w:bCs w:val="0"/>
                <w:color w:val="auto"/>
                <w:spacing w:val="-2"/>
                <w:sz w:val="24"/>
                <w:szCs w:val="24"/>
              </w:rPr>
              <w:t>有关，也与粉尘本身的沉降速度有关。不同尘粒粉尘的沉降速度见表</w:t>
            </w:r>
            <w:r>
              <w:rPr>
                <w:rFonts w:hint="eastAsia" w:eastAsia="宋体" w:cs="Times New Roman"/>
                <w:b w:val="0"/>
                <w:bCs w:val="0"/>
                <w:color w:val="auto"/>
                <w:spacing w:val="-2"/>
                <w:sz w:val="24"/>
                <w:szCs w:val="24"/>
                <w:lang w:val="en-US" w:eastAsia="zh-CN"/>
              </w:rPr>
              <w:t>4</w:t>
            </w:r>
            <w:r>
              <w:rPr>
                <w:rFonts w:hint="default" w:ascii="Times New Roman" w:hAnsi="Times New Roman" w:eastAsia="Times New Roman" w:cs="Times New Roman"/>
                <w:b w:val="0"/>
                <w:bCs w:val="0"/>
                <w:color w:val="auto"/>
                <w:spacing w:val="-2"/>
                <w:sz w:val="24"/>
                <w:szCs w:val="24"/>
              </w:rPr>
              <w:t>-</w:t>
            </w:r>
            <w:r>
              <w:rPr>
                <w:rFonts w:hint="default" w:ascii="Times New Roman" w:hAnsi="Times New Roman" w:eastAsia="Times New Roman" w:cs="Times New Roman"/>
                <w:b w:val="0"/>
                <w:bCs w:val="0"/>
                <w:color w:val="auto"/>
                <w:sz w:val="24"/>
                <w:szCs w:val="24"/>
              </w:rPr>
              <w:t>3</w:t>
            </w:r>
            <w:r>
              <w:rPr>
                <w:rFonts w:hint="default" w:ascii="Times New Roman" w:hAnsi="Times New Roman" w:eastAsia="宋体" w:cs="Times New Roman"/>
                <w:b w:val="0"/>
                <w:bCs w:val="0"/>
                <w:color w:val="auto"/>
                <w:sz w:val="24"/>
                <w:szCs w:val="24"/>
              </w:rPr>
              <w:t>。</w:t>
            </w:r>
          </w:p>
          <w:p w14:paraId="052DB0C2">
            <w:pPr>
              <w:keepNext w:val="0"/>
              <w:keepLines w:val="0"/>
              <w:pageBreakBefore w:val="0"/>
              <w:widowControl w:val="0"/>
              <w:kinsoku/>
              <w:wordWrap/>
              <w:overflowPunct/>
              <w:topLinePunct w:val="0"/>
              <w:autoSpaceDE/>
              <w:autoSpaceDN/>
              <w:bidi w:val="0"/>
              <w:adjustRightInd/>
              <w:snapToGrid/>
              <w:spacing w:before="1" w:line="212" w:lineRule="auto"/>
              <w:ind w:left="2509"/>
              <w:outlineLvl w:val="9"/>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pacing w:val="1"/>
                <w:sz w:val="24"/>
                <w:szCs w:val="24"/>
                <w14:textOutline w14:w="4354" w14:cap="flat" w14:cmpd="sng">
                  <w14:solidFill>
                    <w14:srgbClr w14:val="000000"/>
                  </w14:solidFill>
                  <w14:prstDash w14:val="solid"/>
                  <w14:miter w14:val="0"/>
                </w14:textOutline>
              </w:rPr>
              <w:t>表</w:t>
            </w:r>
            <w:r>
              <w:rPr>
                <w:rFonts w:hint="eastAsia" w:eastAsia="宋体" w:cs="Times New Roman"/>
                <w:b w:val="0"/>
                <w:bCs w:val="0"/>
                <w:color w:val="auto"/>
                <w:spacing w:val="1"/>
                <w:sz w:val="24"/>
                <w:szCs w:val="24"/>
                <w:lang w:val="en-US" w:eastAsia="zh-CN"/>
              </w:rPr>
              <w:t>4</w:t>
            </w:r>
            <w:r>
              <w:rPr>
                <w:rFonts w:hint="default" w:ascii="Times New Roman" w:hAnsi="Times New Roman" w:eastAsia="Times New Roman" w:cs="Times New Roman"/>
                <w:b w:val="0"/>
                <w:bCs w:val="0"/>
                <w:color w:val="auto"/>
                <w:spacing w:val="1"/>
                <w:sz w:val="24"/>
                <w:szCs w:val="24"/>
              </w:rPr>
              <w:t>-3</w:t>
            </w:r>
            <w:r>
              <w:rPr>
                <w:rFonts w:hint="default" w:ascii="Times New Roman" w:hAnsi="Times New Roman" w:eastAsia="宋体" w:cs="Times New Roman"/>
                <w:b w:val="0"/>
                <w:bCs w:val="0"/>
                <w:color w:val="auto"/>
                <w:sz w:val="24"/>
                <w:szCs w:val="24"/>
                <w14:textOutline w14:w="4354" w14:cap="flat" w14:cmpd="sng">
                  <w14:solidFill>
                    <w14:srgbClr w14:val="000000"/>
                  </w14:solidFill>
                  <w14:prstDash w14:val="solid"/>
                  <w14:miter w14:val="0"/>
                </w14:textOutline>
              </w:rPr>
              <w:t>不同粒径尘粒的沉降速度</w:t>
            </w:r>
          </w:p>
          <w:tbl>
            <w:tblPr>
              <w:tblStyle w:val="236"/>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40"/>
              <w:gridCol w:w="861"/>
              <w:gridCol w:w="866"/>
              <w:gridCol w:w="858"/>
              <w:gridCol w:w="861"/>
              <w:gridCol w:w="859"/>
              <w:gridCol w:w="863"/>
              <w:gridCol w:w="996"/>
            </w:tblGrid>
            <w:tr w14:paraId="1883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2140" w:type="dxa"/>
                  <w:vAlign w:val="top"/>
                </w:tcPr>
                <w:p w14:paraId="52E0816F">
                  <w:pPr>
                    <w:keepNext w:val="0"/>
                    <w:keepLines w:val="0"/>
                    <w:pageBreakBefore w:val="0"/>
                    <w:widowControl w:val="0"/>
                    <w:kinsoku/>
                    <w:wordWrap/>
                    <w:overflowPunct/>
                    <w:topLinePunct w:val="0"/>
                    <w:autoSpaceDE/>
                    <w:autoSpaceDN/>
                    <w:bidi w:val="0"/>
                    <w:adjustRightInd/>
                    <w:snapToGrid/>
                    <w:spacing w:before="85" w:line="213" w:lineRule="auto"/>
                    <w:ind w:left="403"/>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pacing w:val="20"/>
                      <w:sz w:val="21"/>
                      <w:szCs w:val="21"/>
                    </w:rPr>
                    <w:t>粉</w:t>
                  </w:r>
                  <w:r>
                    <w:rPr>
                      <w:rFonts w:hint="default" w:ascii="Times New Roman" w:hAnsi="Times New Roman" w:eastAsia="宋体" w:cs="Times New Roman"/>
                      <w:b w:val="0"/>
                      <w:bCs w:val="0"/>
                      <w:color w:val="auto"/>
                      <w:spacing w:val="16"/>
                      <w:sz w:val="21"/>
                      <w:szCs w:val="21"/>
                    </w:rPr>
                    <w:t>尘粒径</w:t>
                  </w:r>
                  <w:r>
                    <w:rPr>
                      <w:rFonts w:hint="eastAsia" w:ascii="Times New Roman" w:hAnsi="Times New Roman" w:eastAsia="宋体" w:cs="Times New Roman"/>
                      <w:b w:val="0"/>
                      <w:bCs w:val="0"/>
                      <w:color w:val="auto"/>
                      <w:spacing w:val="16"/>
                      <w:sz w:val="21"/>
                      <w:szCs w:val="21"/>
                      <w:lang w:eastAsia="zh-CN"/>
                    </w:rPr>
                    <w:t>（</w:t>
                  </w:r>
                  <w:r>
                    <w:rPr>
                      <w:rFonts w:hint="default" w:ascii="Times New Roman" w:hAnsi="Times New Roman" w:eastAsia="Times New Roman" w:cs="Times New Roman"/>
                      <w:b w:val="0"/>
                      <w:bCs w:val="0"/>
                      <w:color w:val="auto"/>
                      <w:sz w:val="21"/>
                      <w:szCs w:val="21"/>
                    </w:rPr>
                    <w:t>gm</w:t>
                  </w:r>
                  <w:r>
                    <w:rPr>
                      <w:rFonts w:hint="eastAsia" w:ascii="Times New Roman" w:hAnsi="Times New Roman" w:eastAsia="宋体" w:cs="Times New Roman"/>
                      <w:b w:val="0"/>
                      <w:bCs w:val="0"/>
                      <w:color w:val="auto"/>
                      <w:spacing w:val="16"/>
                      <w:sz w:val="21"/>
                      <w:szCs w:val="21"/>
                      <w:lang w:eastAsia="zh-CN"/>
                    </w:rPr>
                    <w:t>）</w:t>
                  </w:r>
                </w:p>
              </w:tc>
              <w:tc>
                <w:tcPr>
                  <w:tcW w:w="861" w:type="dxa"/>
                  <w:vAlign w:val="top"/>
                </w:tcPr>
                <w:p w14:paraId="1F4239C0">
                  <w:pPr>
                    <w:keepNext w:val="0"/>
                    <w:keepLines w:val="0"/>
                    <w:pageBreakBefore w:val="0"/>
                    <w:widowControl w:val="0"/>
                    <w:kinsoku/>
                    <w:wordWrap/>
                    <w:overflowPunct/>
                    <w:topLinePunct w:val="0"/>
                    <w:autoSpaceDE/>
                    <w:autoSpaceDN/>
                    <w:bidi w:val="0"/>
                    <w:adjustRightInd/>
                    <w:snapToGrid/>
                    <w:spacing w:before="123" w:line="187" w:lineRule="auto"/>
                    <w:ind w:left="382"/>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6"/>
                      <w:sz w:val="21"/>
                      <w:szCs w:val="21"/>
                    </w:rPr>
                    <w:t>10</w:t>
                  </w:r>
                </w:p>
              </w:tc>
              <w:tc>
                <w:tcPr>
                  <w:tcW w:w="866" w:type="dxa"/>
                  <w:vAlign w:val="top"/>
                </w:tcPr>
                <w:p w14:paraId="5C4C2A86">
                  <w:pPr>
                    <w:keepNext w:val="0"/>
                    <w:keepLines w:val="0"/>
                    <w:pageBreakBefore w:val="0"/>
                    <w:widowControl w:val="0"/>
                    <w:kinsoku/>
                    <w:wordWrap/>
                    <w:overflowPunct/>
                    <w:topLinePunct w:val="0"/>
                    <w:autoSpaceDE/>
                    <w:autoSpaceDN/>
                    <w:bidi w:val="0"/>
                    <w:adjustRightInd/>
                    <w:snapToGrid/>
                    <w:spacing w:before="123" w:line="187" w:lineRule="auto"/>
                    <w:ind w:left="364"/>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20</w:t>
                  </w:r>
                </w:p>
              </w:tc>
              <w:tc>
                <w:tcPr>
                  <w:tcW w:w="858" w:type="dxa"/>
                  <w:vAlign w:val="top"/>
                </w:tcPr>
                <w:p w14:paraId="52B93A1A">
                  <w:pPr>
                    <w:keepNext w:val="0"/>
                    <w:keepLines w:val="0"/>
                    <w:pageBreakBefore w:val="0"/>
                    <w:widowControl w:val="0"/>
                    <w:kinsoku/>
                    <w:wordWrap/>
                    <w:overflowPunct/>
                    <w:topLinePunct w:val="0"/>
                    <w:autoSpaceDE/>
                    <w:autoSpaceDN/>
                    <w:bidi w:val="0"/>
                    <w:adjustRightInd/>
                    <w:snapToGrid/>
                    <w:spacing w:before="123" w:line="187" w:lineRule="auto"/>
                    <w:ind w:left="364"/>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2"/>
                      <w:sz w:val="21"/>
                      <w:szCs w:val="21"/>
                    </w:rPr>
                    <w:t>30</w:t>
                  </w:r>
                </w:p>
              </w:tc>
              <w:tc>
                <w:tcPr>
                  <w:tcW w:w="861" w:type="dxa"/>
                  <w:vAlign w:val="top"/>
                </w:tcPr>
                <w:p w14:paraId="6D75FC97">
                  <w:pPr>
                    <w:keepNext w:val="0"/>
                    <w:keepLines w:val="0"/>
                    <w:pageBreakBefore w:val="0"/>
                    <w:widowControl w:val="0"/>
                    <w:kinsoku/>
                    <w:wordWrap/>
                    <w:overflowPunct/>
                    <w:topLinePunct w:val="0"/>
                    <w:autoSpaceDE/>
                    <w:autoSpaceDN/>
                    <w:bidi w:val="0"/>
                    <w:adjustRightInd/>
                    <w:snapToGrid/>
                    <w:spacing w:before="123" w:line="187" w:lineRule="auto"/>
                    <w:ind w:left="361"/>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40</w:t>
                  </w:r>
                </w:p>
              </w:tc>
              <w:tc>
                <w:tcPr>
                  <w:tcW w:w="859" w:type="dxa"/>
                  <w:vAlign w:val="top"/>
                </w:tcPr>
                <w:p w14:paraId="4ED05AA4">
                  <w:pPr>
                    <w:keepNext w:val="0"/>
                    <w:keepLines w:val="0"/>
                    <w:pageBreakBefore w:val="0"/>
                    <w:widowControl w:val="0"/>
                    <w:kinsoku/>
                    <w:wordWrap/>
                    <w:overflowPunct/>
                    <w:topLinePunct w:val="0"/>
                    <w:autoSpaceDE/>
                    <w:autoSpaceDN/>
                    <w:bidi w:val="0"/>
                    <w:adjustRightInd/>
                    <w:snapToGrid/>
                    <w:spacing w:before="123" w:line="187" w:lineRule="auto"/>
                    <w:ind w:left="368"/>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3"/>
                      <w:sz w:val="21"/>
                      <w:szCs w:val="21"/>
                    </w:rPr>
                    <w:t>5</w:t>
                  </w:r>
                  <w:r>
                    <w:rPr>
                      <w:rFonts w:hint="default" w:ascii="Times New Roman" w:hAnsi="Times New Roman" w:eastAsia="Times New Roman" w:cs="Times New Roman"/>
                      <w:b w:val="0"/>
                      <w:bCs w:val="0"/>
                      <w:color w:val="auto"/>
                      <w:spacing w:val="-2"/>
                      <w:sz w:val="21"/>
                      <w:szCs w:val="21"/>
                    </w:rPr>
                    <w:t>0</w:t>
                  </w:r>
                </w:p>
              </w:tc>
              <w:tc>
                <w:tcPr>
                  <w:tcW w:w="863" w:type="dxa"/>
                  <w:vAlign w:val="top"/>
                </w:tcPr>
                <w:p w14:paraId="211D6758">
                  <w:pPr>
                    <w:keepNext w:val="0"/>
                    <w:keepLines w:val="0"/>
                    <w:pageBreakBefore w:val="0"/>
                    <w:widowControl w:val="0"/>
                    <w:kinsoku/>
                    <w:wordWrap/>
                    <w:overflowPunct/>
                    <w:topLinePunct w:val="0"/>
                    <w:autoSpaceDE/>
                    <w:autoSpaceDN/>
                    <w:bidi w:val="0"/>
                    <w:adjustRightInd/>
                    <w:snapToGrid/>
                    <w:spacing w:before="123" w:line="187" w:lineRule="auto"/>
                    <w:ind w:left="369"/>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2"/>
                      <w:sz w:val="21"/>
                      <w:szCs w:val="21"/>
                    </w:rPr>
                    <w:t>60</w:t>
                  </w:r>
                </w:p>
              </w:tc>
              <w:tc>
                <w:tcPr>
                  <w:tcW w:w="996" w:type="dxa"/>
                  <w:vAlign w:val="top"/>
                </w:tcPr>
                <w:p w14:paraId="06AB5138">
                  <w:pPr>
                    <w:keepNext w:val="0"/>
                    <w:keepLines w:val="0"/>
                    <w:pageBreakBefore w:val="0"/>
                    <w:widowControl w:val="0"/>
                    <w:kinsoku/>
                    <w:wordWrap/>
                    <w:overflowPunct/>
                    <w:topLinePunct w:val="0"/>
                    <w:autoSpaceDE/>
                    <w:autoSpaceDN/>
                    <w:bidi w:val="0"/>
                    <w:adjustRightInd/>
                    <w:snapToGrid/>
                    <w:spacing w:before="123" w:line="187" w:lineRule="auto"/>
                    <w:ind w:left="439"/>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2"/>
                      <w:sz w:val="21"/>
                      <w:szCs w:val="21"/>
                    </w:rPr>
                    <w:t>70</w:t>
                  </w:r>
                </w:p>
              </w:tc>
            </w:tr>
            <w:tr w14:paraId="1698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2140" w:type="dxa"/>
                  <w:vAlign w:val="top"/>
                </w:tcPr>
                <w:p w14:paraId="6B77F471">
                  <w:pPr>
                    <w:keepNext w:val="0"/>
                    <w:keepLines w:val="0"/>
                    <w:pageBreakBefore w:val="0"/>
                    <w:widowControl w:val="0"/>
                    <w:kinsoku/>
                    <w:wordWrap/>
                    <w:overflowPunct/>
                    <w:topLinePunct w:val="0"/>
                    <w:autoSpaceDE/>
                    <w:autoSpaceDN/>
                    <w:bidi w:val="0"/>
                    <w:adjustRightInd/>
                    <w:snapToGrid/>
                    <w:spacing w:before="31" w:line="217" w:lineRule="auto"/>
                    <w:ind w:left="387"/>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pacing w:val="15"/>
                      <w:sz w:val="21"/>
                      <w:szCs w:val="21"/>
                    </w:rPr>
                    <w:t>沉</w:t>
                  </w:r>
                  <w:r>
                    <w:rPr>
                      <w:rFonts w:hint="default" w:ascii="Times New Roman" w:hAnsi="Times New Roman" w:eastAsia="宋体" w:cs="Times New Roman"/>
                      <w:b w:val="0"/>
                      <w:bCs w:val="0"/>
                      <w:color w:val="auto"/>
                      <w:spacing w:val="14"/>
                      <w:sz w:val="21"/>
                      <w:szCs w:val="21"/>
                    </w:rPr>
                    <w:t>降速度</w:t>
                  </w:r>
                  <w:r>
                    <w:rPr>
                      <w:rFonts w:hint="eastAsia" w:ascii="Times New Roman" w:hAnsi="Times New Roman" w:eastAsia="宋体" w:cs="Times New Roman"/>
                      <w:b w:val="0"/>
                      <w:bCs w:val="0"/>
                      <w:color w:val="auto"/>
                      <w:spacing w:val="14"/>
                      <w:sz w:val="21"/>
                      <w:szCs w:val="21"/>
                      <w:lang w:eastAsia="zh-CN"/>
                    </w:rPr>
                    <w:t>（</w:t>
                  </w:r>
                  <w:r>
                    <w:rPr>
                      <w:rFonts w:hint="default" w:ascii="Times New Roman" w:hAnsi="Times New Roman" w:eastAsia="Times New Roman" w:cs="Times New Roman"/>
                      <w:b w:val="0"/>
                      <w:bCs w:val="0"/>
                      <w:color w:val="auto"/>
                      <w:sz w:val="21"/>
                      <w:szCs w:val="21"/>
                    </w:rPr>
                    <w:t>m</w:t>
                  </w:r>
                  <w:r>
                    <w:rPr>
                      <w:rFonts w:hint="default" w:ascii="Times New Roman" w:hAnsi="Times New Roman" w:eastAsia="Times New Roman" w:cs="Times New Roman"/>
                      <w:b w:val="0"/>
                      <w:bCs w:val="0"/>
                      <w:color w:val="auto"/>
                      <w:spacing w:val="14"/>
                      <w:sz w:val="21"/>
                      <w:szCs w:val="21"/>
                    </w:rPr>
                    <w:t>/</w:t>
                  </w:r>
                  <w:r>
                    <w:rPr>
                      <w:rFonts w:hint="default" w:ascii="Times New Roman" w:hAnsi="Times New Roman" w:eastAsia="Times New Roman" w:cs="Times New Roman"/>
                      <w:b w:val="0"/>
                      <w:bCs w:val="0"/>
                      <w:color w:val="auto"/>
                      <w:sz w:val="21"/>
                      <w:szCs w:val="21"/>
                    </w:rPr>
                    <w:t>s</w:t>
                  </w:r>
                  <w:r>
                    <w:rPr>
                      <w:rFonts w:hint="eastAsia" w:ascii="Times New Roman" w:hAnsi="Times New Roman" w:eastAsia="宋体" w:cs="Times New Roman"/>
                      <w:b w:val="0"/>
                      <w:bCs w:val="0"/>
                      <w:color w:val="auto"/>
                      <w:spacing w:val="14"/>
                      <w:sz w:val="21"/>
                      <w:szCs w:val="21"/>
                      <w:lang w:eastAsia="zh-CN"/>
                    </w:rPr>
                    <w:t>）</w:t>
                  </w:r>
                </w:p>
              </w:tc>
              <w:tc>
                <w:tcPr>
                  <w:tcW w:w="861" w:type="dxa"/>
                  <w:vAlign w:val="top"/>
                </w:tcPr>
                <w:p w14:paraId="10E6E43D">
                  <w:pPr>
                    <w:keepNext w:val="0"/>
                    <w:keepLines w:val="0"/>
                    <w:pageBreakBefore w:val="0"/>
                    <w:widowControl w:val="0"/>
                    <w:kinsoku/>
                    <w:wordWrap/>
                    <w:overflowPunct/>
                    <w:topLinePunct w:val="0"/>
                    <w:autoSpaceDE/>
                    <w:autoSpaceDN/>
                    <w:bidi w:val="0"/>
                    <w:adjustRightInd/>
                    <w:snapToGrid/>
                    <w:spacing w:before="69" w:line="187" w:lineRule="auto"/>
                    <w:ind w:left="233"/>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0.00</w:t>
                  </w:r>
                  <w:r>
                    <w:rPr>
                      <w:rFonts w:hint="default" w:ascii="Times New Roman" w:hAnsi="Times New Roman" w:eastAsia="Times New Roman" w:cs="Times New Roman"/>
                      <w:b w:val="0"/>
                      <w:bCs w:val="0"/>
                      <w:color w:val="auto"/>
                      <w:sz w:val="21"/>
                      <w:szCs w:val="21"/>
                    </w:rPr>
                    <w:t>3</w:t>
                  </w:r>
                </w:p>
              </w:tc>
              <w:tc>
                <w:tcPr>
                  <w:tcW w:w="866" w:type="dxa"/>
                  <w:vAlign w:val="top"/>
                </w:tcPr>
                <w:p w14:paraId="247F39C1">
                  <w:pPr>
                    <w:keepNext w:val="0"/>
                    <w:keepLines w:val="0"/>
                    <w:pageBreakBefore w:val="0"/>
                    <w:widowControl w:val="0"/>
                    <w:kinsoku/>
                    <w:wordWrap/>
                    <w:overflowPunct/>
                    <w:topLinePunct w:val="0"/>
                    <w:autoSpaceDE/>
                    <w:autoSpaceDN/>
                    <w:bidi w:val="0"/>
                    <w:adjustRightInd/>
                    <w:snapToGrid/>
                    <w:spacing w:before="69" w:line="187" w:lineRule="auto"/>
                    <w:ind w:left="236"/>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0.01</w:t>
                  </w:r>
                  <w:r>
                    <w:rPr>
                      <w:rFonts w:hint="default" w:ascii="Times New Roman" w:hAnsi="Times New Roman" w:eastAsia="Times New Roman" w:cs="Times New Roman"/>
                      <w:b w:val="0"/>
                      <w:bCs w:val="0"/>
                      <w:color w:val="auto"/>
                      <w:sz w:val="21"/>
                      <w:szCs w:val="21"/>
                    </w:rPr>
                    <w:t>2</w:t>
                  </w:r>
                </w:p>
              </w:tc>
              <w:tc>
                <w:tcPr>
                  <w:tcW w:w="858" w:type="dxa"/>
                  <w:vAlign w:val="top"/>
                </w:tcPr>
                <w:p w14:paraId="36955EB8">
                  <w:pPr>
                    <w:keepNext w:val="0"/>
                    <w:keepLines w:val="0"/>
                    <w:pageBreakBefore w:val="0"/>
                    <w:widowControl w:val="0"/>
                    <w:kinsoku/>
                    <w:wordWrap/>
                    <w:overflowPunct/>
                    <w:topLinePunct w:val="0"/>
                    <w:autoSpaceDE/>
                    <w:autoSpaceDN/>
                    <w:bidi w:val="0"/>
                    <w:adjustRightInd/>
                    <w:snapToGrid/>
                    <w:spacing w:before="69" w:line="187" w:lineRule="auto"/>
                    <w:ind w:left="231"/>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0.02</w:t>
                  </w:r>
                  <w:r>
                    <w:rPr>
                      <w:rFonts w:hint="default" w:ascii="Times New Roman" w:hAnsi="Times New Roman" w:eastAsia="Times New Roman" w:cs="Times New Roman"/>
                      <w:b w:val="0"/>
                      <w:bCs w:val="0"/>
                      <w:color w:val="auto"/>
                      <w:sz w:val="21"/>
                      <w:szCs w:val="21"/>
                    </w:rPr>
                    <w:t>7</w:t>
                  </w:r>
                </w:p>
              </w:tc>
              <w:tc>
                <w:tcPr>
                  <w:tcW w:w="861" w:type="dxa"/>
                  <w:vAlign w:val="top"/>
                </w:tcPr>
                <w:p w14:paraId="09EF84FF">
                  <w:pPr>
                    <w:keepNext w:val="0"/>
                    <w:keepLines w:val="0"/>
                    <w:pageBreakBefore w:val="0"/>
                    <w:widowControl w:val="0"/>
                    <w:kinsoku/>
                    <w:wordWrap/>
                    <w:overflowPunct/>
                    <w:topLinePunct w:val="0"/>
                    <w:autoSpaceDE/>
                    <w:autoSpaceDN/>
                    <w:bidi w:val="0"/>
                    <w:adjustRightInd/>
                    <w:snapToGrid/>
                    <w:spacing w:before="69" w:line="187" w:lineRule="auto"/>
                    <w:ind w:left="233"/>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0.04</w:t>
                  </w:r>
                  <w:r>
                    <w:rPr>
                      <w:rFonts w:hint="default" w:ascii="Times New Roman" w:hAnsi="Times New Roman" w:eastAsia="Times New Roman" w:cs="Times New Roman"/>
                      <w:b w:val="0"/>
                      <w:bCs w:val="0"/>
                      <w:color w:val="auto"/>
                      <w:sz w:val="21"/>
                      <w:szCs w:val="21"/>
                    </w:rPr>
                    <w:t>8</w:t>
                  </w:r>
                </w:p>
              </w:tc>
              <w:tc>
                <w:tcPr>
                  <w:tcW w:w="859" w:type="dxa"/>
                  <w:vAlign w:val="top"/>
                </w:tcPr>
                <w:p w14:paraId="3EB37A3D">
                  <w:pPr>
                    <w:keepNext w:val="0"/>
                    <w:keepLines w:val="0"/>
                    <w:pageBreakBefore w:val="0"/>
                    <w:widowControl w:val="0"/>
                    <w:kinsoku/>
                    <w:wordWrap/>
                    <w:overflowPunct/>
                    <w:topLinePunct w:val="0"/>
                    <w:autoSpaceDE/>
                    <w:autoSpaceDN/>
                    <w:bidi w:val="0"/>
                    <w:adjustRightInd/>
                    <w:snapToGrid/>
                    <w:spacing w:before="69" w:line="187" w:lineRule="auto"/>
                    <w:ind w:left="233"/>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0.07</w:t>
                  </w:r>
                  <w:r>
                    <w:rPr>
                      <w:rFonts w:hint="default" w:ascii="Times New Roman" w:hAnsi="Times New Roman" w:eastAsia="Times New Roman" w:cs="Times New Roman"/>
                      <w:b w:val="0"/>
                      <w:bCs w:val="0"/>
                      <w:color w:val="auto"/>
                      <w:sz w:val="21"/>
                      <w:szCs w:val="21"/>
                    </w:rPr>
                    <w:t>5</w:t>
                  </w:r>
                </w:p>
              </w:tc>
              <w:tc>
                <w:tcPr>
                  <w:tcW w:w="863" w:type="dxa"/>
                  <w:vAlign w:val="top"/>
                </w:tcPr>
                <w:p w14:paraId="16EA4BAB">
                  <w:pPr>
                    <w:keepNext w:val="0"/>
                    <w:keepLines w:val="0"/>
                    <w:pageBreakBefore w:val="0"/>
                    <w:widowControl w:val="0"/>
                    <w:kinsoku/>
                    <w:wordWrap/>
                    <w:overflowPunct/>
                    <w:topLinePunct w:val="0"/>
                    <w:autoSpaceDE/>
                    <w:autoSpaceDN/>
                    <w:bidi w:val="0"/>
                    <w:adjustRightInd/>
                    <w:snapToGrid/>
                    <w:spacing w:before="69" w:line="187" w:lineRule="auto"/>
                    <w:ind w:left="235"/>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0.10</w:t>
                  </w:r>
                  <w:r>
                    <w:rPr>
                      <w:rFonts w:hint="default" w:ascii="Times New Roman" w:hAnsi="Times New Roman" w:eastAsia="Times New Roman" w:cs="Times New Roman"/>
                      <w:b w:val="0"/>
                      <w:bCs w:val="0"/>
                      <w:color w:val="auto"/>
                      <w:sz w:val="21"/>
                      <w:szCs w:val="21"/>
                    </w:rPr>
                    <w:t>8</w:t>
                  </w:r>
                </w:p>
              </w:tc>
              <w:tc>
                <w:tcPr>
                  <w:tcW w:w="996" w:type="dxa"/>
                  <w:vAlign w:val="top"/>
                </w:tcPr>
                <w:p w14:paraId="7E279744">
                  <w:pPr>
                    <w:keepNext w:val="0"/>
                    <w:keepLines w:val="0"/>
                    <w:pageBreakBefore w:val="0"/>
                    <w:widowControl w:val="0"/>
                    <w:kinsoku/>
                    <w:wordWrap/>
                    <w:overflowPunct/>
                    <w:topLinePunct w:val="0"/>
                    <w:autoSpaceDE/>
                    <w:autoSpaceDN/>
                    <w:bidi w:val="0"/>
                    <w:adjustRightInd/>
                    <w:snapToGrid/>
                    <w:spacing w:before="69" w:line="187" w:lineRule="auto"/>
                    <w:ind w:left="307"/>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0.14</w:t>
                  </w:r>
                  <w:r>
                    <w:rPr>
                      <w:rFonts w:hint="default" w:ascii="Times New Roman" w:hAnsi="Times New Roman" w:eastAsia="Times New Roman" w:cs="Times New Roman"/>
                      <w:b w:val="0"/>
                      <w:bCs w:val="0"/>
                      <w:color w:val="auto"/>
                      <w:sz w:val="21"/>
                      <w:szCs w:val="21"/>
                    </w:rPr>
                    <w:t>7</w:t>
                  </w:r>
                </w:p>
              </w:tc>
            </w:tr>
            <w:tr w14:paraId="14E7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2140" w:type="dxa"/>
                  <w:vAlign w:val="top"/>
                </w:tcPr>
                <w:p w14:paraId="52D1FB41">
                  <w:pPr>
                    <w:keepNext w:val="0"/>
                    <w:keepLines w:val="0"/>
                    <w:pageBreakBefore w:val="0"/>
                    <w:widowControl w:val="0"/>
                    <w:kinsoku/>
                    <w:wordWrap/>
                    <w:overflowPunct/>
                    <w:topLinePunct w:val="0"/>
                    <w:autoSpaceDE/>
                    <w:autoSpaceDN/>
                    <w:bidi w:val="0"/>
                    <w:adjustRightInd/>
                    <w:snapToGrid/>
                    <w:spacing w:before="32" w:line="213" w:lineRule="auto"/>
                    <w:ind w:left="403"/>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pacing w:val="20"/>
                      <w:sz w:val="21"/>
                      <w:szCs w:val="21"/>
                    </w:rPr>
                    <w:t>粉</w:t>
                  </w:r>
                  <w:r>
                    <w:rPr>
                      <w:rFonts w:hint="default" w:ascii="Times New Roman" w:hAnsi="Times New Roman" w:eastAsia="宋体" w:cs="Times New Roman"/>
                      <w:b w:val="0"/>
                      <w:bCs w:val="0"/>
                      <w:color w:val="auto"/>
                      <w:spacing w:val="16"/>
                      <w:sz w:val="21"/>
                      <w:szCs w:val="21"/>
                    </w:rPr>
                    <w:t>尘粒径</w:t>
                  </w:r>
                  <w:r>
                    <w:rPr>
                      <w:rFonts w:hint="eastAsia" w:ascii="Times New Roman" w:hAnsi="Times New Roman" w:eastAsia="宋体" w:cs="Times New Roman"/>
                      <w:b w:val="0"/>
                      <w:bCs w:val="0"/>
                      <w:color w:val="auto"/>
                      <w:spacing w:val="16"/>
                      <w:sz w:val="21"/>
                      <w:szCs w:val="21"/>
                      <w:lang w:eastAsia="zh-CN"/>
                    </w:rPr>
                    <w:t>（</w:t>
                  </w:r>
                  <w:r>
                    <w:rPr>
                      <w:rFonts w:hint="default" w:ascii="Times New Roman" w:hAnsi="Times New Roman" w:eastAsia="Times New Roman" w:cs="Times New Roman"/>
                      <w:b w:val="0"/>
                      <w:bCs w:val="0"/>
                      <w:color w:val="auto"/>
                      <w:sz w:val="21"/>
                      <w:szCs w:val="21"/>
                    </w:rPr>
                    <w:t>gm</w:t>
                  </w:r>
                  <w:r>
                    <w:rPr>
                      <w:rFonts w:hint="eastAsia" w:ascii="Times New Roman" w:hAnsi="Times New Roman" w:eastAsia="宋体" w:cs="Times New Roman"/>
                      <w:b w:val="0"/>
                      <w:bCs w:val="0"/>
                      <w:color w:val="auto"/>
                      <w:spacing w:val="16"/>
                      <w:sz w:val="21"/>
                      <w:szCs w:val="21"/>
                      <w:lang w:eastAsia="zh-CN"/>
                    </w:rPr>
                    <w:t>）</w:t>
                  </w:r>
                </w:p>
              </w:tc>
              <w:tc>
                <w:tcPr>
                  <w:tcW w:w="861" w:type="dxa"/>
                  <w:vAlign w:val="top"/>
                </w:tcPr>
                <w:p w14:paraId="137285BB">
                  <w:pPr>
                    <w:keepNext w:val="0"/>
                    <w:keepLines w:val="0"/>
                    <w:pageBreakBefore w:val="0"/>
                    <w:widowControl w:val="0"/>
                    <w:kinsoku/>
                    <w:wordWrap/>
                    <w:overflowPunct/>
                    <w:topLinePunct w:val="0"/>
                    <w:autoSpaceDE/>
                    <w:autoSpaceDN/>
                    <w:bidi w:val="0"/>
                    <w:adjustRightInd/>
                    <w:snapToGrid/>
                    <w:spacing w:before="70" w:line="187" w:lineRule="auto"/>
                    <w:ind w:left="370"/>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3"/>
                      <w:sz w:val="21"/>
                      <w:szCs w:val="21"/>
                    </w:rPr>
                    <w:t>80</w:t>
                  </w:r>
                </w:p>
              </w:tc>
              <w:tc>
                <w:tcPr>
                  <w:tcW w:w="866" w:type="dxa"/>
                  <w:vAlign w:val="top"/>
                </w:tcPr>
                <w:p w14:paraId="693DB3F8">
                  <w:pPr>
                    <w:keepNext w:val="0"/>
                    <w:keepLines w:val="0"/>
                    <w:pageBreakBefore w:val="0"/>
                    <w:widowControl w:val="0"/>
                    <w:kinsoku/>
                    <w:wordWrap/>
                    <w:overflowPunct/>
                    <w:topLinePunct w:val="0"/>
                    <w:autoSpaceDE/>
                    <w:autoSpaceDN/>
                    <w:bidi w:val="0"/>
                    <w:adjustRightInd/>
                    <w:snapToGrid/>
                    <w:spacing w:before="70" w:line="187" w:lineRule="auto"/>
                    <w:ind w:left="368"/>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2"/>
                      <w:sz w:val="21"/>
                      <w:szCs w:val="21"/>
                    </w:rPr>
                    <w:t>90</w:t>
                  </w:r>
                </w:p>
              </w:tc>
              <w:tc>
                <w:tcPr>
                  <w:tcW w:w="858" w:type="dxa"/>
                  <w:vAlign w:val="top"/>
                </w:tcPr>
                <w:p w14:paraId="0447C349">
                  <w:pPr>
                    <w:keepNext w:val="0"/>
                    <w:keepLines w:val="0"/>
                    <w:pageBreakBefore w:val="0"/>
                    <w:widowControl w:val="0"/>
                    <w:kinsoku/>
                    <w:wordWrap/>
                    <w:overflowPunct/>
                    <w:topLinePunct w:val="0"/>
                    <w:autoSpaceDE/>
                    <w:autoSpaceDN/>
                    <w:bidi w:val="0"/>
                    <w:adjustRightInd/>
                    <w:snapToGrid/>
                    <w:spacing w:before="70" w:line="187" w:lineRule="auto"/>
                    <w:ind w:left="327"/>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5"/>
                      <w:sz w:val="21"/>
                      <w:szCs w:val="21"/>
                    </w:rPr>
                    <w:t>00</w:t>
                  </w:r>
                </w:p>
              </w:tc>
              <w:tc>
                <w:tcPr>
                  <w:tcW w:w="861" w:type="dxa"/>
                  <w:vAlign w:val="top"/>
                </w:tcPr>
                <w:p w14:paraId="4A861EB1">
                  <w:pPr>
                    <w:keepNext w:val="0"/>
                    <w:keepLines w:val="0"/>
                    <w:pageBreakBefore w:val="0"/>
                    <w:widowControl w:val="0"/>
                    <w:kinsoku/>
                    <w:wordWrap/>
                    <w:overflowPunct/>
                    <w:topLinePunct w:val="0"/>
                    <w:autoSpaceDE/>
                    <w:autoSpaceDN/>
                    <w:bidi w:val="0"/>
                    <w:adjustRightInd/>
                    <w:snapToGrid/>
                    <w:spacing w:before="70" w:line="187" w:lineRule="auto"/>
                    <w:ind w:left="329"/>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5"/>
                      <w:sz w:val="21"/>
                      <w:szCs w:val="21"/>
                    </w:rPr>
                    <w:t>50</w:t>
                  </w:r>
                </w:p>
              </w:tc>
              <w:tc>
                <w:tcPr>
                  <w:tcW w:w="859" w:type="dxa"/>
                  <w:vAlign w:val="top"/>
                </w:tcPr>
                <w:p w14:paraId="2D45F376">
                  <w:pPr>
                    <w:keepNext w:val="0"/>
                    <w:keepLines w:val="0"/>
                    <w:pageBreakBefore w:val="0"/>
                    <w:widowControl w:val="0"/>
                    <w:kinsoku/>
                    <w:wordWrap/>
                    <w:overflowPunct/>
                    <w:topLinePunct w:val="0"/>
                    <w:autoSpaceDE/>
                    <w:autoSpaceDN/>
                    <w:bidi w:val="0"/>
                    <w:adjustRightInd/>
                    <w:snapToGrid/>
                    <w:spacing w:before="70" w:line="187" w:lineRule="auto"/>
                    <w:ind w:left="309"/>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20</w:t>
                  </w:r>
                  <w:r>
                    <w:rPr>
                      <w:rFonts w:hint="default" w:ascii="Times New Roman" w:hAnsi="Times New Roman" w:eastAsia="Times New Roman" w:cs="Times New Roman"/>
                      <w:b w:val="0"/>
                      <w:bCs w:val="0"/>
                      <w:color w:val="auto"/>
                      <w:sz w:val="21"/>
                      <w:szCs w:val="21"/>
                    </w:rPr>
                    <w:t>0</w:t>
                  </w:r>
                </w:p>
              </w:tc>
              <w:tc>
                <w:tcPr>
                  <w:tcW w:w="863" w:type="dxa"/>
                  <w:vAlign w:val="top"/>
                </w:tcPr>
                <w:p w14:paraId="4655E5AF">
                  <w:pPr>
                    <w:keepNext w:val="0"/>
                    <w:keepLines w:val="0"/>
                    <w:pageBreakBefore w:val="0"/>
                    <w:widowControl w:val="0"/>
                    <w:kinsoku/>
                    <w:wordWrap/>
                    <w:overflowPunct/>
                    <w:topLinePunct w:val="0"/>
                    <w:autoSpaceDE/>
                    <w:autoSpaceDN/>
                    <w:bidi w:val="0"/>
                    <w:adjustRightInd/>
                    <w:snapToGrid/>
                    <w:spacing w:before="70" w:line="187" w:lineRule="auto"/>
                    <w:ind w:left="311"/>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25</w:t>
                  </w:r>
                  <w:r>
                    <w:rPr>
                      <w:rFonts w:hint="default" w:ascii="Times New Roman" w:hAnsi="Times New Roman" w:eastAsia="Times New Roman" w:cs="Times New Roman"/>
                      <w:b w:val="0"/>
                      <w:bCs w:val="0"/>
                      <w:color w:val="auto"/>
                      <w:sz w:val="21"/>
                      <w:szCs w:val="21"/>
                    </w:rPr>
                    <w:t>0</w:t>
                  </w:r>
                </w:p>
              </w:tc>
              <w:tc>
                <w:tcPr>
                  <w:tcW w:w="996" w:type="dxa"/>
                  <w:vAlign w:val="top"/>
                </w:tcPr>
                <w:p w14:paraId="0C5D54F2">
                  <w:pPr>
                    <w:keepNext w:val="0"/>
                    <w:keepLines w:val="0"/>
                    <w:pageBreakBefore w:val="0"/>
                    <w:widowControl w:val="0"/>
                    <w:kinsoku/>
                    <w:wordWrap/>
                    <w:overflowPunct/>
                    <w:topLinePunct w:val="0"/>
                    <w:autoSpaceDE/>
                    <w:autoSpaceDN/>
                    <w:bidi w:val="0"/>
                    <w:adjustRightInd/>
                    <w:snapToGrid/>
                    <w:spacing w:before="70" w:line="187" w:lineRule="auto"/>
                    <w:ind w:left="387"/>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2"/>
                      <w:sz w:val="21"/>
                      <w:szCs w:val="21"/>
                    </w:rPr>
                    <w:t>35</w:t>
                  </w:r>
                  <w:r>
                    <w:rPr>
                      <w:rFonts w:hint="default" w:ascii="Times New Roman" w:hAnsi="Times New Roman" w:eastAsia="Times New Roman" w:cs="Times New Roman"/>
                      <w:b w:val="0"/>
                      <w:bCs w:val="0"/>
                      <w:color w:val="auto"/>
                      <w:spacing w:val="-1"/>
                      <w:sz w:val="21"/>
                      <w:szCs w:val="21"/>
                    </w:rPr>
                    <w:t>0</w:t>
                  </w:r>
                </w:p>
              </w:tc>
            </w:tr>
            <w:tr w14:paraId="7609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140" w:type="dxa"/>
                  <w:vAlign w:val="top"/>
                </w:tcPr>
                <w:p w14:paraId="026BE98A">
                  <w:pPr>
                    <w:keepNext w:val="0"/>
                    <w:keepLines w:val="0"/>
                    <w:pageBreakBefore w:val="0"/>
                    <w:widowControl w:val="0"/>
                    <w:kinsoku/>
                    <w:wordWrap/>
                    <w:overflowPunct/>
                    <w:topLinePunct w:val="0"/>
                    <w:autoSpaceDE/>
                    <w:autoSpaceDN/>
                    <w:bidi w:val="0"/>
                    <w:adjustRightInd/>
                    <w:snapToGrid/>
                    <w:spacing w:before="32" w:line="215" w:lineRule="auto"/>
                    <w:ind w:left="387"/>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pacing w:val="15"/>
                      <w:sz w:val="21"/>
                      <w:szCs w:val="21"/>
                    </w:rPr>
                    <w:t>沉</w:t>
                  </w:r>
                  <w:r>
                    <w:rPr>
                      <w:rFonts w:hint="default" w:ascii="Times New Roman" w:hAnsi="Times New Roman" w:eastAsia="宋体" w:cs="Times New Roman"/>
                      <w:b w:val="0"/>
                      <w:bCs w:val="0"/>
                      <w:color w:val="auto"/>
                      <w:spacing w:val="14"/>
                      <w:sz w:val="21"/>
                      <w:szCs w:val="21"/>
                    </w:rPr>
                    <w:t>降速度</w:t>
                  </w:r>
                  <w:r>
                    <w:rPr>
                      <w:rFonts w:hint="eastAsia" w:ascii="Times New Roman" w:hAnsi="Times New Roman" w:eastAsia="宋体" w:cs="Times New Roman"/>
                      <w:b w:val="0"/>
                      <w:bCs w:val="0"/>
                      <w:color w:val="auto"/>
                      <w:spacing w:val="14"/>
                      <w:sz w:val="21"/>
                      <w:szCs w:val="21"/>
                      <w:lang w:eastAsia="zh-CN"/>
                    </w:rPr>
                    <w:t>（</w:t>
                  </w:r>
                  <w:r>
                    <w:rPr>
                      <w:rFonts w:hint="default" w:ascii="Times New Roman" w:hAnsi="Times New Roman" w:eastAsia="Times New Roman" w:cs="Times New Roman"/>
                      <w:b w:val="0"/>
                      <w:bCs w:val="0"/>
                      <w:color w:val="auto"/>
                      <w:sz w:val="21"/>
                      <w:szCs w:val="21"/>
                    </w:rPr>
                    <w:t>m</w:t>
                  </w:r>
                  <w:r>
                    <w:rPr>
                      <w:rFonts w:hint="default" w:ascii="Times New Roman" w:hAnsi="Times New Roman" w:eastAsia="Times New Roman" w:cs="Times New Roman"/>
                      <w:b w:val="0"/>
                      <w:bCs w:val="0"/>
                      <w:color w:val="auto"/>
                      <w:spacing w:val="14"/>
                      <w:sz w:val="21"/>
                      <w:szCs w:val="21"/>
                    </w:rPr>
                    <w:t>/</w:t>
                  </w:r>
                  <w:r>
                    <w:rPr>
                      <w:rFonts w:hint="default" w:ascii="Times New Roman" w:hAnsi="Times New Roman" w:eastAsia="Times New Roman" w:cs="Times New Roman"/>
                      <w:b w:val="0"/>
                      <w:bCs w:val="0"/>
                      <w:color w:val="auto"/>
                      <w:sz w:val="21"/>
                      <w:szCs w:val="21"/>
                    </w:rPr>
                    <w:t>s</w:t>
                  </w:r>
                  <w:r>
                    <w:rPr>
                      <w:rFonts w:hint="eastAsia" w:ascii="Times New Roman" w:hAnsi="Times New Roman" w:eastAsia="宋体" w:cs="Times New Roman"/>
                      <w:b w:val="0"/>
                      <w:bCs w:val="0"/>
                      <w:color w:val="auto"/>
                      <w:spacing w:val="14"/>
                      <w:sz w:val="21"/>
                      <w:szCs w:val="21"/>
                      <w:lang w:eastAsia="zh-CN"/>
                    </w:rPr>
                    <w:t>）</w:t>
                  </w:r>
                </w:p>
              </w:tc>
              <w:tc>
                <w:tcPr>
                  <w:tcW w:w="861" w:type="dxa"/>
                  <w:vAlign w:val="top"/>
                </w:tcPr>
                <w:p w14:paraId="367EED9A">
                  <w:pPr>
                    <w:keepNext w:val="0"/>
                    <w:keepLines w:val="0"/>
                    <w:pageBreakBefore w:val="0"/>
                    <w:widowControl w:val="0"/>
                    <w:kinsoku/>
                    <w:wordWrap/>
                    <w:overflowPunct/>
                    <w:topLinePunct w:val="0"/>
                    <w:autoSpaceDE/>
                    <w:autoSpaceDN/>
                    <w:bidi w:val="0"/>
                    <w:adjustRightInd/>
                    <w:snapToGrid/>
                    <w:spacing w:before="70" w:line="187" w:lineRule="auto"/>
                    <w:ind w:left="233"/>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0.15</w:t>
                  </w:r>
                  <w:r>
                    <w:rPr>
                      <w:rFonts w:hint="default" w:ascii="Times New Roman" w:hAnsi="Times New Roman" w:eastAsia="Times New Roman" w:cs="Times New Roman"/>
                      <w:b w:val="0"/>
                      <w:bCs w:val="0"/>
                      <w:color w:val="auto"/>
                      <w:sz w:val="21"/>
                      <w:szCs w:val="21"/>
                    </w:rPr>
                    <w:t>8</w:t>
                  </w:r>
                </w:p>
              </w:tc>
              <w:tc>
                <w:tcPr>
                  <w:tcW w:w="866" w:type="dxa"/>
                  <w:vAlign w:val="top"/>
                </w:tcPr>
                <w:p w14:paraId="5599A050">
                  <w:pPr>
                    <w:keepNext w:val="0"/>
                    <w:keepLines w:val="0"/>
                    <w:pageBreakBefore w:val="0"/>
                    <w:widowControl w:val="0"/>
                    <w:kinsoku/>
                    <w:wordWrap/>
                    <w:overflowPunct/>
                    <w:topLinePunct w:val="0"/>
                    <w:autoSpaceDE/>
                    <w:autoSpaceDN/>
                    <w:bidi w:val="0"/>
                    <w:adjustRightInd/>
                    <w:snapToGrid/>
                    <w:spacing w:before="70" w:line="187" w:lineRule="auto"/>
                    <w:ind w:left="236"/>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0.17</w:t>
                  </w:r>
                  <w:r>
                    <w:rPr>
                      <w:rFonts w:hint="default" w:ascii="Times New Roman" w:hAnsi="Times New Roman" w:eastAsia="Times New Roman" w:cs="Times New Roman"/>
                      <w:b w:val="0"/>
                      <w:bCs w:val="0"/>
                      <w:color w:val="auto"/>
                      <w:sz w:val="21"/>
                      <w:szCs w:val="21"/>
                    </w:rPr>
                    <w:t>0</w:t>
                  </w:r>
                </w:p>
              </w:tc>
              <w:tc>
                <w:tcPr>
                  <w:tcW w:w="858" w:type="dxa"/>
                  <w:vAlign w:val="top"/>
                </w:tcPr>
                <w:p w14:paraId="41170040">
                  <w:pPr>
                    <w:keepNext w:val="0"/>
                    <w:keepLines w:val="0"/>
                    <w:pageBreakBefore w:val="0"/>
                    <w:widowControl w:val="0"/>
                    <w:kinsoku/>
                    <w:wordWrap/>
                    <w:overflowPunct/>
                    <w:topLinePunct w:val="0"/>
                    <w:autoSpaceDE/>
                    <w:autoSpaceDN/>
                    <w:bidi w:val="0"/>
                    <w:adjustRightInd/>
                    <w:snapToGrid/>
                    <w:spacing w:before="70" w:line="187" w:lineRule="auto"/>
                    <w:ind w:left="231"/>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0.18</w:t>
                  </w:r>
                  <w:r>
                    <w:rPr>
                      <w:rFonts w:hint="default" w:ascii="Times New Roman" w:hAnsi="Times New Roman" w:eastAsia="Times New Roman" w:cs="Times New Roman"/>
                      <w:b w:val="0"/>
                      <w:bCs w:val="0"/>
                      <w:color w:val="auto"/>
                      <w:sz w:val="21"/>
                      <w:szCs w:val="21"/>
                    </w:rPr>
                    <w:t>2</w:t>
                  </w:r>
                </w:p>
              </w:tc>
              <w:tc>
                <w:tcPr>
                  <w:tcW w:w="861" w:type="dxa"/>
                  <w:vAlign w:val="top"/>
                </w:tcPr>
                <w:p w14:paraId="2DEA21B4">
                  <w:pPr>
                    <w:keepNext w:val="0"/>
                    <w:keepLines w:val="0"/>
                    <w:pageBreakBefore w:val="0"/>
                    <w:widowControl w:val="0"/>
                    <w:kinsoku/>
                    <w:wordWrap/>
                    <w:overflowPunct/>
                    <w:topLinePunct w:val="0"/>
                    <w:autoSpaceDE/>
                    <w:autoSpaceDN/>
                    <w:bidi w:val="0"/>
                    <w:adjustRightInd/>
                    <w:snapToGrid/>
                    <w:spacing w:before="70" w:line="187" w:lineRule="auto"/>
                    <w:ind w:left="233"/>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0.23</w:t>
                  </w:r>
                  <w:r>
                    <w:rPr>
                      <w:rFonts w:hint="default" w:ascii="Times New Roman" w:hAnsi="Times New Roman" w:eastAsia="Times New Roman" w:cs="Times New Roman"/>
                      <w:b w:val="0"/>
                      <w:bCs w:val="0"/>
                      <w:color w:val="auto"/>
                      <w:sz w:val="21"/>
                      <w:szCs w:val="21"/>
                    </w:rPr>
                    <w:t>9</w:t>
                  </w:r>
                </w:p>
              </w:tc>
              <w:tc>
                <w:tcPr>
                  <w:tcW w:w="859" w:type="dxa"/>
                  <w:vAlign w:val="top"/>
                </w:tcPr>
                <w:p w14:paraId="21061F2C">
                  <w:pPr>
                    <w:keepNext w:val="0"/>
                    <w:keepLines w:val="0"/>
                    <w:pageBreakBefore w:val="0"/>
                    <w:widowControl w:val="0"/>
                    <w:kinsoku/>
                    <w:wordWrap/>
                    <w:overflowPunct/>
                    <w:topLinePunct w:val="0"/>
                    <w:autoSpaceDE/>
                    <w:autoSpaceDN/>
                    <w:bidi w:val="0"/>
                    <w:adjustRightInd/>
                    <w:snapToGrid/>
                    <w:spacing w:before="70" w:line="187" w:lineRule="auto"/>
                    <w:ind w:left="233"/>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0.80</w:t>
                  </w:r>
                  <w:r>
                    <w:rPr>
                      <w:rFonts w:hint="default" w:ascii="Times New Roman" w:hAnsi="Times New Roman" w:eastAsia="Times New Roman" w:cs="Times New Roman"/>
                      <w:b w:val="0"/>
                      <w:bCs w:val="0"/>
                      <w:color w:val="auto"/>
                      <w:sz w:val="21"/>
                      <w:szCs w:val="21"/>
                    </w:rPr>
                    <w:t>4</w:t>
                  </w:r>
                </w:p>
              </w:tc>
              <w:tc>
                <w:tcPr>
                  <w:tcW w:w="863" w:type="dxa"/>
                  <w:vAlign w:val="top"/>
                </w:tcPr>
                <w:p w14:paraId="34B802FF">
                  <w:pPr>
                    <w:keepNext w:val="0"/>
                    <w:keepLines w:val="0"/>
                    <w:pageBreakBefore w:val="0"/>
                    <w:widowControl w:val="0"/>
                    <w:kinsoku/>
                    <w:wordWrap/>
                    <w:overflowPunct/>
                    <w:topLinePunct w:val="0"/>
                    <w:autoSpaceDE/>
                    <w:autoSpaceDN/>
                    <w:bidi w:val="0"/>
                    <w:adjustRightInd/>
                    <w:snapToGrid/>
                    <w:spacing w:before="70" w:line="187" w:lineRule="auto"/>
                    <w:ind w:left="252"/>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3"/>
                      <w:sz w:val="21"/>
                      <w:szCs w:val="21"/>
                    </w:rPr>
                    <w:t>.005</w:t>
                  </w:r>
                </w:p>
              </w:tc>
              <w:tc>
                <w:tcPr>
                  <w:tcW w:w="996" w:type="dxa"/>
                  <w:vAlign w:val="top"/>
                </w:tcPr>
                <w:p w14:paraId="3623B60B">
                  <w:pPr>
                    <w:keepNext w:val="0"/>
                    <w:keepLines w:val="0"/>
                    <w:pageBreakBefore w:val="0"/>
                    <w:widowControl w:val="0"/>
                    <w:kinsoku/>
                    <w:wordWrap/>
                    <w:overflowPunct/>
                    <w:topLinePunct w:val="0"/>
                    <w:autoSpaceDE/>
                    <w:autoSpaceDN/>
                    <w:bidi w:val="0"/>
                    <w:adjustRightInd/>
                    <w:snapToGrid/>
                    <w:spacing w:before="70" w:line="187" w:lineRule="auto"/>
                    <w:ind w:left="324"/>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3"/>
                      <w:sz w:val="21"/>
                      <w:szCs w:val="21"/>
                    </w:rPr>
                    <w:t>.829</w:t>
                  </w:r>
                </w:p>
              </w:tc>
            </w:tr>
            <w:tr w14:paraId="6975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2140" w:type="dxa"/>
                  <w:vAlign w:val="top"/>
                </w:tcPr>
                <w:p w14:paraId="4C254A49">
                  <w:pPr>
                    <w:keepNext w:val="0"/>
                    <w:keepLines w:val="0"/>
                    <w:pageBreakBefore w:val="0"/>
                    <w:widowControl w:val="0"/>
                    <w:kinsoku/>
                    <w:wordWrap/>
                    <w:overflowPunct/>
                    <w:topLinePunct w:val="0"/>
                    <w:autoSpaceDE/>
                    <w:autoSpaceDN/>
                    <w:bidi w:val="0"/>
                    <w:adjustRightInd/>
                    <w:snapToGrid/>
                    <w:spacing w:before="33" w:line="212" w:lineRule="auto"/>
                    <w:ind w:left="403"/>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pacing w:val="20"/>
                      <w:sz w:val="21"/>
                      <w:szCs w:val="21"/>
                    </w:rPr>
                    <w:t>粉</w:t>
                  </w:r>
                  <w:r>
                    <w:rPr>
                      <w:rFonts w:hint="default" w:ascii="Times New Roman" w:hAnsi="Times New Roman" w:eastAsia="宋体" w:cs="Times New Roman"/>
                      <w:b w:val="0"/>
                      <w:bCs w:val="0"/>
                      <w:color w:val="auto"/>
                      <w:spacing w:val="16"/>
                      <w:sz w:val="21"/>
                      <w:szCs w:val="21"/>
                    </w:rPr>
                    <w:t>尘粒径</w:t>
                  </w:r>
                  <w:r>
                    <w:rPr>
                      <w:rFonts w:hint="eastAsia" w:ascii="Times New Roman" w:hAnsi="Times New Roman" w:eastAsia="宋体" w:cs="Times New Roman"/>
                      <w:b w:val="0"/>
                      <w:bCs w:val="0"/>
                      <w:color w:val="auto"/>
                      <w:spacing w:val="16"/>
                      <w:sz w:val="21"/>
                      <w:szCs w:val="21"/>
                      <w:lang w:eastAsia="zh-CN"/>
                    </w:rPr>
                    <w:t>（</w:t>
                  </w:r>
                  <w:r>
                    <w:rPr>
                      <w:rFonts w:hint="default" w:ascii="Times New Roman" w:hAnsi="Times New Roman" w:eastAsia="Times New Roman" w:cs="Times New Roman"/>
                      <w:b w:val="0"/>
                      <w:bCs w:val="0"/>
                      <w:color w:val="auto"/>
                      <w:sz w:val="21"/>
                      <w:szCs w:val="21"/>
                    </w:rPr>
                    <w:t>gm</w:t>
                  </w:r>
                  <w:r>
                    <w:rPr>
                      <w:rFonts w:hint="eastAsia" w:ascii="Times New Roman" w:hAnsi="Times New Roman" w:eastAsia="宋体" w:cs="Times New Roman"/>
                      <w:b w:val="0"/>
                      <w:bCs w:val="0"/>
                      <w:color w:val="auto"/>
                      <w:spacing w:val="16"/>
                      <w:sz w:val="21"/>
                      <w:szCs w:val="21"/>
                      <w:lang w:eastAsia="zh-CN"/>
                    </w:rPr>
                    <w:t>）</w:t>
                  </w:r>
                </w:p>
              </w:tc>
              <w:tc>
                <w:tcPr>
                  <w:tcW w:w="861" w:type="dxa"/>
                  <w:vAlign w:val="top"/>
                </w:tcPr>
                <w:p w14:paraId="225F3CC9">
                  <w:pPr>
                    <w:keepNext w:val="0"/>
                    <w:keepLines w:val="0"/>
                    <w:pageBreakBefore w:val="0"/>
                    <w:widowControl w:val="0"/>
                    <w:kinsoku/>
                    <w:wordWrap/>
                    <w:overflowPunct/>
                    <w:topLinePunct w:val="0"/>
                    <w:autoSpaceDE/>
                    <w:autoSpaceDN/>
                    <w:bidi w:val="0"/>
                    <w:adjustRightInd/>
                    <w:snapToGrid/>
                    <w:spacing w:before="72" w:line="187" w:lineRule="auto"/>
                    <w:ind w:left="308"/>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45</w:t>
                  </w:r>
                  <w:r>
                    <w:rPr>
                      <w:rFonts w:hint="default" w:ascii="Times New Roman" w:hAnsi="Times New Roman" w:eastAsia="Times New Roman" w:cs="Times New Roman"/>
                      <w:b w:val="0"/>
                      <w:bCs w:val="0"/>
                      <w:color w:val="auto"/>
                      <w:sz w:val="21"/>
                      <w:szCs w:val="21"/>
                    </w:rPr>
                    <w:t>0</w:t>
                  </w:r>
                </w:p>
              </w:tc>
              <w:tc>
                <w:tcPr>
                  <w:tcW w:w="866" w:type="dxa"/>
                  <w:vAlign w:val="top"/>
                </w:tcPr>
                <w:p w14:paraId="3261757B">
                  <w:pPr>
                    <w:keepNext w:val="0"/>
                    <w:keepLines w:val="0"/>
                    <w:pageBreakBefore w:val="0"/>
                    <w:widowControl w:val="0"/>
                    <w:kinsoku/>
                    <w:wordWrap/>
                    <w:overflowPunct/>
                    <w:topLinePunct w:val="0"/>
                    <w:autoSpaceDE/>
                    <w:autoSpaceDN/>
                    <w:bidi w:val="0"/>
                    <w:adjustRightInd/>
                    <w:snapToGrid/>
                    <w:spacing w:before="72" w:line="187" w:lineRule="auto"/>
                    <w:ind w:left="317"/>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2"/>
                      <w:sz w:val="21"/>
                      <w:szCs w:val="21"/>
                    </w:rPr>
                    <w:t>550</w:t>
                  </w:r>
                </w:p>
              </w:tc>
              <w:tc>
                <w:tcPr>
                  <w:tcW w:w="858" w:type="dxa"/>
                  <w:vAlign w:val="top"/>
                </w:tcPr>
                <w:p w14:paraId="3859EC07">
                  <w:pPr>
                    <w:keepNext w:val="0"/>
                    <w:keepLines w:val="0"/>
                    <w:pageBreakBefore w:val="0"/>
                    <w:widowControl w:val="0"/>
                    <w:kinsoku/>
                    <w:wordWrap/>
                    <w:overflowPunct/>
                    <w:topLinePunct w:val="0"/>
                    <w:autoSpaceDE/>
                    <w:autoSpaceDN/>
                    <w:bidi w:val="0"/>
                    <w:adjustRightInd/>
                    <w:snapToGrid/>
                    <w:spacing w:before="72" w:line="187" w:lineRule="auto"/>
                    <w:ind w:left="311"/>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2"/>
                      <w:sz w:val="21"/>
                      <w:szCs w:val="21"/>
                    </w:rPr>
                    <w:t>65</w:t>
                  </w:r>
                  <w:r>
                    <w:rPr>
                      <w:rFonts w:hint="default" w:ascii="Times New Roman" w:hAnsi="Times New Roman" w:eastAsia="Times New Roman" w:cs="Times New Roman"/>
                      <w:b w:val="0"/>
                      <w:bCs w:val="0"/>
                      <w:color w:val="auto"/>
                      <w:spacing w:val="-1"/>
                      <w:sz w:val="21"/>
                      <w:szCs w:val="21"/>
                    </w:rPr>
                    <w:t>0</w:t>
                  </w:r>
                </w:p>
              </w:tc>
              <w:tc>
                <w:tcPr>
                  <w:tcW w:w="861" w:type="dxa"/>
                  <w:vAlign w:val="top"/>
                </w:tcPr>
                <w:p w14:paraId="4B8E41C0">
                  <w:pPr>
                    <w:keepNext w:val="0"/>
                    <w:keepLines w:val="0"/>
                    <w:pageBreakBefore w:val="0"/>
                    <w:widowControl w:val="0"/>
                    <w:kinsoku/>
                    <w:wordWrap/>
                    <w:overflowPunct/>
                    <w:topLinePunct w:val="0"/>
                    <w:autoSpaceDE/>
                    <w:autoSpaceDN/>
                    <w:bidi w:val="0"/>
                    <w:adjustRightInd/>
                    <w:snapToGrid/>
                    <w:spacing w:before="72" w:line="187" w:lineRule="auto"/>
                    <w:ind w:left="312"/>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2"/>
                      <w:sz w:val="21"/>
                      <w:szCs w:val="21"/>
                    </w:rPr>
                    <w:t>75</w:t>
                  </w:r>
                  <w:r>
                    <w:rPr>
                      <w:rFonts w:hint="default" w:ascii="Times New Roman" w:hAnsi="Times New Roman" w:eastAsia="Times New Roman" w:cs="Times New Roman"/>
                      <w:b w:val="0"/>
                      <w:bCs w:val="0"/>
                      <w:color w:val="auto"/>
                      <w:spacing w:val="-1"/>
                      <w:sz w:val="21"/>
                      <w:szCs w:val="21"/>
                    </w:rPr>
                    <w:t>0</w:t>
                  </w:r>
                </w:p>
              </w:tc>
              <w:tc>
                <w:tcPr>
                  <w:tcW w:w="859" w:type="dxa"/>
                  <w:vAlign w:val="top"/>
                </w:tcPr>
                <w:p w14:paraId="612E6EB6">
                  <w:pPr>
                    <w:keepNext w:val="0"/>
                    <w:keepLines w:val="0"/>
                    <w:pageBreakBefore w:val="0"/>
                    <w:widowControl w:val="0"/>
                    <w:kinsoku/>
                    <w:wordWrap/>
                    <w:overflowPunct/>
                    <w:topLinePunct w:val="0"/>
                    <w:autoSpaceDE/>
                    <w:autoSpaceDN/>
                    <w:bidi w:val="0"/>
                    <w:adjustRightInd/>
                    <w:snapToGrid/>
                    <w:spacing w:before="72" w:line="187" w:lineRule="auto"/>
                    <w:ind w:left="318"/>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4"/>
                      <w:sz w:val="21"/>
                      <w:szCs w:val="21"/>
                    </w:rPr>
                    <w:t>8</w:t>
                  </w:r>
                  <w:r>
                    <w:rPr>
                      <w:rFonts w:hint="default" w:ascii="Times New Roman" w:hAnsi="Times New Roman" w:eastAsia="Times New Roman" w:cs="Times New Roman"/>
                      <w:b w:val="0"/>
                      <w:bCs w:val="0"/>
                      <w:color w:val="auto"/>
                      <w:spacing w:val="-2"/>
                      <w:sz w:val="21"/>
                      <w:szCs w:val="21"/>
                    </w:rPr>
                    <w:t>50</w:t>
                  </w:r>
                </w:p>
              </w:tc>
              <w:tc>
                <w:tcPr>
                  <w:tcW w:w="863" w:type="dxa"/>
                  <w:vAlign w:val="top"/>
                </w:tcPr>
                <w:p w14:paraId="308807E7">
                  <w:pPr>
                    <w:keepNext w:val="0"/>
                    <w:keepLines w:val="0"/>
                    <w:pageBreakBefore w:val="0"/>
                    <w:widowControl w:val="0"/>
                    <w:kinsoku/>
                    <w:wordWrap/>
                    <w:overflowPunct/>
                    <w:topLinePunct w:val="0"/>
                    <w:autoSpaceDE/>
                    <w:autoSpaceDN/>
                    <w:bidi w:val="0"/>
                    <w:adjustRightInd/>
                    <w:snapToGrid/>
                    <w:spacing w:before="72" w:line="187" w:lineRule="auto"/>
                    <w:ind w:left="315"/>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2"/>
                      <w:sz w:val="21"/>
                      <w:szCs w:val="21"/>
                    </w:rPr>
                    <w:t>95</w:t>
                  </w:r>
                  <w:r>
                    <w:rPr>
                      <w:rFonts w:hint="default" w:ascii="Times New Roman" w:hAnsi="Times New Roman" w:eastAsia="Times New Roman" w:cs="Times New Roman"/>
                      <w:b w:val="0"/>
                      <w:bCs w:val="0"/>
                      <w:color w:val="auto"/>
                      <w:spacing w:val="-1"/>
                      <w:sz w:val="21"/>
                      <w:szCs w:val="21"/>
                    </w:rPr>
                    <w:t>0</w:t>
                  </w:r>
                </w:p>
              </w:tc>
              <w:tc>
                <w:tcPr>
                  <w:tcW w:w="996" w:type="dxa"/>
                  <w:vAlign w:val="top"/>
                </w:tcPr>
                <w:p w14:paraId="50ACCEE6">
                  <w:pPr>
                    <w:keepNext w:val="0"/>
                    <w:keepLines w:val="0"/>
                    <w:pageBreakBefore w:val="0"/>
                    <w:widowControl w:val="0"/>
                    <w:kinsoku/>
                    <w:wordWrap/>
                    <w:overflowPunct/>
                    <w:topLinePunct w:val="0"/>
                    <w:autoSpaceDE/>
                    <w:autoSpaceDN/>
                    <w:bidi w:val="0"/>
                    <w:adjustRightInd/>
                    <w:snapToGrid/>
                    <w:spacing w:before="72" w:line="187" w:lineRule="auto"/>
                    <w:ind w:left="351"/>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5"/>
                      <w:sz w:val="21"/>
                      <w:szCs w:val="21"/>
                    </w:rPr>
                    <w:t>1</w:t>
                  </w:r>
                  <w:r>
                    <w:rPr>
                      <w:rFonts w:hint="default" w:ascii="Times New Roman" w:hAnsi="Times New Roman" w:eastAsia="Times New Roman" w:cs="Times New Roman"/>
                      <w:b w:val="0"/>
                      <w:bCs w:val="0"/>
                      <w:color w:val="auto"/>
                      <w:spacing w:val="-4"/>
                      <w:sz w:val="21"/>
                      <w:szCs w:val="21"/>
                    </w:rPr>
                    <w:t>050</w:t>
                  </w:r>
                </w:p>
              </w:tc>
            </w:tr>
            <w:tr w14:paraId="5325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2140" w:type="dxa"/>
                  <w:vAlign w:val="top"/>
                </w:tcPr>
                <w:p w14:paraId="435DBA96">
                  <w:pPr>
                    <w:keepNext w:val="0"/>
                    <w:keepLines w:val="0"/>
                    <w:pageBreakBefore w:val="0"/>
                    <w:widowControl w:val="0"/>
                    <w:kinsoku/>
                    <w:wordWrap/>
                    <w:overflowPunct/>
                    <w:topLinePunct w:val="0"/>
                    <w:autoSpaceDE/>
                    <w:autoSpaceDN/>
                    <w:bidi w:val="0"/>
                    <w:adjustRightInd/>
                    <w:snapToGrid/>
                    <w:spacing w:before="37" w:line="214" w:lineRule="auto"/>
                    <w:ind w:left="387"/>
                    <w:outlineLvl w:val="9"/>
                    <w:rPr>
                      <w:rFonts w:hint="eastAsia"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pacing w:val="15"/>
                      <w:sz w:val="21"/>
                      <w:szCs w:val="21"/>
                    </w:rPr>
                    <w:t>沉</w:t>
                  </w:r>
                  <w:r>
                    <w:rPr>
                      <w:rFonts w:hint="default" w:ascii="Times New Roman" w:hAnsi="Times New Roman" w:eastAsia="宋体" w:cs="Times New Roman"/>
                      <w:b w:val="0"/>
                      <w:bCs w:val="0"/>
                      <w:color w:val="auto"/>
                      <w:spacing w:val="14"/>
                      <w:sz w:val="21"/>
                      <w:szCs w:val="21"/>
                    </w:rPr>
                    <w:t>降速度</w:t>
                  </w:r>
                  <w:r>
                    <w:rPr>
                      <w:rFonts w:hint="eastAsia" w:ascii="Times New Roman" w:hAnsi="Times New Roman" w:eastAsia="宋体" w:cs="Times New Roman"/>
                      <w:b w:val="0"/>
                      <w:bCs w:val="0"/>
                      <w:color w:val="auto"/>
                      <w:spacing w:val="14"/>
                      <w:sz w:val="21"/>
                      <w:szCs w:val="21"/>
                      <w:lang w:eastAsia="zh-CN"/>
                    </w:rPr>
                    <w:t>（</w:t>
                  </w:r>
                  <w:r>
                    <w:rPr>
                      <w:rFonts w:hint="default" w:ascii="Times New Roman" w:hAnsi="Times New Roman" w:eastAsia="Times New Roman" w:cs="Times New Roman"/>
                      <w:b w:val="0"/>
                      <w:bCs w:val="0"/>
                      <w:color w:val="auto"/>
                      <w:sz w:val="21"/>
                      <w:szCs w:val="21"/>
                    </w:rPr>
                    <w:t>m</w:t>
                  </w:r>
                  <w:r>
                    <w:rPr>
                      <w:rFonts w:hint="default" w:ascii="Times New Roman" w:hAnsi="Times New Roman" w:eastAsia="Times New Roman" w:cs="Times New Roman"/>
                      <w:b w:val="0"/>
                      <w:bCs w:val="0"/>
                      <w:color w:val="auto"/>
                      <w:spacing w:val="14"/>
                      <w:sz w:val="21"/>
                      <w:szCs w:val="21"/>
                    </w:rPr>
                    <w:t>/</w:t>
                  </w:r>
                  <w:r>
                    <w:rPr>
                      <w:rFonts w:hint="default" w:ascii="Times New Roman" w:hAnsi="Times New Roman" w:eastAsia="Times New Roman" w:cs="Times New Roman"/>
                      <w:b w:val="0"/>
                      <w:bCs w:val="0"/>
                      <w:color w:val="auto"/>
                      <w:sz w:val="21"/>
                      <w:szCs w:val="21"/>
                    </w:rPr>
                    <w:t>s</w:t>
                  </w:r>
                  <w:r>
                    <w:rPr>
                      <w:rFonts w:hint="eastAsia" w:ascii="Times New Roman" w:hAnsi="Times New Roman" w:eastAsia="宋体" w:cs="Times New Roman"/>
                      <w:b w:val="0"/>
                      <w:bCs w:val="0"/>
                      <w:color w:val="auto"/>
                      <w:spacing w:val="14"/>
                      <w:sz w:val="21"/>
                      <w:szCs w:val="21"/>
                      <w:lang w:eastAsia="zh-CN"/>
                    </w:rPr>
                    <w:t>）</w:t>
                  </w:r>
                </w:p>
                <w:p w14:paraId="5F48F6AF">
                  <w:pPr>
                    <w:keepNext w:val="0"/>
                    <w:keepLines w:val="0"/>
                    <w:pageBreakBefore w:val="0"/>
                    <w:widowControl w:val="0"/>
                    <w:kinsoku/>
                    <w:wordWrap/>
                    <w:overflowPunct/>
                    <w:topLinePunct w:val="0"/>
                    <w:autoSpaceDE/>
                    <w:autoSpaceDN/>
                    <w:bidi w:val="0"/>
                    <w:adjustRightInd/>
                    <w:snapToGrid/>
                    <w:spacing w:line="28" w:lineRule="exact"/>
                    <w:textAlignment w:val="center"/>
                    <w:outlineLvl w:val="9"/>
                    <w:rPr>
                      <w:rFonts w:hint="default" w:ascii="Times New Roman" w:hAnsi="Times New Roman" w:cs="Times New Roman"/>
                      <w:b w:val="0"/>
                      <w:bCs w:val="0"/>
                      <w:color w:val="auto"/>
                    </w:rPr>
                  </w:pPr>
                </w:p>
              </w:tc>
              <w:tc>
                <w:tcPr>
                  <w:tcW w:w="861" w:type="dxa"/>
                  <w:vAlign w:val="top"/>
                </w:tcPr>
                <w:p w14:paraId="007D152E">
                  <w:pPr>
                    <w:keepNext w:val="0"/>
                    <w:keepLines w:val="0"/>
                    <w:pageBreakBefore w:val="0"/>
                    <w:widowControl w:val="0"/>
                    <w:kinsoku/>
                    <w:wordWrap/>
                    <w:overflowPunct/>
                    <w:topLinePunct w:val="0"/>
                    <w:autoSpaceDE/>
                    <w:autoSpaceDN/>
                    <w:bidi w:val="0"/>
                    <w:adjustRightInd/>
                    <w:snapToGrid/>
                    <w:spacing w:before="75" w:line="187" w:lineRule="auto"/>
                    <w:ind w:left="230"/>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2.</w:t>
                  </w:r>
                  <w:r>
                    <w:rPr>
                      <w:rFonts w:hint="default" w:ascii="Times New Roman" w:hAnsi="Times New Roman" w:eastAsia="Times New Roman" w:cs="Times New Roman"/>
                      <w:b w:val="0"/>
                      <w:bCs w:val="0"/>
                      <w:color w:val="auto"/>
                      <w:sz w:val="21"/>
                      <w:szCs w:val="21"/>
                    </w:rPr>
                    <w:t>211</w:t>
                  </w:r>
                </w:p>
                <w:p w14:paraId="72FE9A71">
                  <w:pPr>
                    <w:keepNext w:val="0"/>
                    <w:keepLines w:val="0"/>
                    <w:pageBreakBefore w:val="0"/>
                    <w:widowControl w:val="0"/>
                    <w:kinsoku/>
                    <w:wordWrap/>
                    <w:overflowPunct/>
                    <w:topLinePunct w:val="0"/>
                    <w:autoSpaceDE/>
                    <w:autoSpaceDN/>
                    <w:bidi w:val="0"/>
                    <w:adjustRightInd/>
                    <w:snapToGrid/>
                    <w:spacing w:before="17" w:line="28" w:lineRule="exact"/>
                    <w:ind w:firstLine="50"/>
                    <w:textAlignment w:val="center"/>
                    <w:outlineLvl w:val="9"/>
                    <w:rPr>
                      <w:rFonts w:hint="default" w:ascii="Times New Roman" w:hAnsi="Times New Roman" w:cs="Times New Roman"/>
                      <w:b w:val="0"/>
                      <w:bCs w:val="0"/>
                      <w:color w:val="auto"/>
                    </w:rPr>
                  </w:pPr>
                </w:p>
              </w:tc>
              <w:tc>
                <w:tcPr>
                  <w:tcW w:w="866" w:type="dxa"/>
                  <w:vAlign w:val="top"/>
                </w:tcPr>
                <w:p w14:paraId="5CEA1D2B">
                  <w:pPr>
                    <w:keepNext w:val="0"/>
                    <w:keepLines w:val="0"/>
                    <w:pageBreakBefore w:val="0"/>
                    <w:widowControl w:val="0"/>
                    <w:kinsoku/>
                    <w:wordWrap/>
                    <w:overflowPunct/>
                    <w:topLinePunct w:val="0"/>
                    <w:autoSpaceDE/>
                    <w:autoSpaceDN/>
                    <w:bidi w:val="0"/>
                    <w:adjustRightInd/>
                    <w:snapToGrid/>
                    <w:spacing w:before="75" w:line="187" w:lineRule="auto"/>
                    <w:ind w:left="232"/>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2.</w:t>
                  </w:r>
                  <w:r>
                    <w:rPr>
                      <w:rFonts w:hint="default" w:ascii="Times New Roman" w:hAnsi="Times New Roman" w:eastAsia="Times New Roman" w:cs="Times New Roman"/>
                      <w:b w:val="0"/>
                      <w:bCs w:val="0"/>
                      <w:color w:val="auto"/>
                      <w:sz w:val="21"/>
                      <w:szCs w:val="21"/>
                    </w:rPr>
                    <w:t>614</w:t>
                  </w:r>
                </w:p>
                <w:p w14:paraId="0020C1B4">
                  <w:pPr>
                    <w:keepNext w:val="0"/>
                    <w:keepLines w:val="0"/>
                    <w:pageBreakBefore w:val="0"/>
                    <w:widowControl w:val="0"/>
                    <w:kinsoku/>
                    <w:wordWrap/>
                    <w:overflowPunct/>
                    <w:topLinePunct w:val="0"/>
                    <w:autoSpaceDE/>
                    <w:autoSpaceDN/>
                    <w:bidi w:val="0"/>
                    <w:adjustRightInd/>
                    <w:snapToGrid/>
                    <w:spacing w:before="17" w:line="28" w:lineRule="exact"/>
                    <w:ind w:firstLine="50"/>
                    <w:textAlignment w:val="center"/>
                    <w:outlineLvl w:val="9"/>
                    <w:rPr>
                      <w:rFonts w:hint="default" w:ascii="Times New Roman" w:hAnsi="Times New Roman" w:cs="Times New Roman"/>
                      <w:b w:val="0"/>
                      <w:bCs w:val="0"/>
                      <w:color w:val="auto"/>
                    </w:rPr>
                  </w:pPr>
                </w:p>
              </w:tc>
              <w:tc>
                <w:tcPr>
                  <w:tcW w:w="858" w:type="dxa"/>
                  <w:vAlign w:val="top"/>
                </w:tcPr>
                <w:p w14:paraId="20BA767F">
                  <w:pPr>
                    <w:keepNext w:val="0"/>
                    <w:keepLines w:val="0"/>
                    <w:pageBreakBefore w:val="0"/>
                    <w:widowControl w:val="0"/>
                    <w:kinsoku/>
                    <w:wordWrap/>
                    <w:overflowPunct/>
                    <w:topLinePunct w:val="0"/>
                    <w:autoSpaceDE/>
                    <w:autoSpaceDN/>
                    <w:bidi w:val="0"/>
                    <w:adjustRightInd/>
                    <w:snapToGrid/>
                    <w:spacing w:before="75" w:line="187" w:lineRule="auto"/>
                    <w:ind w:left="232"/>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3.016</w:t>
                  </w:r>
                </w:p>
                <w:p w14:paraId="587FF4F9">
                  <w:pPr>
                    <w:keepNext w:val="0"/>
                    <w:keepLines w:val="0"/>
                    <w:pageBreakBefore w:val="0"/>
                    <w:widowControl w:val="0"/>
                    <w:kinsoku/>
                    <w:wordWrap/>
                    <w:overflowPunct/>
                    <w:topLinePunct w:val="0"/>
                    <w:autoSpaceDE/>
                    <w:autoSpaceDN/>
                    <w:bidi w:val="0"/>
                    <w:adjustRightInd/>
                    <w:snapToGrid/>
                    <w:spacing w:before="17" w:line="28" w:lineRule="exact"/>
                    <w:ind w:firstLine="50"/>
                    <w:textAlignment w:val="center"/>
                    <w:outlineLvl w:val="9"/>
                    <w:rPr>
                      <w:rFonts w:hint="default" w:ascii="Times New Roman" w:hAnsi="Times New Roman" w:cs="Times New Roman"/>
                      <w:b w:val="0"/>
                      <w:bCs w:val="0"/>
                      <w:color w:val="auto"/>
                    </w:rPr>
                  </w:pPr>
                </w:p>
              </w:tc>
              <w:tc>
                <w:tcPr>
                  <w:tcW w:w="861" w:type="dxa"/>
                  <w:vAlign w:val="top"/>
                </w:tcPr>
                <w:p w14:paraId="57D53ADB">
                  <w:pPr>
                    <w:keepNext w:val="0"/>
                    <w:keepLines w:val="0"/>
                    <w:pageBreakBefore w:val="0"/>
                    <w:widowControl w:val="0"/>
                    <w:kinsoku/>
                    <w:wordWrap/>
                    <w:overflowPunct/>
                    <w:topLinePunct w:val="0"/>
                    <w:autoSpaceDE/>
                    <w:autoSpaceDN/>
                    <w:bidi w:val="0"/>
                    <w:adjustRightInd/>
                    <w:snapToGrid/>
                    <w:spacing w:before="75" w:line="187" w:lineRule="auto"/>
                    <w:ind w:left="234"/>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3.418</w:t>
                  </w:r>
                </w:p>
                <w:p w14:paraId="335E217E">
                  <w:pPr>
                    <w:keepNext w:val="0"/>
                    <w:keepLines w:val="0"/>
                    <w:pageBreakBefore w:val="0"/>
                    <w:widowControl w:val="0"/>
                    <w:kinsoku/>
                    <w:wordWrap/>
                    <w:overflowPunct/>
                    <w:topLinePunct w:val="0"/>
                    <w:autoSpaceDE/>
                    <w:autoSpaceDN/>
                    <w:bidi w:val="0"/>
                    <w:adjustRightInd/>
                    <w:snapToGrid/>
                    <w:spacing w:before="17" w:line="28" w:lineRule="exact"/>
                    <w:ind w:firstLine="50"/>
                    <w:textAlignment w:val="center"/>
                    <w:outlineLvl w:val="9"/>
                    <w:rPr>
                      <w:rFonts w:hint="default" w:ascii="Times New Roman" w:hAnsi="Times New Roman" w:cs="Times New Roman"/>
                      <w:b w:val="0"/>
                      <w:bCs w:val="0"/>
                      <w:color w:val="auto"/>
                    </w:rPr>
                  </w:pPr>
                </w:p>
              </w:tc>
              <w:tc>
                <w:tcPr>
                  <w:tcW w:w="859" w:type="dxa"/>
                  <w:vAlign w:val="top"/>
                </w:tcPr>
                <w:p w14:paraId="749F0AD6">
                  <w:pPr>
                    <w:keepNext w:val="0"/>
                    <w:keepLines w:val="0"/>
                    <w:pageBreakBefore w:val="0"/>
                    <w:widowControl w:val="0"/>
                    <w:kinsoku/>
                    <w:wordWrap/>
                    <w:overflowPunct/>
                    <w:topLinePunct w:val="0"/>
                    <w:autoSpaceDE/>
                    <w:autoSpaceDN/>
                    <w:bidi w:val="0"/>
                    <w:adjustRightInd/>
                    <w:snapToGrid/>
                    <w:spacing w:before="75" w:line="187" w:lineRule="auto"/>
                    <w:ind w:left="234"/>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3.820</w:t>
                  </w:r>
                </w:p>
                <w:p w14:paraId="3D5B2685">
                  <w:pPr>
                    <w:keepNext w:val="0"/>
                    <w:keepLines w:val="0"/>
                    <w:pageBreakBefore w:val="0"/>
                    <w:widowControl w:val="0"/>
                    <w:kinsoku/>
                    <w:wordWrap/>
                    <w:overflowPunct/>
                    <w:topLinePunct w:val="0"/>
                    <w:autoSpaceDE/>
                    <w:autoSpaceDN/>
                    <w:bidi w:val="0"/>
                    <w:adjustRightInd/>
                    <w:snapToGrid/>
                    <w:spacing w:before="17" w:line="28" w:lineRule="exact"/>
                    <w:ind w:firstLine="50"/>
                    <w:textAlignment w:val="center"/>
                    <w:outlineLvl w:val="9"/>
                    <w:rPr>
                      <w:rFonts w:hint="default" w:ascii="Times New Roman" w:hAnsi="Times New Roman" w:cs="Times New Roman"/>
                      <w:b w:val="0"/>
                      <w:bCs w:val="0"/>
                      <w:color w:val="auto"/>
                    </w:rPr>
                  </w:pPr>
                </w:p>
              </w:tc>
              <w:tc>
                <w:tcPr>
                  <w:tcW w:w="863" w:type="dxa"/>
                  <w:vAlign w:val="top"/>
                </w:tcPr>
                <w:p w14:paraId="2B96F5AF">
                  <w:pPr>
                    <w:keepNext w:val="0"/>
                    <w:keepLines w:val="0"/>
                    <w:pageBreakBefore w:val="0"/>
                    <w:widowControl w:val="0"/>
                    <w:kinsoku/>
                    <w:wordWrap/>
                    <w:overflowPunct/>
                    <w:topLinePunct w:val="0"/>
                    <w:autoSpaceDE/>
                    <w:autoSpaceDN/>
                    <w:bidi w:val="0"/>
                    <w:adjustRightInd/>
                    <w:snapToGrid/>
                    <w:spacing w:before="75" w:line="187" w:lineRule="auto"/>
                    <w:ind w:left="231"/>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4</w:t>
                  </w:r>
                  <w:r>
                    <w:rPr>
                      <w:rFonts w:hint="default" w:ascii="Times New Roman" w:hAnsi="Times New Roman" w:eastAsia="Times New Roman" w:cs="Times New Roman"/>
                      <w:b w:val="0"/>
                      <w:bCs w:val="0"/>
                      <w:color w:val="auto"/>
                      <w:sz w:val="21"/>
                      <w:szCs w:val="21"/>
                    </w:rPr>
                    <w:t>.222</w:t>
                  </w:r>
                </w:p>
                <w:p w14:paraId="59A42F57">
                  <w:pPr>
                    <w:keepNext w:val="0"/>
                    <w:keepLines w:val="0"/>
                    <w:pageBreakBefore w:val="0"/>
                    <w:widowControl w:val="0"/>
                    <w:kinsoku/>
                    <w:wordWrap/>
                    <w:overflowPunct/>
                    <w:topLinePunct w:val="0"/>
                    <w:autoSpaceDE/>
                    <w:autoSpaceDN/>
                    <w:bidi w:val="0"/>
                    <w:adjustRightInd/>
                    <w:snapToGrid/>
                    <w:spacing w:before="17" w:line="28" w:lineRule="exact"/>
                    <w:ind w:firstLine="50"/>
                    <w:textAlignment w:val="center"/>
                    <w:outlineLvl w:val="9"/>
                    <w:rPr>
                      <w:rFonts w:hint="default" w:ascii="Times New Roman" w:hAnsi="Times New Roman" w:cs="Times New Roman"/>
                      <w:b w:val="0"/>
                      <w:bCs w:val="0"/>
                      <w:color w:val="auto"/>
                    </w:rPr>
                  </w:pPr>
                </w:p>
              </w:tc>
              <w:tc>
                <w:tcPr>
                  <w:tcW w:w="996" w:type="dxa"/>
                  <w:vAlign w:val="top"/>
                </w:tcPr>
                <w:p w14:paraId="3C9FAEAA">
                  <w:pPr>
                    <w:keepNext w:val="0"/>
                    <w:keepLines w:val="0"/>
                    <w:pageBreakBefore w:val="0"/>
                    <w:widowControl w:val="0"/>
                    <w:kinsoku/>
                    <w:wordWrap/>
                    <w:overflowPunct/>
                    <w:topLinePunct w:val="0"/>
                    <w:autoSpaceDE/>
                    <w:autoSpaceDN/>
                    <w:bidi w:val="0"/>
                    <w:adjustRightInd/>
                    <w:snapToGrid/>
                    <w:spacing w:before="75" w:line="187" w:lineRule="auto"/>
                    <w:ind w:left="303"/>
                    <w:outlineLvl w:val="9"/>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pacing w:val="-1"/>
                      <w:sz w:val="21"/>
                      <w:szCs w:val="21"/>
                    </w:rPr>
                    <w:t>4</w:t>
                  </w:r>
                  <w:r>
                    <w:rPr>
                      <w:rFonts w:hint="default" w:ascii="Times New Roman" w:hAnsi="Times New Roman" w:eastAsia="Times New Roman" w:cs="Times New Roman"/>
                      <w:b w:val="0"/>
                      <w:bCs w:val="0"/>
                      <w:color w:val="auto"/>
                      <w:sz w:val="21"/>
                      <w:szCs w:val="21"/>
                    </w:rPr>
                    <w:t>.624</w:t>
                  </w:r>
                </w:p>
                <w:p w14:paraId="640A0AA6">
                  <w:pPr>
                    <w:keepNext w:val="0"/>
                    <w:keepLines w:val="0"/>
                    <w:pageBreakBefore w:val="0"/>
                    <w:widowControl w:val="0"/>
                    <w:kinsoku/>
                    <w:wordWrap/>
                    <w:overflowPunct/>
                    <w:topLinePunct w:val="0"/>
                    <w:autoSpaceDE/>
                    <w:autoSpaceDN/>
                    <w:bidi w:val="0"/>
                    <w:adjustRightInd/>
                    <w:snapToGrid/>
                    <w:spacing w:before="17" w:line="28" w:lineRule="exact"/>
                    <w:ind w:firstLine="50"/>
                    <w:textAlignment w:val="center"/>
                    <w:outlineLvl w:val="9"/>
                    <w:rPr>
                      <w:rFonts w:hint="default" w:ascii="Times New Roman" w:hAnsi="Times New Roman" w:cs="Times New Roman"/>
                      <w:b w:val="0"/>
                      <w:bCs w:val="0"/>
                      <w:color w:val="auto"/>
                    </w:rPr>
                  </w:pPr>
                </w:p>
              </w:tc>
            </w:tr>
          </w:tbl>
          <w:p w14:paraId="00518E96">
            <w:pPr>
              <w:keepNext w:val="0"/>
              <w:keepLines w:val="0"/>
              <w:pageBreakBefore w:val="0"/>
              <w:widowControl w:val="0"/>
              <w:kinsoku/>
              <w:wordWrap/>
              <w:overflowPunct/>
              <w:topLinePunct w:val="0"/>
              <w:autoSpaceDE/>
              <w:autoSpaceDN/>
              <w:bidi w:val="0"/>
              <w:adjustRightInd/>
              <w:snapToGrid/>
              <w:spacing w:line="360" w:lineRule="auto"/>
              <w:ind w:left="181" w:right="154" w:firstLine="509"/>
              <w:textAlignment w:val="auto"/>
              <w:outlineLvl w:val="9"/>
              <w:rPr>
                <w:rFonts w:hint="default" w:ascii="Times New Roman" w:hAnsi="Times New Roman" w:eastAsia="宋体" w:cs="Times New Roman"/>
                <w:b w:val="0"/>
                <w:bCs w:val="0"/>
                <w:color w:val="auto"/>
                <w:spacing w:val="0"/>
                <w:position w:val="0"/>
                <w:sz w:val="24"/>
                <w:szCs w:val="24"/>
              </w:rPr>
            </w:pPr>
            <w:r>
              <w:rPr>
                <w:rFonts w:hint="default" w:ascii="Times New Roman" w:hAnsi="Times New Roman" w:eastAsia="宋体" w:cs="Times New Roman"/>
                <w:b w:val="0"/>
                <w:bCs w:val="0"/>
                <w:color w:val="auto"/>
                <w:spacing w:val="0"/>
                <w:position w:val="0"/>
                <w:sz w:val="24"/>
                <w:szCs w:val="24"/>
              </w:rPr>
              <w:t>由表</w:t>
            </w:r>
            <w:r>
              <w:rPr>
                <w:rFonts w:hint="eastAsia" w:eastAsia="宋体" w:cs="Times New Roman"/>
                <w:b w:val="0"/>
                <w:bCs w:val="0"/>
                <w:color w:val="auto"/>
                <w:spacing w:val="0"/>
                <w:position w:val="0"/>
                <w:sz w:val="24"/>
                <w:szCs w:val="24"/>
                <w:lang w:val="en-US" w:eastAsia="zh-CN"/>
              </w:rPr>
              <w:t>4</w:t>
            </w:r>
            <w:r>
              <w:rPr>
                <w:rFonts w:hint="default" w:ascii="Times New Roman" w:hAnsi="Times New Roman" w:eastAsia="Times New Roman" w:cs="Times New Roman"/>
                <w:b w:val="0"/>
                <w:bCs w:val="0"/>
                <w:color w:val="auto"/>
                <w:spacing w:val="0"/>
                <w:position w:val="0"/>
                <w:sz w:val="24"/>
                <w:szCs w:val="24"/>
              </w:rPr>
              <w:t>-3</w:t>
            </w:r>
            <w:r>
              <w:rPr>
                <w:rFonts w:hint="default" w:ascii="Times New Roman" w:hAnsi="Times New Roman" w:eastAsia="宋体" w:cs="Times New Roman"/>
                <w:b w:val="0"/>
                <w:bCs w:val="0"/>
                <w:color w:val="auto"/>
                <w:spacing w:val="0"/>
                <w:position w:val="0"/>
                <w:sz w:val="24"/>
                <w:szCs w:val="24"/>
              </w:rPr>
              <w:t>可知，粉尘的沉降速度随粒径的增大而迅速增大。当粒径为</w:t>
            </w:r>
            <w:r>
              <w:rPr>
                <w:rFonts w:hint="default" w:ascii="Times New Roman" w:hAnsi="Times New Roman" w:eastAsia="Times New Roman" w:cs="Times New Roman"/>
                <w:b w:val="0"/>
                <w:bCs w:val="0"/>
                <w:color w:val="auto"/>
                <w:spacing w:val="0"/>
                <w:position w:val="0"/>
                <w:sz w:val="24"/>
                <w:szCs w:val="24"/>
              </w:rPr>
              <w:t>250μm</w:t>
            </w:r>
            <w:r>
              <w:rPr>
                <w:rFonts w:hint="default" w:ascii="Times New Roman" w:hAnsi="Times New Roman" w:eastAsia="宋体" w:cs="Times New Roman"/>
                <w:b w:val="0"/>
                <w:bCs w:val="0"/>
                <w:color w:val="auto"/>
                <w:spacing w:val="0"/>
                <w:position w:val="0"/>
                <w:sz w:val="24"/>
                <w:szCs w:val="24"/>
              </w:rPr>
              <w:t>时，沉降速度为</w:t>
            </w:r>
            <w:r>
              <w:rPr>
                <w:rFonts w:hint="default" w:ascii="Times New Roman" w:hAnsi="Times New Roman" w:eastAsia="Times New Roman" w:cs="Times New Roman"/>
                <w:b w:val="0"/>
                <w:bCs w:val="0"/>
                <w:color w:val="auto"/>
                <w:spacing w:val="0"/>
                <w:position w:val="0"/>
                <w:sz w:val="24"/>
                <w:szCs w:val="24"/>
              </w:rPr>
              <w:t>1.005m/s</w:t>
            </w:r>
            <w:r>
              <w:rPr>
                <w:rFonts w:hint="default" w:ascii="Times New Roman" w:hAnsi="Times New Roman" w:eastAsia="宋体" w:cs="Times New Roman"/>
                <w:b w:val="0"/>
                <w:bCs w:val="0"/>
                <w:color w:val="auto"/>
                <w:spacing w:val="0"/>
                <w:position w:val="0"/>
                <w:sz w:val="24"/>
                <w:szCs w:val="24"/>
              </w:rPr>
              <w:t>，因此可以认为当尘粒大于</w:t>
            </w:r>
            <w:r>
              <w:rPr>
                <w:rFonts w:hint="default" w:ascii="Times New Roman" w:hAnsi="Times New Roman" w:eastAsia="Times New Roman" w:cs="Times New Roman"/>
                <w:b w:val="0"/>
                <w:bCs w:val="0"/>
                <w:color w:val="auto"/>
                <w:spacing w:val="0"/>
                <w:position w:val="0"/>
                <w:sz w:val="24"/>
                <w:szCs w:val="24"/>
              </w:rPr>
              <w:t>250μm</w:t>
            </w:r>
            <w:r>
              <w:rPr>
                <w:rFonts w:hint="default" w:ascii="Times New Roman" w:hAnsi="Times New Roman" w:eastAsia="宋体" w:cs="Times New Roman"/>
                <w:b w:val="0"/>
                <w:bCs w:val="0"/>
                <w:color w:val="auto"/>
                <w:spacing w:val="0"/>
                <w:position w:val="0"/>
                <w:sz w:val="24"/>
                <w:szCs w:val="24"/>
              </w:rPr>
              <w:t>时，主要影响范围在扬尘点下风向近距离范围内，而真正对外环境产生影响的是一些微小粒径的粉尘。本评价要求：堆场定期洒水，并且用帆布覆盖，从而减少其对周围环境空气质量的影响。</w:t>
            </w:r>
          </w:p>
          <w:p w14:paraId="54F8CCD4">
            <w:pPr>
              <w:keepNext w:val="0"/>
              <w:keepLines w:val="0"/>
              <w:pageBreakBefore w:val="0"/>
              <w:widowControl w:val="0"/>
              <w:kinsoku/>
              <w:wordWrap/>
              <w:overflowPunct/>
              <w:topLinePunct w:val="0"/>
              <w:autoSpaceDE/>
              <w:autoSpaceDN/>
              <w:bidi w:val="0"/>
              <w:adjustRightInd/>
              <w:snapToGrid/>
              <w:spacing w:line="360" w:lineRule="auto"/>
              <w:ind w:left="656"/>
              <w:textAlignment w:val="auto"/>
              <w:outlineLvl w:val="9"/>
              <w:rPr>
                <w:rFonts w:hint="eastAsia" w:ascii="Times New Roman" w:hAnsi="Times New Roman" w:eastAsia="宋体" w:cs="Times New Roman"/>
                <w:b w:val="0"/>
                <w:bCs w:val="0"/>
                <w:color w:val="auto"/>
                <w:spacing w:val="0"/>
                <w:position w:val="0"/>
                <w:sz w:val="24"/>
                <w:szCs w:val="24"/>
                <w:lang w:eastAsia="zh-CN"/>
              </w:rPr>
            </w:pPr>
            <w:bookmarkStart w:id="10" w:name="_Toc14599"/>
            <w:r>
              <w:rPr>
                <w:rFonts w:hint="default" w:ascii="Times New Roman" w:hAnsi="Times New Roman" w:eastAsia="Times New Roman" w:cs="Times New Roman"/>
                <w:b w:val="0"/>
                <w:bCs w:val="0"/>
                <w:color w:val="auto"/>
                <w:spacing w:val="0"/>
                <w:position w:val="0"/>
                <w:sz w:val="24"/>
                <w:szCs w:val="24"/>
              </w:rPr>
              <w:t>4</w:t>
            </w:r>
            <w:r>
              <w:rPr>
                <w:rFonts w:hint="default" w:ascii="Times New Roman" w:hAnsi="Times New Roman" w:eastAsia="宋体" w:cs="Times New Roman"/>
                <w:b w:val="0"/>
                <w:bCs w:val="0"/>
                <w:color w:val="auto"/>
                <w:spacing w:val="0"/>
                <w:position w:val="0"/>
                <w:sz w:val="24"/>
                <w:szCs w:val="24"/>
              </w:rPr>
              <w:t>、汽车尾气</w:t>
            </w:r>
            <w:r>
              <w:rPr>
                <w:rFonts w:hint="eastAsia" w:ascii="Times New Roman" w:hAnsi="Times New Roman" w:eastAsia="宋体" w:cs="Times New Roman"/>
                <w:b w:val="0"/>
                <w:bCs w:val="0"/>
                <w:color w:val="auto"/>
                <w:spacing w:val="0"/>
                <w:position w:val="0"/>
                <w:sz w:val="24"/>
                <w:szCs w:val="24"/>
                <w:lang w:eastAsia="zh-CN"/>
              </w:rPr>
              <w:t>（</w:t>
            </w:r>
            <w:r>
              <w:rPr>
                <w:rFonts w:hint="default" w:ascii="Times New Roman" w:hAnsi="Times New Roman" w:eastAsia="宋体" w:cs="Times New Roman"/>
                <w:b w:val="0"/>
                <w:bCs w:val="0"/>
                <w:color w:val="auto"/>
                <w:spacing w:val="0"/>
                <w:position w:val="0"/>
                <w:sz w:val="24"/>
                <w:szCs w:val="24"/>
              </w:rPr>
              <w:t>燃油废气</w:t>
            </w:r>
            <w:r>
              <w:rPr>
                <w:rFonts w:hint="eastAsia" w:ascii="Times New Roman" w:hAnsi="Times New Roman" w:eastAsia="宋体" w:cs="Times New Roman"/>
                <w:b w:val="0"/>
                <w:bCs w:val="0"/>
                <w:color w:val="auto"/>
                <w:spacing w:val="0"/>
                <w:position w:val="0"/>
                <w:sz w:val="24"/>
                <w:szCs w:val="24"/>
                <w:lang w:eastAsia="zh-CN"/>
              </w:rPr>
              <w:t>）</w:t>
            </w:r>
            <w:bookmarkEnd w:id="10"/>
          </w:p>
          <w:p w14:paraId="3E34EA24">
            <w:pPr>
              <w:keepNext w:val="0"/>
              <w:keepLines w:val="0"/>
              <w:pageBreakBefore w:val="0"/>
              <w:widowControl w:val="0"/>
              <w:kinsoku/>
              <w:wordWrap/>
              <w:overflowPunct/>
              <w:topLinePunct w:val="0"/>
              <w:autoSpaceDE/>
              <w:autoSpaceDN/>
              <w:bidi w:val="0"/>
              <w:adjustRightInd/>
              <w:snapToGrid/>
              <w:spacing w:line="360" w:lineRule="auto"/>
              <w:ind w:left="182" w:right="156" w:firstLine="478"/>
              <w:textAlignment w:val="auto"/>
              <w:outlineLvl w:val="9"/>
              <w:rPr>
                <w:rFonts w:hint="default" w:ascii="Times New Roman" w:hAnsi="Times New Roman" w:cs="Times New Roman"/>
                <w:b w:val="0"/>
                <w:bCs w:val="0"/>
                <w:color w:val="auto"/>
                <w:spacing w:val="0"/>
                <w:position w:val="0"/>
                <w:sz w:val="21"/>
              </w:rPr>
            </w:pPr>
            <w:r>
              <w:rPr>
                <w:rFonts w:hint="default" w:ascii="Times New Roman" w:hAnsi="Times New Roman" w:eastAsia="宋体" w:cs="Times New Roman"/>
                <w:b w:val="0"/>
                <w:bCs w:val="0"/>
                <w:color w:val="auto"/>
                <w:spacing w:val="0"/>
                <w:position w:val="0"/>
                <w:sz w:val="24"/>
                <w:szCs w:val="24"/>
              </w:rPr>
              <w:t>施工机械柴油机工作和燃柴油的大型运输车辆、装载机、挖掘机等排放的烟尘、SO</w:t>
            </w:r>
            <w:r>
              <w:rPr>
                <w:rFonts w:hint="default" w:ascii="Times New Roman" w:hAnsi="Times New Roman" w:eastAsia="宋体" w:cs="Times New Roman"/>
                <w:b w:val="0"/>
                <w:bCs w:val="0"/>
                <w:color w:val="auto"/>
                <w:spacing w:val="0"/>
                <w:position w:val="0"/>
                <w:sz w:val="24"/>
                <w:szCs w:val="24"/>
                <w:vertAlign w:val="subscript"/>
              </w:rPr>
              <w:t>2</w:t>
            </w:r>
            <w:r>
              <w:rPr>
                <w:rFonts w:hint="default" w:ascii="Times New Roman" w:hAnsi="Times New Roman" w:eastAsia="宋体" w:cs="Times New Roman"/>
                <w:b w:val="0"/>
                <w:bCs w:val="0"/>
                <w:color w:val="auto"/>
                <w:spacing w:val="0"/>
                <w:position w:val="0"/>
                <w:sz w:val="24"/>
                <w:szCs w:val="24"/>
              </w:rPr>
              <w:t>等。其影响范围在施工场地及运输道路沿途，随着施工强度的加大，然后废气的产生量将增加。但是燃油废气属于间歇性排放源，排放量不大，影响范围有限。</w:t>
            </w:r>
          </w:p>
          <w:p w14:paraId="5B0E7A78">
            <w:pPr>
              <w:keepNext w:val="0"/>
              <w:keepLines w:val="0"/>
              <w:pageBreakBefore w:val="0"/>
              <w:widowControl w:val="0"/>
              <w:kinsoku/>
              <w:wordWrap/>
              <w:overflowPunct/>
              <w:topLinePunct w:val="0"/>
              <w:autoSpaceDE/>
              <w:autoSpaceDN/>
              <w:bidi w:val="0"/>
              <w:adjustRightInd/>
              <w:snapToGrid/>
              <w:spacing w:line="360" w:lineRule="auto"/>
              <w:ind w:left="39" w:right="85" w:firstLine="508"/>
              <w:textAlignment w:val="auto"/>
              <w:outlineLvl w:val="9"/>
              <w:rPr>
                <w:rFonts w:hint="eastAsia" w:ascii="Times New Roman" w:hAnsi="Times New Roman" w:eastAsia="宋体" w:cs="Times New Roman"/>
                <w:b w:val="0"/>
                <w:bCs w:val="0"/>
                <w:color w:val="auto"/>
                <w:spacing w:val="0"/>
                <w:position w:val="0"/>
                <w:sz w:val="24"/>
                <w:szCs w:val="24"/>
                <w:lang w:val="en-US" w:eastAsia="zh-CN"/>
              </w:rPr>
            </w:pPr>
            <w:r>
              <w:rPr>
                <w:rFonts w:hint="eastAsia" w:ascii="Times New Roman" w:hAnsi="Times New Roman" w:eastAsia="宋体" w:cs="Times New Roman"/>
                <w:b w:val="0"/>
                <w:bCs w:val="0"/>
                <w:color w:val="auto"/>
                <w:spacing w:val="0"/>
                <w:position w:val="0"/>
                <w:sz w:val="24"/>
                <w:szCs w:val="24"/>
                <w:lang w:val="en-US" w:eastAsia="zh-CN"/>
              </w:rPr>
              <w:t>5、拆除扬尘对环境的影响</w:t>
            </w:r>
          </w:p>
          <w:p w14:paraId="0C2EE804">
            <w:pPr>
              <w:keepNext w:val="0"/>
              <w:keepLines w:val="0"/>
              <w:pageBreakBefore w:val="0"/>
              <w:widowControl w:val="0"/>
              <w:kinsoku/>
              <w:wordWrap/>
              <w:overflowPunct/>
              <w:topLinePunct w:val="0"/>
              <w:autoSpaceDE/>
              <w:autoSpaceDN/>
              <w:bidi w:val="0"/>
              <w:adjustRightInd/>
              <w:snapToGrid/>
              <w:spacing w:line="360" w:lineRule="auto"/>
              <w:ind w:left="39" w:right="85" w:firstLine="508"/>
              <w:textAlignment w:val="auto"/>
              <w:outlineLvl w:val="9"/>
              <w:rPr>
                <w:rFonts w:hint="eastAsia" w:ascii="Times New Roman" w:hAnsi="Times New Roman" w:eastAsia="宋体" w:cs="Times New Roman"/>
                <w:b w:val="0"/>
                <w:bCs w:val="0"/>
                <w:color w:val="auto"/>
                <w:spacing w:val="0"/>
                <w:position w:val="0"/>
                <w:sz w:val="24"/>
                <w:szCs w:val="24"/>
                <w:lang w:val="en-US" w:eastAsia="zh-CN"/>
              </w:rPr>
            </w:pPr>
            <w:r>
              <w:rPr>
                <w:rFonts w:hint="eastAsia" w:ascii="Times New Roman" w:hAnsi="Times New Roman" w:eastAsia="宋体" w:cs="Times New Roman"/>
                <w:b w:val="0"/>
                <w:bCs w:val="0"/>
                <w:color w:val="auto"/>
                <w:spacing w:val="0"/>
                <w:position w:val="0"/>
                <w:sz w:val="24"/>
                <w:szCs w:val="24"/>
                <w:lang w:val="en-US" w:eastAsia="zh-CN"/>
              </w:rPr>
              <w:t>本项目拆除工程包括混凝土及钢筋混凝土拆除、水轮泵站、管理用房等的拆除等。</w:t>
            </w:r>
          </w:p>
          <w:p w14:paraId="192A5DCD">
            <w:pPr>
              <w:keepNext w:val="0"/>
              <w:keepLines w:val="0"/>
              <w:pageBreakBefore w:val="0"/>
              <w:widowControl w:val="0"/>
              <w:kinsoku/>
              <w:wordWrap/>
              <w:overflowPunct/>
              <w:topLinePunct w:val="0"/>
              <w:autoSpaceDE/>
              <w:autoSpaceDN/>
              <w:bidi w:val="0"/>
              <w:adjustRightInd/>
              <w:snapToGrid/>
              <w:spacing w:line="360" w:lineRule="auto"/>
              <w:ind w:left="39" w:right="85" w:firstLine="508"/>
              <w:textAlignment w:val="auto"/>
              <w:outlineLvl w:val="9"/>
              <w:rPr>
                <w:rFonts w:hint="eastAsia" w:ascii="Times New Roman" w:hAnsi="Times New Roman" w:eastAsia="宋体" w:cs="Times New Roman"/>
                <w:b w:val="0"/>
                <w:bCs w:val="0"/>
                <w:color w:val="auto"/>
                <w:spacing w:val="0"/>
                <w:position w:val="0"/>
                <w:sz w:val="24"/>
                <w:szCs w:val="24"/>
                <w:lang w:val="en-US" w:eastAsia="zh-CN"/>
              </w:rPr>
            </w:pPr>
            <w:r>
              <w:rPr>
                <w:rFonts w:hint="eastAsia" w:ascii="Times New Roman" w:hAnsi="Times New Roman" w:eastAsia="宋体" w:cs="Times New Roman"/>
                <w:b w:val="0"/>
                <w:bCs w:val="0"/>
                <w:color w:val="auto"/>
                <w:spacing w:val="0"/>
                <w:position w:val="0"/>
                <w:sz w:val="24"/>
                <w:szCs w:val="24"/>
                <w:lang w:val="en-US" w:eastAsia="zh-CN"/>
              </w:rPr>
              <w:t>拆除扬尘主要来自以下几个方面：</w:t>
            </w:r>
          </w:p>
          <w:p w14:paraId="22236D16">
            <w:pPr>
              <w:keepNext w:val="0"/>
              <w:keepLines w:val="0"/>
              <w:pageBreakBefore w:val="0"/>
              <w:widowControl w:val="0"/>
              <w:kinsoku/>
              <w:wordWrap/>
              <w:overflowPunct/>
              <w:topLinePunct w:val="0"/>
              <w:autoSpaceDE/>
              <w:autoSpaceDN/>
              <w:bidi w:val="0"/>
              <w:adjustRightInd/>
              <w:snapToGrid/>
              <w:spacing w:line="360" w:lineRule="auto"/>
              <w:ind w:left="39" w:right="85" w:firstLine="508"/>
              <w:textAlignment w:val="auto"/>
              <w:outlineLvl w:val="9"/>
              <w:rPr>
                <w:rFonts w:hint="eastAsia" w:ascii="Times New Roman" w:hAnsi="Times New Roman" w:eastAsia="宋体" w:cs="Times New Roman"/>
                <w:b w:val="0"/>
                <w:bCs w:val="0"/>
                <w:color w:val="auto"/>
                <w:spacing w:val="0"/>
                <w:position w:val="0"/>
                <w:sz w:val="24"/>
                <w:szCs w:val="24"/>
                <w:lang w:val="en-US" w:eastAsia="zh-CN"/>
              </w:rPr>
            </w:pPr>
            <w:r>
              <w:rPr>
                <w:rFonts w:hint="eastAsia" w:ascii="Times New Roman" w:hAnsi="Times New Roman" w:eastAsia="宋体" w:cs="Times New Roman"/>
                <w:b w:val="0"/>
                <w:bCs w:val="0"/>
                <w:color w:val="auto"/>
                <w:spacing w:val="0"/>
                <w:position w:val="0"/>
                <w:sz w:val="24"/>
                <w:szCs w:val="24"/>
                <w:lang w:val="en-US" w:eastAsia="zh-CN"/>
              </w:rPr>
              <w:t>a）对建筑钻孔、敲打产生的粉尘。这部分粉尘产生量较小，粉尘颗粒较大，能迅速沉降。</w:t>
            </w:r>
          </w:p>
          <w:p w14:paraId="1FE1EA11">
            <w:pPr>
              <w:keepNext w:val="0"/>
              <w:keepLines w:val="0"/>
              <w:pageBreakBefore w:val="0"/>
              <w:widowControl w:val="0"/>
              <w:kinsoku/>
              <w:wordWrap/>
              <w:overflowPunct/>
              <w:topLinePunct w:val="0"/>
              <w:autoSpaceDE/>
              <w:autoSpaceDN/>
              <w:bidi w:val="0"/>
              <w:adjustRightInd/>
              <w:snapToGrid/>
              <w:spacing w:line="360" w:lineRule="auto"/>
              <w:ind w:left="39" w:right="85" w:firstLine="508"/>
              <w:textAlignment w:val="auto"/>
              <w:outlineLvl w:val="9"/>
              <w:rPr>
                <w:rFonts w:hint="eastAsia" w:ascii="Times New Roman" w:hAnsi="Times New Roman" w:eastAsia="宋体" w:cs="Times New Roman"/>
                <w:b w:val="0"/>
                <w:bCs w:val="0"/>
                <w:color w:val="auto"/>
                <w:spacing w:val="0"/>
                <w:position w:val="0"/>
                <w:sz w:val="24"/>
                <w:szCs w:val="24"/>
                <w:lang w:val="en-US" w:eastAsia="zh-CN"/>
              </w:rPr>
            </w:pPr>
            <w:r>
              <w:rPr>
                <w:rFonts w:hint="eastAsia" w:ascii="Times New Roman" w:hAnsi="Times New Roman" w:eastAsia="宋体" w:cs="Times New Roman"/>
                <w:b w:val="0"/>
                <w:bCs w:val="0"/>
                <w:color w:val="auto"/>
                <w:spacing w:val="0"/>
                <w:position w:val="0"/>
                <w:sz w:val="24"/>
                <w:szCs w:val="24"/>
                <w:lang w:val="en-US" w:eastAsia="zh-CN"/>
              </w:rPr>
              <w:t>b）拆除建筑物过程产生的扬尘。这部分扬尘瞬间产生量较大，需经过一段时间才能沉降，由于拆除建筑高度较低，对周边居民影响较小。</w:t>
            </w:r>
          </w:p>
          <w:p w14:paraId="0ACB9B0D">
            <w:pPr>
              <w:keepNext w:val="0"/>
              <w:keepLines w:val="0"/>
              <w:pageBreakBefore w:val="0"/>
              <w:widowControl w:val="0"/>
              <w:kinsoku/>
              <w:wordWrap/>
              <w:overflowPunct/>
              <w:topLinePunct w:val="0"/>
              <w:autoSpaceDE/>
              <w:autoSpaceDN/>
              <w:bidi w:val="0"/>
              <w:adjustRightInd/>
              <w:snapToGrid/>
              <w:spacing w:line="360" w:lineRule="auto"/>
              <w:ind w:left="39" w:right="85" w:firstLine="508"/>
              <w:textAlignment w:val="auto"/>
              <w:outlineLvl w:val="9"/>
              <w:rPr>
                <w:rFonts w:hint="eastAsia" w:ascii="Times New Roman" w:hAnsi="Times New Roman" w:eastAsia="宋体" w:cs="Times New Roman"/>
                <w:b w:val="0"/>
                <w:bCs w:val="0"/>
                <w:color w:val="auto"/>
                <w:spacing w:val="0"/>
                <w:position w:val="0"/>
                <w:sz w:val="24"/>
                <w:szCs w:val="24"/>
                <w:lang w:val="en-US" w:eastAsia="zh-CN"/>
              </w:rPr>
            </w:pPr>
            <w:r>
              <w:rPr>
                <w:rFonts w:hint="eastAsia" w:ascii="Times New Roman" w:hAnsi="Times New Roman" w:eastAsia="宋体" w:cs="Times New Roman"/>
                <w:b w:val="0"/>
                <w:bCs w:val="0"/>
                <w:color w:val="auto"/>
                <w:spacing w:val="0"/>
                <w:position w:val="0"/>
                <w:sz w:val="24"/>
                <w:szCs w:val="24"/>
                <w:lang w:val="en-US" w:eastAsia="zh-CN"/>
              </w:rPr>
              <w:t>c）建筑垃圾运输过程中车辆在未铺垫路上行驶时带起的扬尘，以及车上装载的物料碎屑飞扬进入空气。</w:t>
            </w:r>
          </w:p>
          <w:p w14:paraId="30F6A642">
            <w:pPr>
              <w:keepNext w:val="0"/>
              <w:keepLines w:val="0"/>
              <w:pageBreakBefore w:val="0"/>
              <w:widowControl w:val="0"/>
              <w:kinsoku/>
              <w:wordWrap/>
              <w:overflowPunct/>
              <w:topLinePunct w:val="0"/>
              <w:autoSpaceDE/>
              <w:autoSpaceDN/>
              <w:bidi w:val="0"/>
              <w:adjustRightInd/>
              <w:snapToGrid/>
              <w:spacing w:line="360" w:lineRule="auto"/>
              <w:ind w:left="39" w:right="85" w:firstLine="508"/>
              <w:textAlignment w:val="auto"/>
              <w:outlineLvl w:val="9"/>
              <w:rPr>
                <w:rFonts w:hint="eastAsia" w:ascii="Times New Roman" w:hAnsi="Times New Roman" w:eastAsia="宋体" w:cs="Times New Roman"/>
                <w:b w:val="0"/>
                <w:bCs w:val="0"/>
                <w:color w:val="auto"/>
                <w:spacing w:val="0"/>
                <w:position w:val="0"/>
                <w:sz w:val="24"/>
                <w:szCs w:val="24"/>
                <w:lang w:val="en-US" w:eastAsia="zh-CN"/>
              </w:rPr>
            </w:pPr>
            <w:r>
              <w:rPr>
                <w:rFonts w:hint="eastAsia" w:ascii="Times New Roman" w:hAnsi="Times New Roman" w:eastAsia="宋体" w:cs="Times New Roman"/>
                <w:b w:val="0"/>
                <w:bCs w:val="0"/>
                <w:color w:val="auto"/>
                <w:spacing w:val="0"/>
                <w:position w:val="0"/>
                <w:sz w:val="24"/>
                <w:szCs w:val="24"/>
                <w:lang w:val="en-US" w:eastAsia="zh-CN"/>
              </w:rPr>
              <w:t>项目施工过程中需对项目原有的建筑进行拆除，故拆除过程中会产生拆除扬尘污染。施工场地外围需建设临时围挡，并设置雾炮除尘器，可减少拆除扬尘对周边住宅产生不利影响。项目拆除及场地清理工期较短，拆除建筑物的扬尘将随着工期结束而消失。</w:t>
            </w:r>
          </w:p>
          <w:p w14:paraId="292BD98E">
            <w:pPr>
              <w:keepNext w:val="0"/>
              <w:keepLines w:val="0"/>
              <w:pageBreakBefore w:val="0"/>
              <w:widowControl w:val="0"/>
              <w:kinsoku/>
              <w:wordWrap/>
              <w:overflowPunct/>
              <w:topLinePunct w:val="0"/>
              <w:autoSpaceDE/>
              <w:autoSpaceDN/>
              <w:bidi w:val="0"/>
              <w:adjustRightInd/>
              <w:snapToGrid/>
              <w:spacing w:line="360" w:lineRule="auto"/>
              <w:ind w:left="39" w:right="85" w:firstLine="508"/>
              <w:textAlignment w:val="auto"/>
              <w:outlineLvl w:val="9"/>
              <w:rPr>
                <w:rFonts w:hint="default" w:ascii="Times New Roman" w:hAnsi="Times New Roman" w:eastAsia="宋体" w:cs="Times New Roman"/>
                <w:b w:val="0"/>
                <w:bCs w:val="0"/>
                <w:color w:val="auto"/>
                <w:spacing w:val="0"/>
                <w:position w:val="0"/>
                <w:sz w:val="24"/>
                <w:szCs w:val="24"/>
              </w:rPr>
            </w:pPr>
            <w:r>
              <w:rPr>
                <w:rFonts w:hint="default" w:ascii="Times New Roman" w:hAnsi="Times New Roman" w:eastAsia="宋体" w:cs="Times New Roman"/>
                <w:b w:val="0"/>
                <w:bCs w:val="0"/>
                <w:color w:val="auto"/>
                <w:spacing w:val="0"/>
                <w:position w:val="0"/>
                <w:sz w:val="24"/>
                <w:szCs w:val="24"/>
              </w:rPr>
              <w:t>随着</w:t>
            </w:r>
            <w:r>
              <w:rPr>
                <w:rFonts w:hint="eastAsia" w:ascii="Times New Roman" w:hAnsi="Times New Roman" w:eastAsia="宋体" w:cs="Times New Roman"/>
                <w:b w:val="0"/>
                <w:bCs w:val="0"/>
                <w:color w:val="auto"/>
                <w:spacing w:val="0"/>
                <w:position w:val="0"/>
                <w:sz w:val="24"/>
                <w:szCs w:val="24"/>
                <w:lang w:eastAsia="zh-CN"/>
              </w:rPr>
              <w:t>拦河闸除险加固</w:t>
            </w:r>
            <w:r>
              <w:rPr>
                <w:rFonts w:hint="default" w:ascii="Times New Roman" w:hAnsi="Times New Roman" w:eastAsia="宋体" w:cs="Times New Roman"/>
                <w:b w:val="0"/>
                <w:bCs w:val="0"/>
                <w:color w:val="auto"/>
                <w:spacing w:val="0"/>
                <w:position w:val="0"/>
                <w:sz w:val="24"/>
                <w:szCs w:val="24"/>
              </w:rPr>
              <w:t>工程的结束，</w:t>
            </w:r>
            <w:r>
              <w:rPr>
                <w:rFonts w:hint="eastAsia" w:ascii="Times New Roman" w:hAnsi="Times New Roman" w:eastAsia="宋体" w:cs="Times New Roman"/>
                <w:b w:val="0"/>
                <w:bCs w:val="0"/>
                <w:color w:val="auto"/>
                <w:spacing w:val="0"/>
                <w:position w:val="0"/>
                <w:sz w:val="24"/>
                <w:szCs w:val="24"/>
                <w:lang w:val="en-US" w:eastAsia="zh-CN"/>
              </w:rPr>
              <w:t>废气污染</w:t>
            </w:r>
            <w:r>
              <w:rPr>
                <w:rFonts w:hint="default" w:ascii="Times New Roman" w:hAnsi="Times New Roman" w:eastAsia="宋体" w:cs="Times New Roman"/>
                <w:b w:val="0"/>
                <w:bCs w:val="0"/>
                <w:color w:val="auto"/>
                <w:spacing w:val="0"/>
                <w:position w:val="0"/>
                <w:sz w:val="24"/>
                <w:szCs w:val="24"/>
              </w:rPr>
              <w:t>将会逐渐消失。因此本项目工程产生的</w:t>
            </w:r>
            <w:r>
              <w:rPr>
                <w:rFonts w:hint="eastAsia" w:ascii="Times New Roman" w:hAnsi="Times New Roman" w:eastAsia="宋体" w:cs="Times New Roman"/>
                <w:b w:val="0"/>
                <w:bCs w:val="0"/>
                <w:color w:val="auto"/>
                <w:spacing w:val="0"/>
                <w:position w:val="0"/>
                <w:sz w:val="24"/>
                <w:szCs w:val="24"/>
                <w:lang w:val="en-US" w:eastAsia="zh-CN"/>
              </w:rPr>
              <w:t>废气污染</w:t>
            </w:r>
            <w:r>
              <w:rPr>
                <w:rFonts w:hint="default" w:ascii="Times New Roman" w:hAnsi="Times New Roman" w:eastAsia="宋体" w:cs="Times New Roman"/>
                <w:b w:val="0"/>
                <w:bCs w:val="0"/>
                <w:color w:val="auto"/>
                <w:spacing w:val="0"/>
                <w:position w:val="0"/>
                <w:sz w:val="24"/>
                <w:szCs w:val="24"/>
              </w:rPr>
              <w:t>对周围环境的影响是短暂而有限的。</w:t>
            </w:r>
          </w:p>
          <w:p w14:paraId="1C0ED22E">
            <w:pPr>
              <w:widowControl/>
              <w:spacing w:line="360" w:lineRule="auto"/>
              <w:ind w:firstLine="470" w:firstLineChars="196"/>
              <w:jc w:val="left"/>
              <w:rPr>
                <w:color w:val="000000" w:themeColor="text1"/>
                <w:sz w:val="24"/>
                <w:u w:val="none" w:color="auto"/>
                <w14:textFill>
                  <w14:solidFill>
                    <w14:schemeClr w14:val="tx1"/>
                  </w14:solidFill>
                </w14:textFill>
              </w:rPr>
            </w:pPr>
            <w:r>
              <w:rPr>
                <w:rFonts w:hint="default" w:ascii="Times New Roman" w:hAnsi="Times New Roman" w:eastAsia="宋体" w:cs="Times New Roman"/>
                <w:b w:val="0"/>
                <w:bCs w:val="0"/>
                <w:color w:val="auto"/>
                <w:spacing w:val="0"/>
                <w:position w:val="0"/>
                <w:sz w:val="24"/>
                <w:szCs w:val="24"/>
                <w:lang w:val="en-US" w:eastAsia="zh-CN"/>
              </w:rPr>
              <w:t>由以上分析可知，本项目施工期对环境空气的影响较小</w:t>
            </w:r>
            <w:r>
              <w:rPr>
                <w:rFonts w:hint="eastAsia"/>
                <w:color w:val="000000" w:themeColor="text1"/>
                <w:sz w:val="24"/>
                <w:u w:val="none" w:color="auto"/>
                <w14:textFill>
                  <w14:solidFill>
                    <w14:schemeClr w14:val="tx1"/>
                  </w14:solidFill>
                </w14:textFill>
              </w:rPr>
              <w:t>。</w:t>
            </w:r>
          </w:p>
          <w:p w14:paraId="7AC7A66A">
            <w:pPr>
              <w:widowControl/>
              <w:spacing w:line="360" w:lineRule="auto"/>
              <w:ind w:firstLine="480" w:firstLineChars="200"/>
              <w:jc w:val="left"/>
              <w:rPr>
                <w:color w:val="000000" w:themeColor="text1"/>
                <w:sz w:val="24"/>
                <w:u w:val="none" w:color="auto"/>
                <w14:textFill>
                  <w14:solidFill>
                    <w14:schemeClr w14:val="tx1"/>
                  </w14:solidFill>
                </w14:textFill>
              </w:rPr>
            </w:pPr>
            <w:r>
              <w:rPr>
                <w:color w:val="000000" w:themeColor="text1"/>
                <w:sz w:val="24"/>
                <w:u w:val="none" w:color="auto"/>
                <w14:textFill>
                  <w14:solidFill>
                    <w14:schemeClr w14:val="tx1"/>
                  </w14:solidFill>
                </w14:textFill>
              </w:rPr>
              <w:t>3</w:t>
            </w:r>
            <w:r>
              <w:rPr>
                <w:rFonts w:hint="eastAsia"/>
                <w:color w:val="000000" w:themeColor="text1"/>
                <w:sz w:val="24"/>
                <w:u w:val="none" w:color="auto"/>
                <w:lang w:eastAsia="zh-CN"/>
                <w14:textFill>
                  <w14:solidFill>
                    <w14:schemeClr w14:val="tx1"/>
                  </w14:solidFill>
                </w14:textFill>
              </w:rPr>
              <w:t>、</w:t>
            </w:r>
            <w:r>
              <w:rPr>
                <w:color w:val="000000" w:themeColor="text1"/>
                <w:sz w:val="24"/>
                <w:u w:val="none" w:color="auto"/>
                <w14:textFill>
                  <w14:solidFill>
                    <w14:schemeClr w14:val="tx1"/>
                  </w14:solidFill>
                </w14:textFill>
              </w:rPr>
              <w:t>施工期噪声环境影响分析</w:t>
            </w:r>
          </w:p>
          <w:p w14:paraId="345CBDE8">
            <w:pPr>
              <w:spacing w:before="185" w:line="362" w:lineRule="auto"/>
              <w:ind w:left="41" w:right="85" w:firstLine="476"/>
              <w:rPr>
                <w:rFonts w:hint="default"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pacing w:val="0"/>
                <w:sz w:val="24"/>
                <w:szCs w:val="24"/>
                <w:lang w:eastAsia="zh-CN"/>
              </w:rPr>
              <w:t>拦河闸除险加固</w:t>
            </w:r>
            <w:r>
              <w:rPr>
                <w:rFonts w:hint="default" w:ascii="Times New Roman" w:hAnsi="Times New Roman" w:eastAsia="宋体" w:cs="Times New Roman"/>
                <w:b w:val="0"/>
                <w:bCs w:val="0"/>
                <w:color w:val="auto"/>
                <w:spacing w:val="0"/>
                <w:sz w:val="24"/>
                <w:szCs w:val="24"/>
              </w:rPr>
              <w:t>过程中的主要噪声污染源包括施工机械噪声和施工作业噪声。施工机械噪声由施工机械产生，主要有装载机、挖掘机、自卸汽车等，噪声级基本在</w:t>
            </w:r>
            <w:r>
              <w:rPr>
                <w:rFonts w:hint="default" w:ascii="Times New Roman" w:hAnsi="Times New Roman" w:eastAsia="Times New Roman" w:cs="Times New Roman"/>
                <w:b w:val="0"/>
                <w:bCs w:val="0"/>
                <w:color w:val="auto"/>
                <w:spacing w:val="0"/>
                <w:sz w:val="24"/>
                <w:szCs w:val="24"/>
              </w:rPr>
              <w:t>85~98dB</w:t>
            </w:r>
            <w:r>
              <w:rPr>
                <w:rFonts w:hint="eastAsia" w:ascii="Times New Roman" w:hAnsi="Times New Roman" w:eastAsia="宋体" w:cs="Times New Roman"/>
                <w:b w:val="0"/>
                <w:bCs w:val="0"/>
                <w:color w:val="auto"/>
                <w:spacing w:val="0"/>
                <w:sz w:val="24"/>
                <w:szCs w:val="24"/>
                <w:lang w:eastAsia="zh-CN"/>
              </w:rPr>
              <w:t>（</w:t>
            </w:r>
            <w:r>
              <w:rPr>
                <w:rFonts w:hint="default" w:ascii="Times New Roman" w:hAnsi="Times New Roman" w:eastAsia="Times New Roman" w:cs="Times New Roman"/>
                <w:b w:val="0"/>
                <w:bCs w:val="0"/>
                <w:color w:val="auto"/>
                <w:spacing w:val="0"/>
                <w:sz w:val="24"/>
                <w:szCs w:val="24"/>
              </w:rPr>
              <w:t>A</w:t>
            </w:r>
            <w:r>
              <w:rPr>
                <w:rFonts w:hint="eastAsia" w:ascii="Times New Roman" w:hAnsi="Times New Roman" w:eastAsia="宋体" w:cs="Times New Roman"/>
                <w:b w:val="0"/>
                <w:bCs w:val="0"/>
                <w:color w:val="auto"/>
                <w:spacing w:val="0"/>
                <w:sz w:val="24"/>
                <w:szCs w:val="24"/>
                <w:lang w:eastAsia="zh-CN"/>
              </w:rPr>
              <w:t>）</w:t>
            </w:r>
            <w:r>
              <w:rPr>
                <w:rFonts w:hint="default" w:ascii="Times New Roman" w:hAnsi="Times New Roman" w:eastAsia="宋体" w:cs="Times New Roman"/>
                <w:b w:val="0"/>
                <w:bCs w:val="0"/>
                <w:color w:val="auto"/>
                <w:spacing w:val="0"/>
                <w:sz w:val="24"/>
                <w:szCs w:val="24"/>
              </w:rPr>
              <w:t>；施工作业噪声主要指一些零星的敲打声、施工人员的吆喝声等，多为瞬间噪声。此外还有运输车辆产生的交通噪声。这些噪声中对声环境影响最大的是施工机械噪声。通过类比同类项目，施工期噪声源强详见表</w:t>
            </w:r>
            <w:r>
              <w:rPr>
                <w:rFonts w:hint="eastAsia" w:eastAsia="宋体" w:cs="Times New Roman"/>
                <w:b w:val="0"/>
                <w:bCs w:val="0"/>
                <w:color w:val="auto"/>
                <w:spacing w:val="0"/>
                <w:sz w:val="24"/>
                <w:szCs w:val="24"/>
                <w:lang w:val="en-US" w:eastAsia="zh-CN"/>
              </w:rPr>
              <w:t>4-4</w:t>
            </w:r>
            <w:r>
              <w:rPr>
                <w:rFonts w:hint="default" w:ascii="Times New Roman" w:hAnsi="Times New Roman" w:eastAsia="宋体" w:cs="Times New Roman"/>
                <w:b w:val="0"/>
                <w:bCs w:val="0"/>
                <w:color w:val="auto"/>
                <w:spacing w:val="-3"/>
                <w:sz w:val="24"/>
                <w:szCs w:val="24"/>
              </w:rPr>
              <w:t>。</w:t>
            </w:r>
          </w:p>
          <w:p w14:paraId="265F7343">
            <w:pPr>
              <w:spacing w:before="78" w:line="212" w:lineRule="auto"/>
              <w:ind w:left="2125"/>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pacing w:val="1"/>
                <w:sz w:val="24"/>
                <w:szCs w:val="24"/>
                <w14:textOutline w14:w="4354" w14:cap="flat" w14:cmpd="sng">
                  <w14:solidFill>
                    <w14:srgbClr w14:val="000000"/>
                  </w14:solidFill>
                  <w14:prstDash w14:val="solid"/>
                  <w14:miter w14:val="0"/>
                </w14:textOutline>
              </w:rPr>
              <w:t>表</w:t>
            </w:r>
            <w:r>
              <w:rPr>
                <w:rFonts w:hint="eastAsia" w:eastAsia="宋体" w:cs="Times New Roman"/>
                <w:b w:val="0"/>
                <w:bCs w:val="0"/>
                <w:color w:val="auto"/>
                <w:spacing w:val="1"/>
                <w:sz w:val="24"/>
                <w:szCs w:val="24"/>
                <w:lang w:val="en-US" w:eastAsia="zh-CN"/>
              </w:rPr>
              <w:t>4-4</w:t>
            </w:r>
            <w:r>
              <w:rPr>
                <w:rFonts w:hint="default" w:ascii="Times New Roman" w:hAnsi="Times New Roman" w:eastAsia="宋体" w:cs="Times New Roman"/>
                <w:b w:val="0"/>
                <w:bCs w:val="0"/>
                <w:color w:val="auto"/>
                <w:spacing w:val="1"/>
                <w:sz w:val="24"/>
                <w:szCs w:val="24"/>
                <w14:textOutline w14:w="4354" w14:cap="flat" w14:cmpd="sng">
                  <w14:solidFill>
                    <w14:srgbClr w14:val="000000"/>
                  </w14:solidFill>
                  <w14:prstDash w14:val="solid"/>
                  <w14:miter w14:val="0"/>
                </w14:textOutline>
              </w:rPr>
              <w:t>主要</w:t>
            </w:r>
            <w:r>
              <w:rPr>
                <w:rFonts w:hint="default" w:ascii="Times New Roman" w:hAnsi="Times New Roman" w:eastAsia="宋体" w:cs="Times New Roman"/>
                <w:b w:val="0"/>
                <w:bCs w:val="0"/>
                <w:color w:val="auto"/>
                <w:sz w:val="24"/>
                <w:szCs w:val="24"/>
                <w14:textOutline w14:w="4354" w14:cap="flat" w14:cmpd="sng">
                  <w14:solidFill>
                    <w14:srgbClr w14:val="000000"/>
                  </w14:solidFill>
                  <w14:prstDash w14:val="solid"/>
                  <w14:miter w14:val="0"/>
                </w14:textOutline>
              </w:rPr>
              <w:t>施工机械噪声源强一览表</w:t>
            </w:r>
          </w:p>
          <w:tbl>
            <w:tblPr>
              <w:tblStyle w:val="236"/>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16"/>
              <w:gridCol w:w="2281"/>
              <w:gridCol w:w="2399"/>
              <w:gridCol w:w="2410"/>
            </w:tblGrid>
            <w:tr w14:paraId="5DCD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216" w:type="dxa"/>
                  <w:vAlign w:val="top"/>
                </w:tcPr>
                <w:p w14:paraId="4898143C">
                  <w:pPr>
                    <w:spacing w:before="84" w:line="216" w:lineRule="auto"/>
                    <w:ind w:left="441"/>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2"/>
                      <w:sz w:val="21"/>
                      <w:szCs w:val="21"/>
                    </w:rPr>
                    <w:t>序</w:t>
                  </w:r>
                  <w:r>
                    <w:rPr>
                      <w:rFonts w:hint="default" w:ascii="Times New Roman" w:hAnsi="Times New Roman" w:eastAsia="宋体" w:cs="Times New Roman"/>
                      <w:b w:val="0"/>
                      <w:bCs w:val="0"/>
                      <w:color w:val="auto"/>
                      <w:spacing w:val="-1"/>
                      <w:sz w:val="21"/>
                      <w:szCs w:val="21"/>
                    </w:rPr>
                    <w:t>号</w:t>
                  </w:r>
                </w:p>
              </w:tc>
              <w:tc>
                <w:tcPr>
                  <w:tcW w:w="2281" w:type="dxa"/>
                  <w:vAlign w:val="top"/>
                </w:tcPr>
                <w:p w14:paraId="19B14B04">
                  <w:pPr>
                    <w:spacing w:before="84" w:line="216"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4"/>
                      <w:sz w:val="21"/>
                      <w:szCs w:val="21"/>
                    </w:rPr>
                    <w:t>噪</w:t>
                  </w:r>
                  <w:r>
                    <w:rPr>
                      <w:rFonts w:hint="default" w:ascii="Times New Roman" w:hAnsi="Times New Roman" w:eastAsia="宋体" w:cs="Times New Roman"/>
                      <w:b w:val="0"/>
                      <w:bCs w:val="0"/>
                      <w:color w:val="auto"/>
                      <w:spacing w:val="-3"/>
                      <w:sz w:val="21"/>
                      <w:szCs w:val="21"/>
                    </w:rPr>
                    <w:t>声源</w:t>
                  </w:r>
                </w:p>
              </w:tc>
              <w:tc>
                <w:tcPr>
                  <w:tcW w:w="2399" w:type="dxa"/>
                  <w:vAlign w:val="top"/>
                </w:tcPr>
                <w:p w14:paraId="729EF096">
                  <w:pPr>
                    <w:spacing w:before="84" w:line="216" w:lineRule="auto"/>
                    <w:ind w:left="83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2"/>
                      <w:sz w:val="21"/>
                      <w:szCs w:val="21"/>
                    </w:rPr>
                    <w:t>测量</w:t>
                  </w:r>
                  <w:r>
                    <w:rPr>
                      <w:rFonts w:hint="default" w:ascii="Times New Roman" w:hAnsi="Times New Roman" w:eastAsia="宋体" w:cs="Times New Roman"/>
                      <w:b w:val="0"/>
                      <w:bCs w:val="0"/>
                      <w:color w:val="auto"/>
                      <w:spacing w:val="-1"/>
                      <w:sz w:val="21"/>
                      <w:szCs w:val="21"/>
                    </w:rPr>
                    <w:t>距离</w:t>
                  </w:r>
                </w:p>
              </w:tc>
              <w:tc>
                <w:tcPr>
                  <w:tcW w:w="2410" w:type="dxa"/>
                  <w:vAlign w:val="top"/>
                </w:tcPr>
                <w:p w14:paraId="2659D6CC">
                  <w:pPr>
                    <w:spacing w:before="84" w:line="216" w:lineRule="auto"/>
                    <w:ind w:left="422"/>
                    <w:rPr>
                      <w:rFonts w:hint="eastAsia"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pacing w:val="-10"/>
                      <w:sz w:val="21"/>
                      <w:szCs w:val="21"/>
                    </w:rPr>
                    <w:t>噪</w:t>
                  </w:r>
                  <w:r>
                    <w:rPr>
                      <w:rFonts w:hint="default" w:ascii="Times New Roman" w:hAnsi="Times New Roman" w:eastAsia="宋体" w:cs="Times New Roman"/>
                      <w:b w:val="0"/>
                      <w:bCs w:val="0"/>
                      <w:color w:val="auto"/>
                      <w:spacing w:val="-9"/>
                      <w:sz w:val="21"/>
                      <w:szCs w:val="21"/>
                    </w:rPr>
                    <w:t>声</w:t>
                  </w:r>
                  <w:r>
                    <w:rPr>
                      <w:rFonts w:hint="default" w:ascii="Times New Roman" w:hAnsi="Times New Roman" w:eastAsia="宋体" w:cs="Times New Roman"/>
                      <w:b w:val="0"/>
                      <w:bCs w:val="0"/>
                      <w:color w:val="auto"/>
                      <w:spacing w:val="-5"/>
                      <w:sz w:val="21"/>
                      <w:szCs w:val="21"/>
                    </w:rPr>
                    <w:t>强度</w:t>
                  </w:r>
                  <w:r>
                    <w:rPr>
                      <w:rFonts w:hint="default" w:ascii="Times New Roman" w:hAnsi="Times New Roman" w:eastAsia="Times New Roman" w:cs="Times New Roman"/>
                      <w:b w:val="0"/>
                      <w:bCs w:val="0"/>
                      <w:color w:val="auto"/>
                      <w:spacing w:val="-5"/>
                      <w:sz w:val="21"/>
                      <w:szCs w:val="21"/>
                    </w:rPr>
                    <w:t>dB</w:t>
                  </w:r>
                  <w:r>
                    <w:rPr>
                      <w:rFonts w:hint="eastAsia" w:ascii="Times New Roman" w:hAnsi="Times New Roman" w:eastAsia="宋体" w:cs="Times New Roman"/>
                      <w:b w:val="0"/>
                      <w:bCs w:val="0"/>
                      <w:color w:val="auto"/>
                      <w:spacing w:val="-5"/>
                      <w:sz w:val="21"/>
                      <w:szCs w:val="21"/>
                      <w:lang w:eastAsia="zh-CN"/>
                    </w:rPr>
                    <w:t>（</w:t>
                  </w:r>
                  <w:r>
                    <w:rPr>
                      <w:rFonts w:hint="default" w:ascii="Times New Roman" w:hAnsi="Times New Roman" w:eastAsia="Times New Roman" w:cs="Times New Roman"/>
                      <w:b w:val="0"/>
                      <w:bCs w:val="0"/>
                      <w:color w:val="auto"/>
                      <w:spacing w:val="-5"/>
                      <w:sz w:val="21"/>
                      <w:szCs w:val="21"/>
                    </w:rPr>
                    <w:t>A</w:t>
                  </w:r>
                  <w:r>
                    <w:rPr>
                      <w:rFonts w:hint="eastAsia" w:ascii="Times New Roman" w:hAnsi="Times New Roman" w:eastAsia="宋体" w:cs="Times New Roman"/>
                      <w:b w:val="0"/>
                      <w:bCs w:val="0"/>
                      <w:color w:val="auto"/>
                      <w:spacing w:val="-5"/>
                      <w:sz w:val="21"/>
                      <w:szCs w:val="21"/>
                      <w:lang w:eastAsia="zh-CN"/>
                    </w:rPr>
                    <w:t>）</w:t>
                  </w:r>
                </w:p>
              </w:tc>
            </w:tr>
            <w:tr w14:paraId="1057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1216" w:type="dxa"/>
                  <w:vAlign w:val="top"/>
                </w:tcPr>
                <w:p w14:paraId="72EF3801">
                  <w:pPr>
                    <w:spacing w:before="69" w:line="187" w:lineRule="auto"/>
                    <w:ind w:left="615"/>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z w:val="21"/>
                      <w:szCs w:val="21"/>
                    </w:rPr>
                    <w:t>1</w:t>
                  </w:r>
                </w:p>
              </w:tc>
              <w:tc>
                <w:tcPr>
                  <w:tcW w:w="2281" w:type="dxa"/>
                  <w:shd w:val="clear" w:color="auto" w:fill="auto"/>
                  <w:vAlign w:val="top"/>
                </w:tcPr>
                <w:p w14:paraId="369B99E7">
                  <w:pPr>
                    <w:spacing w:before="31" w:line="214"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1"/>
                      <w:sz w:val="21"/>
                      <w:szCs w:val="21"/>
                    </w:rPr>
                    <w:t>挖掘机</w:t>
                  </w:r>
                </w:p>
              </w:tc>
              <w:tc>
                <w:tcPr>
                  <w:tcW w:w="2399" w:type="dxa"/>
                  <w:shd w:val="clear" w:color="auto" w:fill="auto"/>
                  <w:vAlign w:val="top"/>
                </w:tcPr>
                <w:p w14:paraId="4367F5DF">
                  <w:pPr>
                    <w:spacing w:before="70" w:line="187" w:lineRule="auto"/>
                    <w:ind w:left="1141" w:leftChars="0"/>
                    <w:rPr>
                      <w:rFonts w:hint="default" w:ascii="Times New Roman" w:hAnsi="Times New Roman" w:eastAsia="Times New Roman" w:cs="Times New Roman"/>
                      <w:b w:val="0"/>
                      <w:bCs w:val="0"/>
                      <w:color w:val="auto"/>
                      <w:kern w:val="2"/>
                      <w:sz w:val="21"/>
                      <w:szCs w:val="21"/>
                      <w:lang w:val="en-US" w:eastAsia="zh-CN" w:bidi="ar-SA"/>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4"/>
                      <w:sz w:val="21"/>
                      <w:szCs w:val="21"/>
                    </w:rPr>
                    <w:t>m</w:t>
                  </w:r>
                </w:p>
              </w:tc>
              <w:tc>
                <w:tcPr>
                  <w:tcW w:w="2410" w:type="dxa"/>
                  <w:shd w:val="clear" w:color="auto" w:fill="auto"/>
                  <w:vAlign w:val="top"/>
                </w:tcPr>
                <w:p w14:paraId="43D583D1">
                  <w:pPr>
                    <w:spacing w:before="70" w:line="187" w:lineRule="auto"/>
                    <w:jc w:val="center"/>
                    <w:rPr>
                      <w:rFonts w:hint="default" w:ascii="Times New Roman" w:hAnsi="Times New Roman" w:eastAsia="Times New Roman" w:cs="Times New Roman"/>
                      <w:b w:val="0"/>
                      <w:bCs w:val="0"/>
                      <w:color w:val="auto"/>
                      <w:kern w:val="2"/>
                      <w:sz w:val="21"/>
                      <w:szCs w:val="21"/>
                      <w:lang w:val="en-US" w:eastAsia="zh-CN" w:bidi="ar-SA"/>
                    </w:rPr>
                  </w:pPr>
                  <w:r>
                    <w:rPr>
                      <w:rFonts w:hint="default" w:ascii="Times New Roman" w:hAnsi="Times New Roman" w:eastAsia="Times New Roman" w:cs="Times New Roman"/>
                      <w:b w:val="0"/>
                      <w:bCs w:val="0"/>
                      <w:color w:val="auto"/>
                      <w:spacing w:val="-2"/>
                      <w:sz w:val="21"/>
                      <w:szCs w:val="21"/>
                    </w:rPr>
                    <w:t>95</w:t>
                  </w:r>
                </w:p>
              </w:tc>
            </w:tr>
            <w:tr w14:paraId="0F6E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1216" w:type="dxa"/>
                  <w:vAlign w:val="top"/>
                </w:tcPr>
                <w:p w14:paraId="60B71465">
                  <w:pPr>
                    <w:spacing w:before="70" w:line="187" w:lineRule="auto"/>
                    <w:ind w:left="594"/>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z w:val="21"/>
                      <w:szCs w:val="21"/>
                    </w:rPr>
                    <w:t>2</w:t>
                  </w:r>
                </w:p>
              </w:tc>
              <w:tc>
                <w:tcPr>
                  <w:tcW w:w="2281" w:type="dxa"/>
                  <w:shd w:val="clear" w:color="auto" w:fill="auto"/>
                  <w:vAlign w:val="top"/>
                </w:tcPr>
                <w:p w14:paraId="1883E997">
                  <w:pPr>
                    <w:spacing w:before="31" w:line="214" w:lineRule="auto"/>
                    <w:jc w:val="center"/>
                    <w:rPr>
                      <w:rFonts w:hint="default" w:ascii="Times New Roman" w:hAnsi="Times New Roman" w:eastAsia="宋体" w:cs="Times New Roman"/>
                      <w:b w:val="0"/>
                      <w:bCs w:val="0"/>
                      <w:color w:val="auto"/>
                      <w:spacing w:val="-1"/>
                      <w:kern w:val="2"/>
                      <w:sz w:val="21"/>
                      <w:szCs w:val="21"/>
                      <w:lang w:val="en-US" w:eastAsia="zh-CN" w:bidi="ar-SA"/>
                    </w:rPr>
                  </w:pPr>
                  <w:r>
                    <w:rPr>
                      <w:rFonts w:hint="default" w:ascii="Times New Roman" w:hAnsi="Times New Roman" w:eastAsia="宋体" w:cs="Times New Roman"/>
                      <w:b w:val="0"/>
                      <w:bCs w:val="0"/>
                      <w:color w:val="auto"/>
                      <w:spacing w:val="-1"/>
                      <w:sz w:val="21"/>
                      <w:szCs w:val="21"/>
                    </w:rPr>
                    <w:t>夯实机</w:t>
                  </w:r>
                </w:p>
              </w:tc>
              <w:tc>
                <w:tcPr>
                  <w:tcW w:w="2399" w:type="dxa"/>
                  <w:shd w:val="clear" w:color="auto" w:fill="auto"/>
                  <w:vAlign w:val="top"/>
                </w:tcPr>
                <w:p w14:paraId="3F2FD5EB">
                  <w:pPr>
                    <w:spacing w:before="70" w:line="187" w:lineRule="auto"/>
                    <w:ind w:left="1141" w:leftChars="0"/>
                    <w:rPr>
                      <w:rFonts w:hint="default" w:ascii="Times New Roman" w:hAnsi="Times New Roman" w:eastAsia="Times New Roman" w:cs="Times New Roman"/>
                      <w:b w:val="0"/>
                      <w:bCs w:val="0"/>
                      <w:color w:val="auto"/>
                      <w:spacing w:val="-6"/>
                      <w:kern w:val="2"/>
                      <w:sz w:val="21"/>
                      <w:szCs w:val="21"/>
                      <w:lang w:val="en-US" w:eastAsia="zh-CN" w:bidi="ar-SA"/>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4"/>
                      <w:sz w:val="21"/>
                      <w:szCs w:val="21"/>
                    </w:rPr>
                    <w:t>m</w:t>
                  </w:r>
                </w:p>
              </w:tc>
              <w:tc>
                <w:tcPr>
                  <w:tcW w:w="2410" w:type="dxa"/>
                  <w:shd w:val="clear" w:color="auto" w:fill="auto"/>
                  <w:vAlign w:val="top"/>
                </w:tcPr>
                <w:p w14:paraId="5A96F27E">
                  <w:pPr>
                    <w:spacing w:before="70" w:line="187" w:lineRule="auto"/>
                    <w:jc w:val="center"/>
                    <w:rPr>
                      <w:rFonts w:hint="default" w:ascii="Times New Roman" w:hAnsi="Times New Roman" w:eastAsia="宋体" w:cs="Times New Roman"/>
                      <w:b w:val="0"/>
                      <w:bCs w:val="0"/>
                      <w:color w:val="auto"/>
                      <w:spacing w:val="-2"/>
                      <w:kern w:val="2"/>
                      <w:sz w:val="21"/>
                      <w:szCs w:val="21"/>
                      <w:lang w:val="en-US" w:eastAsia="zh-CN" w:bidi="ar-SA"/>
                    </w:rPr>
                  </w:pPr>
                  <w:r>
                    <w:rPr>
                      <w:rFonts w:hint="eastAsia" w:ascii="Times New Roman" w:hAnsi="Times New Roman" w:eastAsia="宋体" w:cs="Times New Roman"/>
                      <w:b w:val="0"/>
                      <w:bCs w:val="0"/>
                      <w:color w:val="auto"/>
                      <w:spacing w:val="-2"/>
                      <w:sz w:val="21"/>
                      <w:szCs w:val="21"/>
                      <w:lang w:val="en-US" w:eastAsia="zh-CN"/>
                    </w:rPr>
                    <w:t>100</w:t>
                  </w:r>
                </w:p>
              </w:tc>
            </w:tr>
            <w:tr w14:paraId="73EE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1216" w:type="dxa"/>
                  <w:vAlign w:val="top"/>
                </w:tcPr>
                <w:p w14:paraId="3966C5CC">
                  <w:pPr>
                    <w:spacing w:before="70" w:line="187" w:lineRule="auto"/>
                    <w:ind w:left="594"/>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3</w:t>
                  </w:r>
                </w:p>
              </w:tc>
              <w:tc>
                <w:tcPr>
                  <w:tcW w:w="2281" w:type="dxa"/>
                  <w:shd w:val="clear" w:color="auto" w:fill="auto"/>
                  <w:vAlign w:val="top"/>
                </w:tcPr>
                <w:p w14:paraId="34EC7A6B">
                  <w:pPr>
                    <w:spacing w:before="33" w:line="215"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10"/>
                      <w:sz w:val="21"/>
                      <w:szCs w:val="21"/>
                    </w:rPr>
                    <w:t>自卸汽车</w:t>
                  </w:r>
                </w:p>
              </w:tc>
              <w:tc>
                <w:tcPr>
                  <w:tcW w:w="2399" w:type="dxa"/>
                  <w:shd w:val="clear" w:color="auto" w:fill="auto"/>
                  <w:vAlign w:val="top"/>
                </w:tcPr>
                <w:p w14:paraId="4B42416E">
                  <w:pPr>
                    <w:spacing w:before="72" w:line="187" w:lineRule="auto"/>
                    <w:ind w:left="1141" w:leftChars="0"/>
                    <w:rPr>
                      <w:rFonts w:hint="default" w:ascii="Times New Roman" w:hAnsi="Times New Roman" w:eastAsia="Times New Roman" w:cs="Times New Roman"/>
                      <w:b w:val="0"/>
                      <w:bCs w:val="0"/>
                      <w:color w:val="auto"/>
                      <w:kern w:val="2"/>
                      <w:sz w:val="21"/>
                      <w:szCs w:val="21"/>
                      <w:lang w:val="en-US" w:eastAsia="zh-CN" w:bidi="ar-SA"/>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4"/>
                      <w:sz w:val="21"/>
                      <w:szCs w:val="21"/>
                    </w:rPr>
                    <w:t>m</w:t>
                  </w:r>
                </w:p>
              </w:tc>
              <w:tc>
                <w:tcPr>
                  <w:tcW w:w="2410" w:type="dxa"/>
                  <w:shd w:val="clear" w:color="auto" w:fill="auto"/>
                  <w:vAlign w:val="top"/>
                </w:tcPr>
                <w:p w14:paraId="77B74939">
                  <w:pPr>
                    <w:spacing w:before="72" w:line="187" w:lineRule="auto"/>
                    <w:jc w:val="center"/>
                    <w:rPr>
                      <w:rFonts w:hint="default" w:ascii="Times New Roman" w:hAnsi="Times New Roman" w:eastAsia="Times New Roman" w:cs="Times New Roman"/>
                      <w:b w:val="0"/>
                      <w:bCs w:val="0"/>
                      <w:color w:val="auto"/>
                      <w:kern w:val="2"/>
                      <w:sz w:val="21"/>
                      <w:szCs w:val="21"/>
                      <w:lang w:val="en-US" w:eastAsia="zh-CN" w:bidi="ar-SA"/>
                    </w:rPr>
                  </w:pPr>
                  <w:r>
                    <w:rPr>
                      <w:rFonts w:hint="default" w:ascii="Times New Roman" w:hAnsi="Times New Roman" w:eastAsia="Times New Roman" w:cs="Times New Roman"/>
                      <w:b w:val="0"/>
                      <w:bCs w:val="0"/>
                      <w:color w:val="auto"/>
                      <w:spacing w:val="-2"/>
                      <w:sz w:val="21"/>
                      <w:szCs w:val="21"/>
                    </w:rPr>
                    <w:t>90</w:t>
                  </w:r>
                </w:p>
              </w:tc>
            </w:tr>
            <w:tr w14:paraId="7AB8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1216" w:type="dxa"/>
                  <w:vAlign w:val="top"/>
                </w:tcPr>
                <w:p w14:paraId="2B268598">
                  <w:pPr>
                    <w:spacing w:before="72" w:line="187" w:lineRule="auto"/>
                    <w:ind w:left="593"/>
                    <w:rPr>
                      <w:rFonts w:hint="default" w:ascii="Times New Roman" w:hAnsi="Times New Roman" w:eastAsia="Times New Roman" w:cs="Times New Roman"/>
                      <w:b w:val="0"/>
                      <w:bCs w:val="0"/>
                      <w:color w:val="auto"/>
                      <w:sz w:val="21"/>
                      <w:szCs w:val="21"/>
                    </w:rPr>
                  </w:pPr>
                  <w:r>
                    <w:rPr>
                      <w:rFonts w:hint="default" w:ascii="Times New Roman" w:hAnsi="Times New Roman" w:eastAsia="Times New Roman" w:cs="Times New Roman"/>
                      <w:b w:val="0"/>
                      <w:bCs w:val="0"/>
                      <w:color w:val="auto"/>
                      <w:sz w:val="21"/>
                      <w:szCs w:val="21"/>
                    </w:rPr>
                    <w:t>4</w:t>
                  </w:r>
                </w:p>
              </w:tc>
              <w:tc>
                <w:tcPr>
                  <w:tcW w:w="2281" w:type="dxa"/>
                  <w:shd w:val="clear" w:color="auto" w:fill="auto"/>
                  <w:vAlign w:val="top"/>
                </w:tcPr>
                <w:p w14:paraId="22E78D96">
                  <w:pPr>
                    <w:spacing w:before="33" w:line="215" w:lineRule="auto"/>
                    <w:jc w:val="center"/>
                    <w:rPr>
                      <w:rFonts w:hint="default" w:ascii="Times New Roman" w:hAnsi="Times New Roman" w:eastAsia="宋体" w:cs="Times New Roman"/>
                      <w:b w:val="0"/>
                      <w:bCs w:val="0"/>
                      <w:color w:val="auto"/>
                      <w:spacing w:val="-10"/>
                      <w:kern w:val="2"/>
                      <w:sz w:val="21"/>
                      <w:szCs w:val="21"/>
                      <w:lang w:val="en-US" w:eastAsia="zh-CN" w:bidi="ar-SA"/>
                    </w:rPr>
                  </w:pPr>
                  <w:r>
                    <w:rPr>
                      <w:rFonts w:hint="default" w:ascii="Times New Roman" w:hAnsi="Times New Roman" w:cs="Times New Roman"/>
                      <w:u w:val="none"/>
                    </w:rPr>
                    <w:t>振动器</w:t>
                  </w:r>
                </w:p>
              </w:tc>
              <w:tc>
                <w:tcPr>
                  <w:tcW w:w="2399" w:type="dxa"/>
                  <w:shd w:val="clear" w:color="auto" w:fill="auto"/>
                  <w:vAlign w:val="top"/>
                </w:tcPr>
                <w:p w14:paraId="5A57AC07">
                  <w:pPr>
                    <w:spacing w:before="72" w:line="187" w:lineRule="auto"/>
                    <w:ind w:left="1141" w:leftChars="0"/>
                    <w:rPr>
                      <w:rFonts w:hint="default" w:ascii="Times New Roman" w:hAnsi="Times New Roman" w:eastAsia="Times New Roman" w:cs="Times New Roman"/>
                      <w:b w:val="0"/>
                      <w:bCs w:val="0"/>
                      <w:color w:val="auto"/>
                      <w:spacing w:val="-6"/>
                      <w:kern w:val="2"/>
                      <w:sz w:val="21"/>
                      <w:szCs w:val="21"/>
                      <w:lang w:val="en-US" w:eastAsia="zh-CN" w:bidi="ar-SA"/>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4"/>
                      <w:sz w:val="21"/>
                      <w:szCs w:val="21"/>
                    </w:rPr>
                    <w:t>m</w:t>
                  </w:r>
                </w:p>
              </w:tc>
              <w:tc>
                <w:tcPr>
                  <w:tcW w:w="2410" w:type="dxa"/>
                  <w:shd w:val="clear" w:color="auto" w:fill="auto"/>
                  <w:vAlign w:val="top"/>
                </w:tcPr>
                <w:p w14:paraId="01E277D1">
                  <w:pPr>
                    <w:spacing w:before="72" w:line="187" w:lineRule="auto"/>
                    <w:jc w:val="center"/>
                    <w:rPr>
                      <w:rFonts w:hint="default" w:ascii="Times New Roman" w:hAnsi="Times New Roman" w:eastAsia="宋体" w:cs="Times New Roman"/>
                      <w:b w:val="0"/>
                      <w:bCs w:val="0"/>
                      <w:color w:val="auto"/>
                      <w:spacing w:val="-2"/>
                      <w:kern w:val="2"/>
                      <w:sz w:val="21"/>
                      <w:szCs w:val="21"/>
                      <w:lang w:val="en-US" w:eastAsia="zh-CN" w:bidi="ar-SA"/>
                    </w:rPr>
                  </w:pPr>
                  <w:r>
                    <w:rPr>
                      <w:rFonts w:hint="eastAsia" w:ascii="Times New Roman" w:hAnsi="Times New Roman" w:eastAsia="宋体" w:cs="Times New Roman"/>
                      <w:b w:val="0"/>
                      <w:bCs w:val="0"/>
                      <w:color w:val="auto"/>
                      <w:spacing w:val="-2"/>
                      <w:sz w:val="21"/>
                      <w:szCs w:val="21"/>
                      <w:lang w:val="en-US" w:eastAsia="zh-CN"/>
                    </w:rPr>
                    <w:t>100</w:t>
                  </w:r>
                </w:p>
              </w:tc>
            </w:tr>
            <w:tr w14:paraId="2899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1216" w:type="dxa"/>
                  <w:vAlign w:val="top"/>
                </w:tcPr>
                <w:p w14:paraId="253EDB8E">
                  <w:pPr>
                    <w:spacing w:before="72" w:line="187" w:lineRule="auto"/>
                    <w:ind w:left="593"/>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5</w:t>
                  </w:r>
                </w:p>
              </w:tc>
              <w:tc>
                <w:tcPr>
                  <w:tcW w:w="2281" w:type="dxa"/>
                  <w:shd w:val="clear" w:color="auto" w:fill="auto"/>
                  <w:vAlign w:val="top"/>
                </w:tcPr>
                <w:p w14:paraId="3D0B999C">
                  <w:pPr>
                    <w:spacing w:before="33" w:line="215" w:lineRule="auto"/>
                    <w:jc w:val="center"/>
                    <w:rPr>
                      <w:rFonts w:hint="default" w:ascii="Times New Roman" w:hAnsi="Times New Roman" w:cs="Times New Roman" w:eastAsiaTheme="minorEastAsia"/>
                      <w:kern w:val="2"/>
                      <w:sz w:val="21"/>
                      <w:szCs w:val="22"/>
                      <w:u w:val="none"/>
                      <w:lang w:val="en-US" w:eastAsia="zh-CN" w:bidi="ar-SA"/>
                    </w:rPr>
                  </w:pPr>
                  <w:r>
                    <w:rPr>
                      <w:rFonts w:hint="eastAsia" w:ascii="Times New Roman" w:hAnsi="Times New Roman" w:cs="Times New Roman"/>
                      <w:u w:val="none"/>
                      <w:lang w:val="en-US" w:eastAsia="zh-CN"/>
                    </w:rPr>
                    <w:t>卷扬</w:t>
                  </w:r>
                  <w:r>
                    <w:rPr>
                      <w:rFonts w:hint="default" w:ascii="Times New Roman" w:hAnsi="Times New Roman" w:cs="Times New Roman"/>
                      <w:u w:val="none"/>
                    </w:rPr>
                    <w:t>机</w:t>
                  </w:r>
                </w:p>
              </w:tc>
              <w:tc>
                <w:tcPr>
                  <w:tcW w:w="2399" w:type="dxa"/>
                  <w:shd w:val="clear" w:color="auto" w:fill="auto"/>
                  <w:vAlign w:val="top"/>
                </w:tcPr>
                <w:p w14:paraId="4378223B">
                  <w:pPr>
                    <w:spacing w:before="72" w:line="187" w:lineRule="auto"/>
                    <w:ind w:left="1141" w:leftChars="0"/>
                    <w:rPr>
                      <w:rFonts w:hint="default" w:ascii="Times New Roman" w:hAnsi="Times New Roman" w:eastAsia="Times New Roman" w:cs="Times New Roman"/>
                      <w:b w:val="0"/>
                      <w:bCs w:val="0"/>
                      <w:color w:val="auto"/>
                      <w:spacing w:val="-6"/>
                      <w:kern w:val="2"/>
                      <w:sz w:val="21"/>
                      <w:szCs w:val="21"/>
                      <w:lang w:val="en-US" w:eastAsia="zh-CN" w:bidi="ar-SA"/>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4"/>
                      <w:sz w:val="21"/>
                      <w:szCs w:val="21"/>
                    </w:rPr>
                    <w:t>m</w:t>
                  </w:r>
                </w:p>
              </w:tc>
              <w:tc>
                <w:tcPr>
                  <w:tcW w:w="2410" w:type="dxa"/>
                  <w:shd w:val="clear" w:color="auto" w:fill="auto"/>
                  <w:vAlign w:val="top"/>
                </w:tcPr>
                <w:p w14:paraId="20640E1C">
                  <w:pPr>
                    <w:spacing w:before="72" w:line="187" w:lineRule="auto"/>
                    <w:jc w:val="center"/>
                    <w:rPr>
                      <w:rFonts w:hint="default" w:ascii="Times New Roman" w:hAnsi="Times New Roman" w:eastAsia="宋体" w:cs="Times New Roman"/>
                      <w:b w:val="0"/>
                      <w:bCs w:val="0"/>
                      <w:color w:val="auto"/>
                      <w:spacing w:val="-2"/>
                      <w:kern w:val="2"/>
                      <w:sz w:val="21"/>
                      <w:szCs w:val="21"/>
                      <w:lang w:val="en-US" w:eastAsia="zh-CN" w:bidi="ar-SA"/>
                    </w:rPr>
                  </w:pPr>
                  <w:r>
                    <w:rPr>
                      <w:rFonts w:hint="eastAsia" w:ascii="Times New Roman" w:hAnsi="Times New Roman" w:eastAsia="宋体" w:cs="Times New Roman"/>
                      <w:b w:val="0"/>
                      <w:bCs w:val="0"/>
                      <w:color w:val="auto"/>
                      <w:spacing w:val="-2"/>
                      <w:sz w:val="21"/>
                      <w:szCs w:val="21"/>
                      <w:lang w:val="en-US" w:eastAsia="zh-CN"/>
                    </w:rPr>
                    <w:t>95</w:t>
                  </w:r>
                </w:p>
              </w:tc>
            </w:tr>
            <w:tr w14:paraId="3880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1216" w:type="dxa"/>
                  <w:vAlign w:val="top"/>
                </w:tcPr>
                <w:p w14:paraId="0757DD31">
                  <w:pPr>
                    <w:spacing w:before="72" w:line="187" w:lineRule="auto"/>
                    <w:ind w:left="593"/>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6</w:t>
                  </w:r>
                </w:p>
              </w:tc>
              <w:tc>
                <w:tcPr>
                  <w:tcW w:w="2281" w:type="dxa"/>
                  <w:shd w:val="clear" w:color="auto" w:fill="auto"/>
                  <w:vAlign w:val="top"/>
                </w:tcPr>
                <w:p w14:paraId="4B29F1D3">
                  <w:pPr>
                    <w:spacing w:before="33" w:line="215" w:lineRule="auto"/>
                    <w:jc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cs="Times New Roman"/>
                      <w:u w:val="none"/>
                    </w:rPr>
                    <w:t>载重汽车</w:t>
                  </w:r>
                </w:p>
              </w:tc>
              <w:tc>
                <w:tcPr>
                  <w:tcW w:w="2399" w:type="dxa"/>
                  <w:shd w:val="clear" w:color="auto" w:fill="auto"/>
                  <w:vAlign w:val="top"/>
                </w:tcPr>
                <w:p w14:paraId="2596977E">
                  <w:pPr>
                    <w:spacing w:before="72" w:line="187" w:lineRule="auto"/>
                    <w:ind w:left="1141" w:leftChars="0"/>
                    <w:rPr>
                      <w:rFonts w:hint="default" w:ascii="Times New Roman" w:hAnsi="Times New Roman" w:eastAsia="Times New Roman" w:cs="Times New Roman"/>
                      <w:b w:val="0"/>
                      <w:bCs w:val="0"/>
                      <w:color w:val="auto"/>
                      <w:spacing w:val="-6"/>
                      <w:kern w:val="2"/>
                      <w:sz w:val="21"/>
                      <w:szCs w:val="21"/>
                      <w:lang w:val="en-US" w:eastAsia="zh-CN" w:bidi="ar-SA"/>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4"/>
                      <w:sz w:val="21"/>
                      <w:szCs w:val="21"/>
                    </w:rPr>
                    <w:t>m</w:t>
                  </w:r>
                </w:p>
              </w:tc>
              <w:tc>
                <w:tcPr>
                  <w:tcW w:w="2410" w:type="dxa"/>
                  <w:shd w:val="clear" w:color="auto" w:fill="auto"/>
                  <w:vAlign w:val="top"/>
                </w:tcPr>
                <w:p w14:paraId="46E002E1">
                  <w:pPr>
                    <w:spacing w:before="72" w:line="187" w:lineRule="auto"/>
                    <w:jc w:val="center"/>
                    <w:rPr>
                      <w:rFonts w:hint="default" w:ascii="Times New Roman" w:hAnsi="Times New Roman" w:eastAsia="宋体" w:cs="Times New Roman"/>
                      <w:b w:val="0"/>
                      <w:bCs w:val="0"/>
                      <w:color w:val="auto"/>
                      <w:spacing w:val="-2"/>
                      <w:kern w:val="2"/>
                      <w:sz w:val="21"/>
                      <w:szCs w:val="21"/>
                      <w:lang w:val="en-US" w:eastAsia="zh-CN" w:bidi="ar-SA"/>
                    </w:rPr>
                  </w:pPr>
                  <w:r>
                    <w:rPr>
                      <w:rFonts w:hint="eastAsia" w:ascii="Times New Roman" w:hAnsi="Times New Roman" w:eastAsia="宋体" w:cs="Times New Roman"/>
                      <w:b w:val="0"/>
                      <w:bCs w:val="0"/>
                      <w:color w:val="auto"/>
                      <w:spacing w:val="-2"/>
                      <w:sz w:val="21"/>
                      <w:szCs w:val="21"/>
                      <w:lang w:val="en-US" w:eastAsia="zh-CN"/>
                    </w:rPr>
                    <w:t>90</w:t>
                  </w:r>
                </w:p>
              </w:tc>
            </w:tr>
            <w:tr w14:paraId="56AE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1216" w:type="dxa"/>
                  <w:vAlign w:val="top"/>
                </w:tcPr>
                <w:p w14:paraId="1E956BAF">
                  <w:pPr>
                    <w:spacing w:before="72" w:line="187" w:lineRule="auto"/>
                    <w:ind w:left="593"/>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7</w:t>
                  </w:r>
                </w:p>
              </w:tc>
              <w:tc>
                <w:tcPr>
                  <w:tcW w:w="2281" w:type="dxa"/>
                  <w:shd w:val="clear" w:color="auto" w:fill="auto"/>
                  <w:vAlign w:val="top"/>
                </w:tcPr>
                <w:p w14:paraId="2A8B9E6C">
                  <w:pPr>
                    <w:spacing w:before="33" w:line="215" w:lineRule="auto"/>
                    <w:jc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cs="Times New Roman"/>
                      <w:u w:val="none"/>
                    </w:rPr>
                    <w:t>推土机</w:t>
                  </w:r>
                </w:p>
              </w:tc>
              <w:tc>
                <w:tcPr>
                  <w:tcW w:w="2399" w:type="dxa"/>
                  <w:shd w:val="clear" w:color="auto" w:fill="auto"/>
                  <w:vAlign w:val="top"/>
                </w:tcPr>
                <w:p w14:paraId="53445AF9">
                  <w:pPr>
                    <w:spacing w:before="72" w:line="187" w:lineRule="auto"/>
                    <w:ind w:left="1141" w:leftChars="0"/>
                    <w:rPr>
                      <w:rFonts w:hint="default" w:ascii="Times New Roman" w:hAnsi="Times New Roman" w:eastAsia="Times New Roman" w:cs="Times New Roman"/>
                      <w:b w:val="0"/>
                      <w:bCs w:val="0"/>
                      <w:color w:val="auto"/>
                      <w:spacing w:val="-6"/>
                      <w:kern w:val="2"/>
                      <w:sz w:val="21"/>
                      <w:szCs w:val="21"/>
                      <w:lang w:val="en-US" w:eastAsia="zh-CN" w:bidi="ar-SA"/>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4"/>
                      <w:sz w:val="21"/>
                      <w:szCs w:val="21"/>
                    </w:rPr>
                    <w:t>m</w:t>
                  </w:r>
                </w:p>
              </w:tc>
              <w:tc>
                <w:tcPr>
                  <w:tcW w:w="2410" w:type="dxa"/>
                  <w:shd w:val="clear" w:color="auto" w:fill="auto"/>
                  <w:vAlign w:val="top"/>
                </w:tcPr>
                <w:p w14:paraId="59BA800A">
                  <w:pPr>
                    <w:spacing w:before="72" w:line="187" w:lineRule="auto"/>
                    <w:jc w:val="center"/>
                    <w:rPr>
                      <w:rFonts w:hint="default" w:ascii="Times New Roman" w:hAnsi="Times New Roman" w:eastAsia="宋体" w:cs="Times New Roman"/>
                      <w:b w:val="0"/>
                      <w:bCs w:val="0"/>
                      <w:color w:val="auto"/>
                      <w:spacing w:val="-2"/>
                      <w:kern w:val="2"/>
                      <w:sz w:val="21"/>
                      <w:szCs w:val="21"/>
                      <w:lang w:val="en-US" w:eastAsia="zh-CN" w:bidi="ar-SA"/>
                    </w:rPr>
                  </w:pPr>
                  <w:r>
                    <w:rPr>
                      <w:rFonts w:hint="eastAsia" w:ascii="Times New Roman" w:hAnsi="Times New Roman" w:eastAsia="宋体" w:cs="Times New Roman"/>
                      <w:b w:val="0"/>
                      <w:bCs w:val="0"/>
                      <w:color w:val="auto"/>
                      <w:spacing w:val="-2"/>
                      <w:sz w:val="21"/>
                      <w:szCs w:val="21"/>
                      <w:lang w:val="en-US" w:eastAsia="zh-CN"/>
                    </w:rPr>
                    <w:t>90</w:t>
                  </w:r>
                </w:p>
              </w:tc>
            </w:tr>
            <w:tr w14:paraId="5ED1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1216" w:type="dxa"/>
                  <w:vAlign w:val="top"/>
                </w:tcPr>
                <w:p w14:paraId="2FB307D8">
                  <w:pPr>
                    <w:spacing w:before="72" w:line="187" w:lineRule="auto"/>
                    <w:ind w:left="593"/>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8</w:t>
                  </w:r>
                </w:p>
              </w:tc>
              <w:tc>
                <w:tcPr>
                  <w:tcW w:w="2281" w:type="dxa"/>
                  <w:shd w:val="clear" w:color="auto" w:fill="auto"/>
                  <w:vAlign w:val="center"/>
                </w:tcPr>
                <w:p w14:paraId="3B22B6A2">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eastAsia" w:ascii="Times New Roman" w:hAnsi="Times New Roman" w:cs="Times New Roman"/>
                      <w:u w:val="none"/>
                      <w:lang w:val="en-US" w:eastAsia="zh-CN"/>
                    </w:rPr>
                    <w:t>起重</w:t>
                  </w:r>
                  <w:r>
                    <w:rPr>
                      <w:rFonts w:hint="default" w:ascii="Times New Roman" w:hAnsi="Times New Roman" w:cs="Times New Roman"/>
                      <w:u w:val="none"/>
                      <w:lang w:val="en-US" w:eastAsia="zh-CN"/>
                    </w:rPr>
                    <w:t>机</w:t>
                  </w:r>
                </w:p>
              </w:tc>
              <w:tc>
                <w:tcPr>
                  <w:tcW w:w="2399" w:type="dxa"/>
                  <w:shd w:val="clear" w:color="auto" w:fill="auto"/>
                  <w:vAlign w:val="top"/>
                </w:tcPr>
                <w:p w14:paraId="7EDC802E">
                  <w:pPr>
                    <w:spacing w:before="72" w:line="187" w:lineRule="auto"/>
                    <w:ind w:left="1141" w:leftChars="0"/>
                    <w:rPr>
                      <w:rFonts w:hint="default" w:ascii="Times New Roman" w:hAnsi="Times New Roman" w:eastAsia="Times New Roman" w:cs="Times New Roman"/>
                      <w:b w:val="0"/>
                      <w:bCs w:val="0"/>
                      <w:color w:val="auto"/>
                      <w:spacing w:val="-6"/>
                      <w:kern w:val="2"/>
                      <w:sz w:val="21"/>
                      <w:szCs w:val="21"/>
                      <w:lang w:val="en-US" w:eastAsia="zh-CN" w:bidi="ar-SA"/>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4"/>
                      <w:sz w:val="21"/>
                      <w:szCs w:val="21"/>
                    </w:rPr>
                    <w:t>m</w:t>
                  </w:r>
                </w:p>
              </w:tc>
              <w:tc>
                <w:tcPr>
                  <w:tcW w:w="2410" w:type="dxa"/>
                  <w:shd w:val="clear" w:color="auto" w:fill="auto"/>
                  <w:vAlign w:val="top"/>
                </w:tcPr>
                <w:p w14:paraId="652F0858">
                  <w:pPr>
                    <w:spacing w:before="72" w:line="187" w:lineRule="auto"/>
                    <w:jc w:val="center"/>
                    <w:rPr>
                      <w:rFonts w:hint="default" w:ascii="Times New Roman" w:hAnsi="Times New Roman" w:eastAsia="宋体" w:cs="Times New Roman"/>
                      <w:b w:val="0"/>
                      <w:bCs w:val="0"/>
                      <w:color w:val="auto"/>
                      <w:spacing w:val="-2"/>
                      <w:kern w:val="2"/>
                      <w:sz w:val="21"/>
                      <w:szCs w:val="21"/>
                      <w:lang w:val="en-US" w:eastAsia="zh-CN" w:bidi="ar-SA"/>
                    </w:rPr>
                  </w:pPr>
                  <w:r>
                    <w:rPr>
                      <w:rFonts w:hint="eastAsia" w:ascii="Times New Roman" w:hAnsi="Times New Roman" w:eastAsia="宋体" w:cs="Times New Roman"/>
                      <w:b w:val="0"/>
                      <w:bCs w:val="0"/>
                      <w:color w:val="auto"/>
                      <w:spacing w:val="-2"/>
                      <w:sz w:val="21"/>
                      <w:szCs w:val="21"/>
                      <w:lang w:val="en-US" w:eastAsia="zh-CN"/>
                    </w:rPr>
                    <w:t>90</w:t>
                  </w:r>
                </w:p>
              </w:tc>
            </w:tr>
            <w:tr w14:paraId="4B6E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1216" w:type="dxa"/>
                  <w:vAlign w:val="top"/>
                </w:tcPr>
                <w:p w14:paraId="5BE251B5">
                  <w:pPr>
                    <w:spacing w:before="72" w:line="187" w:lineRule="auto"/>
                    <w:ind w:left="593"/>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9</w:t>
                  </w:r>
                </w:p>
              </w:tc>
              <w:tc>
                <w:tcPr>
                  <w:tcW w:w="2281" w:type="dxa"/>
                  <w:shd w:val="clear" w:color="auto" w:fill="auto"/>
                  <w:vAlign w:val="center"/>
                </w:tcPr>
                <w:p w14:paraId="009FC8CF">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拖拉机</w:t>
                  </w:r>
                </w:p>
              </w:tc>
              <w:tc>
                <w:tcPr>
                  <w:tcW w:w="2399" w:type="dxa"/>
                  <w:shd w:val="clear" w:color="auto" w:fill="auto"/>
                  <w:vAlign w:val="top"/>
                </w:tcPr>
                <w:p w14:paraId="2C36DE18">
                  <w:pPr>
                    <w:spacing w:before="72" w:line="187" w:lineRule="auto"/>
                    <w:ind w:left="1141" w:leftChars="0"/>
                    <w:rPr>
                      <w:rFonts w:hint="default" w:ascii="Times New Roman" w:hAnsi="Times New Roman" w:eastAsia="Times New Roman" w:cs="Times New Roman"/>
                      <w:b w:val="0"/>
                      <w:bCs w:val="0"/>
                      <w:color w:val="auto"/>
                      <w:spacing w:val="-6"/>
                      <w:kern w:val="2"/>
                      <w:sz w:val="21"/>
                      <w:szCs w:val="21"/>
                      <w:lang w:val="en-US" w:eastAsia="zh-CN" w:bidi="ar-SA"/>
                    </w:rPr>
                  </w:pPr>
                  <w:r>
                    <w:rPr>
                      <w:rFonts w:hint="default" w:ascii="Times New Roman" w:hAnsi="Times New Roman" w:eastAsia="Times New Roman" w:cs="Times New Roman"/>
                      <w:b w:val="0"/>
                      <w:bCs w:val="0"/>
                      <w:color w:val="auto"/>
                      <w:spacing w:val="-6"/>
                      <w:sz w:val="21"/>
                      <w:szCs w:val="21"/>
                    </w:rPr>
                    <w:t>1</w:t>
                  </w:r>
                  <w:r>
                    <w:rPr>
                      <w:rFonts w:hint="default" w:ascii="Times New Roman" w:hAnsi="Times New Roman" w:eastAsia="Times New Roman" w:cs="Times New Roman"/>
                      <w:b w:val="0"/>
                      <w:bCs w:val="0"/>
                      <w:color w:val="auto"/>
                      <w:spacing w:val="-4"/>
                      <w:sz w:val="21"/>
                      <w:szCs w:val="21"/>
                    </w:rPr>
                    <w:t>m</w:t>
                  </w:r>
                </w:p>
              </w:tc>
              <w:tc>
                <w:tcPr>
                  <w:tcW w:w="2410" w:type="dxa"/>
                  <w:shd w:val="clear" w:color="auto" w:fill="auto"/>
                  <w:vAlign w:val="top"/>
                </w:tcPr>
                <w:p w14:paraId="0D7C1163">
                  <w:pPr>
                    <w:spacing w:before="72" w:line="187" w:lineRule="auto"/>
                    <w:jc w:val="center"/>
                    <w:rPr>
                      <w:rFonts w:hint="eastAsia" w:ascii="Times New Roman" w:hAnsi="Times New Roman" w:eastAsia="宋体" w:cs="Times New Roman"/>
                      <w:b w:val="0"/>
                      <w:bCs w:val="0"/>
                      <w:color w:val="auto"/>
                      <w:spacing w:val="-2"/>
                      <w:kern w:val="2"/>
                      <w:sz w:val="21"/>
                      <w:szCs w:val="21"/>
                      <w:lang w:val="en-US" w:eastAsia="zh-CN" w:bidi="ar-SA"/>
                    </w:rPr>
                  </w:pPr>
                  <w:r>
                    <w:rPr>
                      <w:rFonts w:hint="eastAsia" w:ascii="Times New Roman" w:hAnsi="Times New Roman" w:eastAsia="宋体" w:cs="Times New Roman"/>
                      <w:b w:val="0"/>
                      <w:bCs w:val="0"/>
                      <w:color w:val="auto"/>
                      <w:spacing w:val="-2"/>
                      <w:sz w:val="21"/>
                      <w:szCs w:val="21"/>
                      <w:lang w:val="en-US" w:eastAsia="zh-CN"/>
                    </w:rPr>
                    <w:t>90</w:t>
                  </w:r>
                </w:p>
              </w:tc>
            </w:tr>
          </w:tbl>
          <w:p w14:paraId="7D8BB4E6">
            <w:pPr>
              <w:spacing w:afterAutospacing="0" w:line="480" w:lineRule="exact"/>
              <w:ind w:firstLine="480" w:firstLineChars="200"/>
              <w:rPr>
                <w:rFonts w:hint="eastAsia"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评价根据《环境影响评价技术导则 声环境》（HJ</w:t>
            </w:r>
            <w:r>
              <w:rPr>
                <w:rFonts w:hint="eastAsia" w:cs="Times New Roman"/>
                <w:color w:val="000000"/>
                <w:sz w:val="24"/>
                <w:u w:val="none" w:color="auto"/>
                <w:lang w:val="en-US" w:eastAsia="zh-CN"/>
              </w:rPr>
              <w:t xml:space="preserve"> </w:t>
            </w:r>
            <w:r>
              <w:rPr>
                <w:rFonts w:hint="eastAsia" w:ascii="Times New Roman" w:hAnsi="Times New Roman" w:eastAsia="宋体" w:cs="Times New Roman"/>
                <w:color w:val="000000"/>
                <w:sz w:val="24"/>
                <w:u w:val="none" w:color="auto"/>
                <w:lang w:val="en-US" w:eastAsia="zh-CN"/>
              </w:rPr>
              <w:t>2.4-2021）分别采用不同的预测模式进行预测评价。</w:t>
            </w:r>
          </w:p>
          <w:p w14:paraId="4EE2FF42">
            <w:pPr>
              <w:spacing w:before="166" w:beforeLines="50" w:beforeAutospacing="0" w:line="360" w:lineRule="auto"/>
              <w:ind w:firstLine="480" w:firstLineChars="200"/>
              <w:rPr>
                <w:rFonts w:hint="eastAsia"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（1）固定源声环境影响分析</w:t>
            </w:r>
          </w:p>
          <w:p w14:paraId="4987248B">
            <w:pPr>
              <w:spacing w:line="360" w:lineRule="auto"/>
              <w:ind w:firstLine="480" w:firstLineChars="200"/>
              <w:rPr>
                <w:rFonts w:hint="eastAsia"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①预测模式</w:t>
            </w:r>
          </w:p>
          <w:p w14:paraId="390B2920">
            <w:pPr>
              <w:spacing w:line="360" w:lineRule="auto"/>
              <w:ind w:firstLine="480" w:firstLineChars="200"/>
              <w:rPr>
                <w:rFonts w:hint="eastAsia"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施工期固定点声源声环境影响预测，采用点声源衰减模式进行预测（本项目声源可视为处于半自由声场）。具体衰减公式如下：</w:t>
            </w:r>
          </w:p>
          <w:p w14:paraId="2939D159">
            <w:pPr>
              <w:spacing w:line="360" w:lineRule="auto"/>
              <w:jc w:val="center"/>
              <w:rPr>
                <w:rFonts w:hint="eastAsia"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LA(r)=LAw-20lgr-</w:t>
            </w:r>
            <w:r>
              <w:rPr>
                <w:rFonts w:hint="default" w:ascii="Times New Roman" w:hAnsi="Times New Roman" w:eastAsia="Times New Roman" w:cs="Times New Roman"/>
                <w:b w:val="0"/>
                <w:bCs w:val="0"/>
                <w:color w:val="auto"/>
                <w:spacing w:val="-11"/>
                <w:sz w:val="24"/>
                <w:szCs w:val="24"/>
              </w:rPr>
              <w:t>ΔL</w:t>
            </w:r>
          </w:p>
          <w:p w14:paraId="108EB9FD">
            <w:pPr>
              <w:spacing w:line="360" w:lineRule="auto"/>
              <w:ind w:firstLine="480" w:firstLineChars="200"/>
              <w:rPr>
                <w:rFonts w:hint="eastAsia"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式中：LA(r)——距声源r处的A声级，dB；</w:t>
            </w:r>
          </w:p>
          <w:p w14:paraId="2E0A359E">
            <w:pPr>
              <w:spacing w:line="360" w:lineRule="auto"/>
              <w:ind w:firstLine="1200" w:firstLineChars="500"/>
              <w:rPr>
                <w:rFonts w:hint="eastAsia"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LAw——点声源A计权声功率级，dB；</w:t>
            </w:r>
          </w:p>
          <w:p w14:paraId="1D176AA7">
            <w:pPr>
              <w:spacing w:line="360" w:lineRule="auto"/>
              <w:ind w:firstLine="1200" w:firstLineChars="500"/>
              <w:rPr>
                <w:rFonts w:hint="eastAsia"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r——预测点距声源的距离，m。</w:t>
            </w:r>
          </w:p>
          <w:p w14:paraId="2559502C">
            <w:pPr>
              <w:pStyle w:val="60"/>
              <w:spacing w:line="360" w:lineRule="auto"/>
              <w:ind w:firstLine="1076" w:firstLineChars="494"/>
              <w:rPr>
                <w:rFonts w:hint="eastAsia"/>
                <w:lang w:val="en-US" w:eastAsia="zh-CN"/>
              </w:rPr>
            </w:pPr>
            <w:r>
              <w:rPr>
                <w:rFonts w:hint="default" w:ascii="Times New Roman" w:hAnsi="Times New Roman" w:eastAsia="Times New Roman" w:cs="Times New Roman"/>
                <w:b w:val="0"/>
                <w:bCs w:val="0"/>
                <w:color w:val="auto"/>
                <w:spacing w:val="-11"/>
                <w:sz w:val="24"/>
                <w:szCs w:val="24"/>
              </w:rPr>
              <w:t>ΔL</w:t>
            </w:r>
            <w:r>
              <w:rPr>
                <w:rFonts w:hint="default" w:ascii="Times New Roman" w:hAnsi="Times New Roman" w:eastAsia="宋体" w:cs="Times New Roman"/>
                <w:b w:val="0"/>
                <w:bCs w:val="0"/>
                <w:color w:val="auto"/>
                <w:spacing w:val="-11"/>
                <w:sz w:val="24"/>
                <w:szCs w:val="24"/>
              </w:rPr>
              <w:t>为障碍物、植物等产生</w:t>
            </w:r>
            <w:r>
              <w:rPr>
                <w:rFonts w:hint="default" w:ascii="Times New Roman" w:hAnsi="Times New Roman" w:eastAsia="宋体" w:cs="Times New Roman"/>
                <w:b w:val="0"/>
                <w:bCs w:val="0"/>
                <w:color w:val="auto"/>
                <w:spacing w:val="-8"/>
                <w:sz w:val="24"/>
                <w:szCs w:val="24"/>
              </w:rPr>
              <w:t>的附加衰减量</w:t>
            </w:r>
          </w:p>
          <w:p w14:paraId="5D7F77B5">
            <w:pPr>
              <w:spacing w:afterAutospacing="0" w:line="480" w:lineRule="exact"/>
              <w:ind w:firstLine="480" w:firstLineChars="200"/>
              <w:rPr>
                <w:rFonts w:hint="eastAsia"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噪声叠加计算模式如下：</w:t>
            </w:r>
          </w:p>
          <w:p w14:paraId="60067AB5">
            <w:pPr>
              <w:spacing w:before="378" w:beforeLines="115" w:beforeAutospacing="0" w:line="480" w:lineRule="exact"/>
              <w:ind w:firstLine="420" w:firstLineChars="200"/>
              <w:jc w:val="center"/>
              <w:rPr>
                <w:rFonts w:hint="eastAsia" w:ascii="Times New Roman" w:hAnsi="Times New Roman" w:eastAsia="宋体" w:cs="Times New Roman"/>
                <w:color w:val="000000"/>
                <w:sz w:val="24"/>
                <w:u w:val="none" w:color="auto"/>
                <w:lang w:val="en-US" w:eastAsia="zh-CN"/>
              </w:rPr>
            </w:pPr>
            <w:r>
              <w:rPr>
                <w:u w:val="none" w:color="auto"/>
              </w:rPr>
              <w:drawing>
                <wp:inline distT="0" distB="0" distL="114300" distR="114300">
                  <wp:extent cx="1600200" cy="409575"/>
                  <wp:effectExtent l="0" t="0" r="0" b="9525"/>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12"/>
                          <a:stretch>
                            <a:fillRect/>
                          </a:stretch>
                        </pic:blipFill>
                        <pic:spPr>
                          <a:xfrm>
                            <a:off x="0" y="0"/>
                            <a:ext cx="1600200" cy="409575"/>
                          </a:xfrm>
                          <a:prstGeom prst="rect">
                            <a:avLst/>
                          </a:prstGeom>
                          <a:noFill/>
                          <a:ln>
                            <a:noFill/>
                          </a:ln>
                        </pic:spPr>
                      </pic:pic>
                    </a:graphicData>
                  </a:graphic>
                </wp:inline>
              </w:drawing>
            </w:r>
          </w:p>
          <w:p w14:paraId="52111330">
            <w:pPr>
              <w:spacing w:line="480" w:lineRule="exact"/>
              <w:ind w:firstLine="480" w:firstLineChars="200"/>
              <w:rPr>
                <w:rFonts w:hint="eastAsia"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式中：Leq (A)——等效连续A声级。</w:t>
            </w:r>
          </w:p>
          <w:p w14:paraId="6D8A23E5">
            <w:pPr>
              <w:spacing w:line="480" w:lineRule="exact"/>
              <w:ind w:firstLine="480" w:firstLineChars="200"/>
              <w:rPr>
                <w:rFonts w:hint="eastAsia"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②预测结果</w:t>
            </w:r>
          </w:p>
          <w:p w14:paraId="10A4AC31">
            <w:pPr>
              <w:spacing w:line="480" w:lineRule="exact"/>
              <w:ind w:firstLine="480" w:firstLineChars="200"/>
              <w:rPr>
                <w:rFonts w:hint="eastAsia"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按施工区内高噪声源设备机械集中布置考虑，固定声源噪声随距离衰减预测情况详见表4-3。</w:t>
            </w:r>
          </w:p>
          <w:p w14:paraId="21DA720D">
            <w:pPr>
              <w:keepNext w:val="0"/>
              <w:keepLines w:val="0"/>
              <w:widowControl/>
              <w:suppressLineNumbers w:val="0"/>
              <w:jc w:val="center"/>
              <w:rPr>
                <w:u w:val="none" w:color="auto"/>
              </w:rPr>
            </w:pPr>
            <w:r>
              <w:rPr>
                <w:rFonts w:hint="eastAsia" w:ascii="宋体" w:hAnsi="宋体" w:eastAsia="宋体" w:cs="宋体"/>
                <w:b/>
                <w:bCs/>
                <w:color w:val="000000"/>
                <w:kern w:val="0"/>
                <w:sz w:val="21"/>
                <w:szCs w:val="21"/>
                <w:u w:val="none" w:color="auto"/>
                <w:lang w:val="en-US" w:eastAsia="zh-CN" w:bidi="ar"/>
              </w:rPr>
              <w:t xml:space="preserve">表 </w:t>
            </w:r>
            <w:r>
              <w:rPr>
                <w:rFonts w:hint="default" w:ascii="Times New Roman" w:hAnsi="Times New Roman" w:eastAsia="宋体" w:cs="Times New Roman"/>
                <w:b/>
                <w:bCs/>
                <w:color w:val="000000"/>
                <w:kern w:val="0"/>
                <w:sz w:val="21"/>
                <w:szCs w:val="21"/>
                <w:u w:val="none" w:color="auto"/>
                <w:lang w:val="en-US" w:eastAsia="zh-CN" w:bidi="ar"/>
              </w:rPr>
              <w:t>4-</w:t>
            </w:r>
            <w:r>
              <w:rPr>
                <w:rFonts w:hint="eastAsia" w:ascii="Times New Roman" w:hAnsi="Times New Roman" w:eastAsia="宋体" w:cs="Times New Roman"/>
                <w:b/>
                <w:bCs/>
                <w:color w:val="000000"/>
                <w:kern w:val="0"/>
                <w:sz w:val="21"/>
                <w:szCs w:val="21"/>
                <w:u w:val="none" w:color="auto"/>
                <w:lang w:val="en-US" w:eastAsia="zh-CN" w:bidi="ar"/>
              </w:rPr>
              <w:t>3</w:t>
            </w:r>
            <w:r>
              <w:rPr>
                <w:rFonts w:hint="default" w:ascii="Times New Roman" w:hAnsi="Times New Roman" w:eastAsia="宋体" w:cs="Times New Roman"/>
                <w:b/>
                <w:bCs/>
                <w:color w:val="000000"/>
                <w:kern w:val="0"/>
                <w:sz w:val="21"/>
                <w:szCs w:val="21"/>
                <w:u w:val="none" w:color="auto"/>
                <w:lang w:val="en-US" w:eastAsia="zh-CN" w:bidi="ar"/>
              </w:rPr>
              <w:t xml:space="preserve"> </w:t>
            </w:r>
            <w:r>
              <w:rPr>
                <w:rFonts w:hint="eastAsia" w:ascii="宋体" w:hAnsi="宋体" w:eastAsia="宋体" w:cs="宋体"/>
                <w:b/>
                <w:bCs/>
                <w:color w:val="000000"/>
                <w:kern w:val="0"/>
                <w:sz w:val="21"/>
                <w:szCs w:val="21"/>
                <w:u w:val="none" w:color="auto"/>
                <w:lang w:val="en-US" w:eastAsia="zh-CN" w:bidi="ar"/>
              </w:rPr>
              <w:t>施工机械噪声影响预测（等效声级：</w:t>
            </w:r>
            <w:r>
              <w:rPr>
                <w:rFonts w:hint="default" w:ascii="Times New Roman" w:hAnsi="Times New Roman" w:eastAsia="宋体" w:cs="Times New Roman"/>
                <w:b/>
                <w:bCs/>
                <w:color w:val="000000"/>
                <w:kern w:val="0"/>
                <w:sz w:val="21"/>
                <w:szCs w:val="21"/>
                <w:u w:val="none" w:color="auto"/>
                <w:lang w:val="en-US" w:eastAsia="zh-CN" w:bidi="ar"/>
              </w:rPr>
              <w:t>dB(A)</w:t>
            </w:r>
            <w:r>
              <w:rPr>
                <w:rFonts w:hint="eastAsia" w:ascii="宋体" w:hAnsi="宋体" w:eastAsia="宋体" w:cs="宋体"/>
                <w:b/>
                <w:bCs/>
                <w:color w:val="000000"/>
                <w:kern w:val="0"/>
                <w:sz w:val="21"/>
                <w:szCs w:val="21"/>
                <w:u w:val="none" w:color="auto"/>
                <w:lang w:val="en-US" w:eastAsia="zh-CN" w:bidi="ar"/>
              </w:rPr>
              <w:t>）</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593"/>
              <w:gridCol w:w="656"/>
              <w:gridCol w:w="795"/>
              <w:gridCol w:w="795"/>
              <w:gridCol w:w="796"/>
              <w:gridCol w:w="795"/>
              <w:gridCol w:w="798"/>
              <w:gridCol w:w="795"/>
              <w:gridCol w:w="814"/>
            </w:tblGrid>
            <w:tr w14:paraId="2F24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vMerge w:val="restart"/>
                  <w:noWrap w:val="0"/>
                  <w:vAlign w:val="center"/>
                </w:tcPr>
                <w:p w14:paraId="4FC804D0">
                  <w:pPr>
                    <w:pStyle w:val="253"/>
                    <w:rPr>
                      <w:rFonts w:hint="default" w:ascii="Times New Roman" w:hAnsi="Times New Roman" w:cs="Times New Roman"/>
                      <w:b/>
                      <w:u w:val="none"/>
                    </w:rPr>
                  </w:pPr>
                  <w:r>
                    <w:rPr>
                      <w:rFonts w:hint="default" w:ascii="Times New Roman" w:hAnsi="Times New Roman" w:cs="Times New Roman"/>
                      <w:b/>
                      <w:u w:val="none"/>
                    </w:rPr>
                    <w:t>机械名称</w:t>
                  </w:r>
                </w:p>
              </w:tc>
              <w:tc>
                <w:tcPr>
                  <w:tcW w:w="3940" w:type="pct"/>
                  <w:gridSpan w:val="9"/>
                  <w:noWrap w:val="0"/>
                  <w:vAlign w:val="center"/>
                </w:tcPr>
                <w:p w14:paraId="0113FAB1">
                  <w:pPr>
                    <w:pStyle w:val="253"/>
                    <w:rPr>
                      <w:rFonts w:hint="default" w:ascii="Times New Roman" w:hAnsi="Times New Roman" w:cs="Times New Roman"/>
                      <w:b/>
                      <w:u w:val="none"/>
                    </w:rPr>
                  </w:pPr>
                  <w:r>
                    <w:rPr>
                      <w:rFonts w:hint="default" w:ascii="Times New Roman" w:hAnsi="Times New Roman" w:cs="Times New Roman"/>
                      <w:b/>
                      <w:u w:val="none"/>
                    </w:rPr>
                    <w:t>不同距离的施工机械噪声预测dB（A）</w:t>
                  </w:r>
                </w:p>
              </w:tc>
            </w:tr>
            <w:tr w14:paraId="1D29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vMerge w:val="continue"/>
                  <w:noWrap w:val="0"/>
                  <w:vAlign w:val="center"/>
                </w:tcPr>
                <w:p w14:paraId="70E45115">
                  <w:pPr>
                    <w:pStyle w:val="253"/>
                    <w:rPr>
                      <w:rFonts w:hint="default" w:ascii="Times New Roman" w:hAnsi="Times New Roman" w:cs="Times New Roman"/>
                      <w:b/>
                      <w:u w:val="none"/>
                    </w:rPr>
                  </w:pPr>
                </w:p>
              </w:tc>
              <w:tc>
                <w:tcPr>
                  <w:tcW w:w="342" w:type="pct"/>
                  <w:noWrap w:val="0"/>
                  <w:vAlign w:val="center"/>
                </w:tcPr>
                <w:p w14:paraId="7B136EFB">
                  <w:pPr>
                    <w:pStyle w:val="253"/>
                    <w:rPr>
                      <w:rFonts w:hint="default" w:ascii="Times New Roman" w:hAnsi="Times New Roman" w:cs="Times New Roman"/>
                      <w:b/>
                      <w:u w:val="none"/>
                    </w:rPr>
                  </w:pPr>
                  <w:r>
                    <w:rPr>
                      <w:rFonts w:hint="default" w:ascii="Times New Roman" w:hAnsi="Times New Roman" w:cs="Times New Roman"/>
                      <w:b/>
                      <w:u w:val="none"/>
                    </w:rPr>
                    <w:t>5m</w:t>
                  </w:r>
                </w:p>
              </w:tc>
              <w:tc>
                <w:tcPr>
                  <w:tcW w:w="378" w:type="pct"/>
                  <w:noWrap w:val="0"/>
                  <w:vAlign w:val="center"/>
                </w:tcPr>
                <w:p w14:paraId="0D9E79A9">
                  <w:pPr>
                    <w:pStyle w:val="253"/>
                    <w:rPr>
                      <w:rFonts w:hint="default" w:ascii="Times New Roman" w:hAnsi="Times New Roman" w:cs="Times New Roman"/>
                      <w:b/>
                      <w:u w:val="none"/>
                    </w:rPr>
                  </w:pPr>
                  <w:r>
                    <w:rPr>
                      <w:rFonts w:hint="default" w:ascii="Times New Roman" w:hAnsi="Times New Roman" w:cs="Times New Roman"/>
                      <w:b/>
                      <w:u w:val="none"/>
                    </w:rPr>
                    <w:t>10m</w:t>
                  </w:r>
                </w:p>
              </w:tc>
              <w:tc>
                <w:tcPr>
                  <w:tcW w:w="458" w:type="pct"/>
                  <w:noWrap w:val="0"/>
                  <w:vAlign w:val="center"/>
                </w:tcPr>
                <w:p w14:paraId="6AB970E2">
                  <w:pPr>
                    <w:pStyle w:val="253"/>
                    <w:rPr>
                      <w:rFonts w:hint="default" w:ascii="Times New Roman" w:hAnsi="Times New Roman" w:cs="Times New Roman"/>
                      <w:b/>
                      <w:u w:val="none"/>
                    </w:rPr>
                  </w:pPr>
                  <w:r>
                    <w:rPr>
                      <w:rFonts w:hint="default" w:ascii="Times New Roman" w:hAnsi="Times New Roman" w:cs="Times New Roman"/>
                      <w:b/>
                      <w:u w:val="none"/>
                    </w:rPr>
                    <w:t>20m</w:t>
                  </w:r>
                </w:p>
              </w:tc>
              <w:tc>
                <w:tcPr>
                  <w:tcW w:w="458" w:type="pct"/>
                  <w:shd w:val="clear" w:color="auto" w:fill="auto"/>
                  <w:noWrap w:val="0"/>
                  <w:vAlign w:val="center"/>
                </w:tcPr>
                <w:p w14:paraId="31562735">
                  <w:pPr>
                    <w:pStyle w:val="253"/>
                    <w:ind w:firstLine="0" w:firstLineChars="0"/>
                    <w:rPr>
                      <w:rFonts w:hint="default" w:ascii="Times New Roman" w:hAnsi="Times New Roman" w:cs="Times New Roman" w:eastAsiaTheme="minorEastAsia"/>
                      <w:b/>
                      <w:kern w:val="2"/>
                      <w:sz w:val="21"/>
                      <w:szCs w:val="21"/>
                      <w:u w:val="none"/>
                      <w:lang w:val="en-US" w:eastAsia="zh-CN" w:bidi="ar-SA"/>
                    </w:rPr>
                  </w:pPr>
                  <w:r>
                    <w:rPr>
                      <w:rFonts w:hint="eastAsia" w:ascii="Times New Roman" w:hAnsi="Times New Roman" w:cs="Times New Roman"/>
                      <w:b/>
                      <w:u w:val="none"/>
                      <w:lang w:val="en-US" w:eastAsia="zh-CN"/>
                    </w:rPr>
                    <w:t>4</w:t>
                  </w:r>
                  <w:r>
                    <w:rPr>
                      <w:rFonts w:hint="default" w:ascii="Times New Roman" w:hAnsi="Times New Roman" w:cs="Times New Roman"/>
                      <w:b/>
                      <w:u w:val="none"/>
                    </w:rPr>
                    <w:t>0m</w:t>
                  </w:r>
                </w:p>
              </w:tc>
              <w:tc>
                <w:tcPr>
                  <w:tcW w:w="459" w:type="pct"/>
                  <w:noWrap w:val="0"/>
                  <w:vAlign w:val="center"/>
                </w:tcPr>
                <w:p w14:paraId="13F5C841">
                  <w:pPr>
                    <w:keepNext w:val="0"/>
                    <w:keepLines w:val="0"/>
                    <w:widowControl/>
                    <w:suppressLineNumbers w:val="0"/>
                    <w:jc w:val="center"/>
                    <w:textAlignment w:val="center"/>
                    <w:rPr>
                      <w:rFonts w:hint="default" w:ascii="Times New Roman" w:hAnsi="Times New Roman" w:cs="Times New Roman"/>
                      <w:b/>
                      <w:u w:val="none"/>
                    </w:rPr>
                  </w:pPr>
                  <w:r>
                    <w:rPr>
                      <w:rFonts w:hint="default" w:ascii="Times New Roman" w:hAnsi="Times New Roman" w:eastAsia="宋体" w:cs="Times New Roman"/>
                      <w:b/>
                      <w:bCs/>
                      <w:i w:val="0"/>
                      <w:iCs w:val="0"/>
                      <w:color w:val="000000"/>
                      <w:kern w:val="0"/>
                      <w:sz w:val="21"/>
                      <w:szCs w:val="21"/>
                      <w:u w:val="none"/>
                      <w:lang w:val="en-US" w:eastAsia="zh-CN" w:bidi="ar"/>
                    </w:rPr>
                    <w:t>50m</w:t>
                  </w:r>
                </w:p>
              </w:tc>
              <w:tc>
                <w:tcPr>
                  <w:tcW w:w="458" w:type="pct"/>
                  <w:noWrap w:val="0"/>
                  <w:vAlign w:val="center"/>
                </w:tcPr>
                <w:p w14:paraId="4F4B493E">
                  <w:pPr>
                    <w:keepNext w:val="0"/>
                    <w:keepLines w:val="0"/>
                    <w:widowControl/>
                    <w:suppressLineNumbers w:val="0"/>
                    <w:jc w:val="center"/>
                    <w:textAlignment w:val="center"/>
                    <w:rPr>
                      <w:rFonts w:hint="default" w:ascii="Times New Roman" w:hAnsi="Times New Roman" w:cs="Times New Roman"/>
                      <w:b/>
                      <w:u w:val="none"/>
                    </w:rPr>
                  </w:pPr>
                  <w:r>
                    <w:rPr>
                      <w:rFonts w:hint="default" w:ascii="Times New Roman" w:hAnsi="Times New Roman" w:eastAsia="宋体" w:cs="Times New Roman"/>
                      <w:b/>
                      <w:bCs/>
                      <w:i w:val="0"/>
                      <w:iCs w:val="0"/>
                      <w:color w:val="000000"/>
                      <w:kern w:val="0"/>
                      <w:sz w:val="21"/>
                      <w:szCs w:val="21"/>
                      <w:u w:val="none"/>
                      <w:lang w:val="en-US" w:eastAsia="zh-CN" w:bidi="ar"/>
                    </w:rPr>
                    <w:t>55m</w:t>
                  </w:r>
                </w:p>
              </w:tc>
              <w:tc>
                <w:tcPr>
                  <w:tcW w:w="780" w:type="dxa"/>
                  <w:noWrap w:val="0"/>
                  <w:vAlign w:val="center"/>
                </w:tcPr>
                <w:p w14:paraId="5B524B10">
                  <w:pPr>
                    <w:keepNext w:val="0"/>
                    <w:keepLines w:val="0"/>
                    <w:widowControl/>
                    <w:suppressLineNumbers w:val="0"/>
                    <w:jc w:val="center"/>
                    <w:textAlignment w:val="center"/>
                    <w:rPr>
                      <w:rFonts w:hint="default" w:ascii="Times New Roman" w:hAnsi="Times New Roman" w:cs="Times New Roman"/>
                      <w:b/>
                      <w:u w:val="none"/>
                    </w:rPr>
                  </w:pPr>
                  <w:r>
                    <w:rPr>
                      <w:rFonts w:hint="default" w:ascii="Times New Roman" w:hAnsi="Times New Roman" w:eastAsia="宋体" w:cs="Times New Roman"/>
                      <w:b/>
                      <w:bCs/>
                      <w:i w:val="0"/>
                      <w:iCs w:val="0"/>
                      <w:color w:val="000000"/>
                      <w:kern w:val="0"/>
                      <w:sz w:val="21"/>
                      <w:szCs w:val="21"/>
                      <w:u w:val="none"/>
                      <w:lang w:val="en-US" w:eastAsia="zh-CN" w:bidi="ar"/>
                    </w:rPr>
                    <w:t>80m</w:t>
                  </w:r>
                </w:p>
              </w:tc>
              <w:tc>
                <w:tcPr>
                  <w:tcW w:w="458" w:type="pct"/>
                  <w:shd w:val="clear" w:color="auto" w:fill="auto"/>
                  <w:noWrap w:val="0"/>
                  <w:vAlign w:val="center"/>
                </w:tcPr>
                <w:p w14:paraId="1D761223">
                  <w:pPr>
                    <w:pStyle w:val="253"/>
                    <w:ind w:firstLine="0" w:firstLineChars="0"/>
                    <w:rPr>
                      <w:rFonts w:hint="default" w:ascii="Times New Roman" w:hAnsi="Times New Roman" w:cs="Times New Roman" w:eastAsiaTheme="minorEastAsia"/>
                      <w:b/>
                      <w:kern w:val="2"/>
                      <w:sz w:val="21"/>
                      <w:szCs w:val="21"/>
                      <w:u w:val="none"/>
                      <w:lang w:val="en-US" w:eastAsia="zh-CN" w:bidi="ar-SA"/>
                    </w:rPr>
                  </w:pPr>
                  <w:r>
                    <w:rPr>
                      <w:rFonts w:hint="default" w:ascii="Times New Roman" w:hAnsi="Times New Roman" w:cs="Times New Roman"/>
                      <w:b/>
                      <w:u w:val="none"/>
                    </w:rPr>
                    <w:t>100m</w:t>
                  </w:r>
                </w:p>
              </w:tc>
              <w:tc>
                <w:tcPr>
                  <w:tcW w:w="469" w:type="pct"/>
                  <w:shd w:val="clear" w:color="auto" w:fill="auto"/>
                  <w:noWrap w:val="0"/>
                  <w:vAlign w:val="center"/>
                </w:tcPr>
                <w:p w14:paraId="674484F3">
                  <w:pPr>
                    <w:pStyle w:val="253"/>
                    <w:ind w:firstLine="0" w:firstLineChars="0"/>
                    <w:rPr>
                      <w:rFonts w:hint="default" w:ascii="Times New Roman" w:hAnsi="Times New Roman" w:cs="Times New Roman" w:eastAsiaTheme="minorEastAsia"/>
                      <w:b/>
                      <w:kern w:val="2"/>
                      <w:sz w:val="21"/>
                      <w:szCs w:val="21"/>
                      <w:u w:val="none"/>
                      <w:lang w:val="en-US" w:eastAsia="zh-CN" w:bidi="ar-SA"/>
                    </w:rPr>
                  </w:pPr>
                  <w:r>
                    <w:rPr>
                      <w:rFonts w:hint="default" w:ascii="Times New Roman" w:hAnsi="Times New Roman" w:cs="Times New Roman"/>
                      <w:b/>
                      <w:u w:val="none"/>
                    </w:rPr>
                    <w:t>150m</w:t>
                  </w:r>
                </w:p>
              </w:tc>
            </w:tr>
            <w:tr w14:paraId="5799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noWrap w:val="0"/>
                  <w:vAlign w:val="top"/>
                </w:tcPr>
                <w:p w14:paraId="6B6B2557">
                  <w:pPr>
                    <w:keepNext w:val="0"/>
                    <w:keepLines w:val="0"/>
                    <w:widowControl/>
                    <w:suppressLineNumbers w:val="0"/>
                    <w:jc w:val="center"/>
                    <w:textAlignment w:val="top"/>
                    <w:rPr>
                      <w:rFonts w:hint="default" w:ascii="Times New Roman" w:hAnsi="Times New Roman" w:cs="Times New Roman"/>
                      <w:bCs/>
                      <w:u w:val="none"/>
                    </w:rPr>
                  </w:pPr>
                  <w:r>
                    <w:rPr>
                      <w:rFonts w:hint="eastAsia" w:ascii="宋体" w:hAnsi="宋体" w:eastAsia="宋体" w:cs="宋体"/>
                      <w:i w:val="0"/>
                      <w:iCs w:val="0"/>
                      <w:color w:val="000000"/>
                      <w:kern w:val="0"/>
                      <w:sz w:val="21"/>
                      <w:szCs w:val="21"/>
                      <w:u w:val="none"/>
                      <w:lang w:val="en-US" w:eastAsia="zh-CN" w:bidi="ar"/>
                    </w:rPr>
                    <w:t>挖掘机</w:t>
                  </w:r>
                </w:p>
              </w:tc>
              <w:tc>
                <w:tcPr>
                  <w:tcW w:w="342" w:type="pct"/>
                  <w:noWrap w:val="0"/>
                  <w:vAlign w:val="center"/>
                </w:tcPr>
                <w:p w14:paraId="588CDE00">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81.0 </w:t>
                  </w:r>
                </w:p>
              </w:tc>
              <w:tc>
                <w:tcPr>
                  <w:tcW w:w="378" w:type="pct"/>
                  <w:noWrap w:val="0"/>
                  <w:vAlign w:val="center"/>
                </w:tcPr>
                <w:p w14:paraId="49E466EB">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75.0 </w:t>
                  </w:r>
                </w:p>
              </w:tc>
              <w:tc>
                <w:tcPr>
                  <w:tcW w:w="458" w:type="pct"/>
                  <w:noWrap w:val="0"/>
                  <w:vAlign w:val="center"/>
                </w:tcPr>
                <w:p w14:paraId="5682CBFE">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69.0 </w:t>
                  </w:r>
                </w:p>
              </w:tc>
              <w:tc>
                <w:tcPr>
                  <w:tcW w:w="458" w:type="pct"/>
                  <w:shd w:val="clear" w:color="auto" w:fill="auto"/>
                  <w:noWrap w:val="0"/>
                  <w:vAlign w:val="center"/>
                </w:tcPr>
                <w:p w14:paraId="103B25BD">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63.0 </w:t>
                  </w:r>
                </w:p>
              </w:tc>
              <w:tc>
                <w:tcPr>
                  <w:tcW w:w="459" w:type="pct"/>
                  <w:noWrap w:val="0"/>
                  <w:vAlign w:val="center"/>
                </w:tcPr>
                <w:p w14:paraId="1763867E">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61.0 </w:t>
                  </w:r>
                </w:p>
              </w:tc>
              <w:tc>
                <w:tcPr>
                  <w:tcW w:w="458" w:type="pct"/>
                  <w:noWrap w:val="0"/>
                  <w:vAlign w:val="center"/>
                </w:tcPr>
                <w:p w14:paraId="61CAAF86">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57.8 </w:t>
                  </w:r>
                </w:p>
              </w:tc>
              <w:tc>
                <w:tcPr>
                  <w:tcW w:w="780" w:type="dxa"/>
                  <w:noWrap w:val="0"/>
                  <w:vAlign w:val="center"/>
                </w:tcPr>
                <w:p w14:paraId="2F6C8827">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58.5 </w:t>
                  </w:r>
                </w:p>
              </w:tc>
              <w:tc>
                <w:tcPr>
                  <w:tcW w:w="458" w:type="pct"/>
                  <w:shd w:val="clear" w:color="auto" w:fill="auto"/>
                  <w:noWrap w:val="0"/>
                  <w:vAlign w:val="center"/>
                </w:tcPr>
                <w:p w14:paraId="3A9DB138">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56.9 </w:t>
                  </w:r>
                </w:p>
              </w:tc>
              <w:tc>
                <w:tcPr>
                  <w:tcW w:w="469" w:type="pct"/>
                  <w:shd w:val="clear" w:color="auto" w:fill="auto"/>
                  <w:noWrap w:val="0"/>
                  <w:vAlign w:val="center"/>
                </w:tcPr>
                <w:p w14:paraId="19F6EE23">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55.0 </w:t>
                  </w:r>
                </w:p>
              </w:tc>
            </w:tr>
            <w:tr w14:paraId="7110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noWrap w:val="0"/>
                  <w:vAlign w:val="top"/>
                </w:tcPr>
                <w:p w14:paraId="3C83C937">
                  <w:pPr>
                    <w:keepNext w:val="0"/>
                    <w:keepLines w:val="0"/>
                    <w:widowControl/>
                    <w:suppressLineNumbers w:val="0"/>
                    <w:jc w:val="center"/>
                    <w:textAlignment w:val="top"/>
                    <w:rPr>
                      <w:rFonts w:hint="default" w:ascii="Times New Roman" w:hAnsi="Times New Roman" w:cs="Times New Roman"/>
                      <w:bCs/>
                      <w:u w:val="none"/>
                    </w:rPr>
                  </w:pPr>
                  <w:r>
                    <w:rPr>
                      <w:rFonts w:hint="eastAsia" w:ascii="宋体" w:hAnsi="宋体" w:eastAsia="宋体" w:cs="宋体"/>
                      <w:i w:val="0"/>
                      <w:iCs w:val="0"/>
                      <w:color w:val="000000"/>
                      <w:kern w:val="0"/>
                      <w:sz w:val="21"/>
                      <w:szCs w:val="21"/>
                      <w:u w:val="none"/>
                      <w:lang w:val="en-US" w:eastAsia="zh-CN" w:bidi="ar"/>
                    </w:rPr>
                    <w:t>夯实机</w:t>
                  </w:r>
                </w:p>
              </w:tc>
              <w:tc>
                <w:tcPr>
                  <w:tcW w:w="342" w:type="pct"/>
                  <w:noWrap w:val="0"/>
                  <w:vAlign w:val="center"/>
                </w:tcPr>
                <w:p w14:paraId="436CA182">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86.0 </w:t>
                  </w:r>
                </w:p>
              </w:tc>
              <w:tc>
                <w:tcPr>
                  <w:tcW w:w="378" w:type="pct"/>
                  <w:noWrap w:val="0"/>
                  <w:vAlign w:val="center"/>
                </w:tcPr>
                <w:p w14:paraId="19D84D89">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80.0 </w:t>
                  </w:r>
                </w:p>
              </w:tc>
              <w:tc>
                <w:tcPr>
                  <w:tcW w:w="458" w:type="pct"/>
                  <w:noWrap w:val="0"/>
                  <w:vAlign w:val="center"/>
                </w:tcPr>
                <w:p w14:paraId="674EFFBA">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74.0 </w:t>
                  </w:r>
                </w:p>
              </w:tc>
              <w:tc>
                <w:tcPr>
                  <w:tcW w:w="458" w:type="pct"/>
                  <w:shd w:val="clear" w:color="auto" w:fill="auto"/>
                  <w:noWrap w:val="0"/>
                  <w:vAlign w:val="center"/>
                </w:tcPr>
                <w:p w14:paraId="0F25BCB4">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68.0 </w:t>
                  </w:r>
                </w:p>
              </w:tc>
              <w:tc>
                <w:tcPr>
                  <w:tcW w:w="459" w:type="pct"/>
                  <w:noWrap w:val="0"/>
                  <w:vAlign w:val="center"/>
                </w:tcPr>
                <w:p w14:paraId="7A5B4860">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66.0 </w:t>
                  </w:r>
                </w:p>
              </w:tc>
              <w:tc>
                <w:tcPr>
                  <w:tcW w:w="458" w:type="pct"/>
                  <w:noWrap w:val="0"/>
                  <w:vAlign w:val="center"/>
                </w:tcPr>
                <w:p w14:paraId="69027FC3">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62.8 </w:t>
                  </w:r>
                </w:p>
              </w:tc>
              <w:tc>
                <w:tcPr>
                  <w:tcW w:w="780" w:type="dxa"/>
                  <w:noWrap w:val="0"/>
                  <w:vAlign w:val="center"/>
                </w:tcPr>
                <w:p w14:paraId="2D5A4AA2">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63.5 </w:t>
                  </w:r>
                </w:p>
              </w:tc>
              <w:tc>
                <w:tcPr>
                  <w:tcW w:w="458" w:type="pct"/>
                  <w:shd w:val="clear" w:color="auto" w:fill="auto"/>
                  <w:noWrap w:val="0"/>
                  <w:vAlign w:val="center"/>
                </w:tcPr>
                <w:p w14:paraId="58DCEF85">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51.9 </w:t>
                  </w:r>
                </w:p>
              </w:tc>
              <w:tc>
                <w:tcPr>
                  <w:tcW w:w="469" w:type="pct"/>
                  <w:shd w:val="clear" w:color="auto" w:fill="auto"/>
                  <w:noWrap w:val="0"/>
                  <w:vAlign w:val="center"/>
                </w:tcPr>
                <w:p w14:paraId="2FF8E04A">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50.0 </w:t>
                  </w:r>
                </w:p>
              </w:tc>
            </w:tr>
            <w:tr w14:paraId="174F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noWrap w:val="0"/>
                  <w:vAlign w:val="top"/>
                </w:tcPr>
                <w:p w14:paraId="25225BCC">
                  <w:pPr>
                    <w:keepNext w:val="0"/>
                    <w:keepLines w:val="0"/>
                    <w:widowControl/>
                    <w:suppressLineNumbers w:val="0"/>
                    <w:jc w:val="center"/>
                    <w:textAlignment w:val="top"/>
                    <w:rPr>
                      <w:rFonts w:hint="default" w:ascii="Times New Roman" w:hAnsi="Times New Roman" w:cs="Times New Roman"/>
                      <w:u w:val="none"/>
                    </w:rPr>
                  </w:pPr>
                  <w:r>
                    <w:rPr>
                      <w:rFonts w:hint="eastAsia" w:ascii="宋体" w:hAnsi="宋体" w:eastAsia="宋体" w:cs="宋体"/>
                      <w:i w:val="0"/>
                      <w:iCs w:val="0"/>
                      <w:color w:val="000000"/>
                      <w:kern w:val="0"/>
                      <w:sz w:val="21"/>
                      <w:szCs w:val="21"/>
                      <w:u w:val="none"/>
                      <w:lang w:val="en-US" w:eastAsia="zh-CN" w:bidi="ar"/>
                    </w:rPr>
                    <w:t>自卸汽车</w:t>
                  </w:r>
                </w:p>
              </w:tc>
              <w:tc>
                <w:tcPr>
                  <w:tcW w:w="342" w:type="pct"/>
                  <w:noWrap w:val="0"/>
                  <w:vAlign w:val="center"/>
                </w:tcPr>
                <w:p w14:paraId="17869B32">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76.0 </w:t>
                  </w:r>
                </w:p>
              </w:tc>
              <w:tc>
                <w:tcPr>
                  <w:tcW w:w="378" w:type="pct"/>
                  <w:noWrap w:val="0"/>
                  <w:vAlign w:val="center"/>
                </w:tcPr>
                <w:p w14:paraId="164033A2">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70.0 </w:t>
                  </w:r>
                </w:p>
              </w:tc>
              <w:tc>
                <w:tcPr>
                  <w:tcW w:w="458" w:type="pct"/>
                  <w:noWrap w:val="0"/>
                  <w:vAlign w:val="center"/>
                </w:tcPr>
                <w:p w14:paraId="39C22948">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64.0 </w:t>
                  </w:r>
                </w:p>
              </w:tc>
              <w:tc>
                <w:tcPr>
                  <w:tcW w:w="458" w:type="pct"/>
                  <w:shd w:val="clear" w:color="auto" w:fill="auto"/>
                  <w:noWrap w:val="0"/>
                  <w:vAlign w:val="center"/>
                </w:tcPr>
                <w:p w14:paraId="4F5D723C">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58.0 </w:t>
                  </w:r>
                </w:p>
              </w:tc>
              <w:tc>
                <w:tcPr>
                  <w:tcW w:w="459" w:type="pct"/>
                  <w:noWrap w:val="0"/>
                  <w:vAlign w:val="center"/>
                </w:tcPr>
                <w:p w14:paraId="4497B56F">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56.0 </w:t>
                  </w:r>
                </w:p>
              </w:tc>
              <w:tc>
                <w:tcPr>
                  <w:tcW w:w="458" w:type="pct"/>
                  <w:noWrap w:val="0"/>
                  <w:vAlign w:val="center"/>
                </w:tcPr>
                <w:p w14:paraId="502E1152">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52.8 </w:t>
                  </w:r>
                </w:p>
              </w:tc>
              <w:tc>
                <w:tcPr>
                  <w:tcW w:w="780" w:type="dxa"/>
                  <w:noWrap w:val="0"/>
                  <w:vAlign w:val="center"/>
                </w:tcPr>
                <w:p w14:paraId="76A68448">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53.5 </w:t>
                  </w:r>
                </w:p>
              </w:tc>
              <w:tc>
                <w:tcPr>
                  <w:tcW w:w="458" w:type="pct"/>
                  <w:shd w:val="clear" w:color="auto" w:fill="auto"/>
                  <w:noWrap w:val="0"/>
                  <w:vAlign w:val="center"/>
                </w:tcPr>
                <w:p w14:paraId="54C0F1EC">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61.9 </w:t>
                  </w:r>
                </w:p>
              </w:tc>
              <w:tc>
                <w:tcPr>
                  <w:tcW w:w="469" w:type="pct"/>
                  <w:shd w:val="clear" w:color="auto" w:fill="auto"/>
                  <w:noWrap w:val="0"/>
                  <w:vAlign w:val="center"/>
                </w:tcPr>
                <w:p w14:paraId="281B8F4F">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60.0 </w:t>
                  </w:r>
                </w:p>
              </w:tc>
            </w:tr>
            <w:tr w14:paraId="43B4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noWrap w:val="0"/>
                  <w:vAlign w:val="top"/>
                </w:tcPr>
                <w:p w14:paraId="0BFC400A">
                  <w:pPr>
                    <w:keepNext w:val="0"/>
                    <w:keepLines w:val="0"/>
                    <w:widowControl/>
                    <w:suppressLineNumbers w:val="0"/>
                    <w:jc w:val="center"/>
                    <w:textAlignment w:val="top"/>
                    <w:rPr>
                      <w:rFonts w:hint="default" w:ascii="Times New Roman" w:hAnsi="Times New Roman" w:cs="Times New Roman"/>
                      <w:bCs/>
                      <w:u w:val="none"/>
                    </w:rPr>
                  </w:pPr>
                  <w:r>
                    <w:rPr>
                      <w:rFonts w:hint="eastAsia" w:ascii="宋体" w:hAnsi="宋体" w:eastAsia="宋体" w:cs="宋体"/>
                      <w:i w:val="0"/>
                      <w:iCs w:val="0"/>
                      <w:color w:val="000000"/>
                      <w:kern w:val="0"/>
                      <w:sz w:val="21"/>
                      <w:szCs w:val="21"/>
                      <w:u w:val="none"/>
                      <w:lang w:val="en-US" w:eastAsia="zh-CN" w:bidi="ar"/>
                    </w:rPr>
                    <w:t>振动器</w:t>
                  </w:r>
                </w:p>
              </w:tc>
              <w:tc>
                <w:tcPr>
                  <w:tcW w:w="342" w:type="pct"/>
                  <w:noWrap w:val="0"/>
                  <w:vAlign w:val="center"/>
                </w:tcPr>
                <w:p w14:paraId="783DCD1E">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86.0 </w:t>
                  </w:r>
                </w:p>
              </w:tc>
              <w:tc>
                <w:tcPr>
                  <w:tcW w:w="378" w:type="pct"/>
                  <w:noWrap w:val="0"/>
                  <w:vAlign w:val="center"/>
                </w:tcPr>
                <w:p w14:paraId="4613C6B4">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80.0 </w:t>
                  </w:r>
                </w:p>
              </w:tc>
              <w:tc>
                <w:tcPr>
                  <w:tcW w:w="458" w:type="pct"/>
                  <w:noWrap w:val="0"/>
                  <w:vAlign w:val="center"/>
                </w:tcPr>
                <w:p w14:paraId="3D721FAC">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74.0 </w:t>
                  </w:r>
                </w:p>
              </w:tc>
              <w:tc>
                <w:tcPr>
                  <w:tcW w:w="458" w:type="pct"/>
                  <w:shd w:val="clear" w:color="auto" w:fill="auto"/>
                  <w:noWrap w:val="0"/>
                  <w:vAlign w:val="center"/>
                </w:tcPr>
                <w:p w14:paraId="7A94FC02">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68.0 </w:t>
                  </w:r>
                </w:p>
              </w:tc>
              <w:tc>
                <w:tcPr>
                  <w:tcW w:w="459" w:type="pct"/>
                  <w:noWrap w:val="0"/>
                  <w:vAlign w:val="center"/>
                </w:tcPr>
                <w:p w14:paraId="1B74810A">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66.0 </w:t>
                  </w:r>
                </w:p>
              </w:tc>
              <w:tc>
                <w:tcPr>
                  <w:tcW w:w="458" w:type="pct"/>
                  <w:noWrap w:val="0"/>
                  <w:vAlign w:val="center"/>
                </w:tcPr>
                <w:p w14:paraId="40518BED">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62.8 </w:t>
                  </w:r>
                </w:p>
              </w:tc>
              <w:tc>
                <w:tcPr>
                  <w:tcW w:w="780" w:type="dxa"/>
                  <w:noWrap w:val="0"/>
                  <w:vAlign w:val="center"/>
                </w:tcPr>
                <w:p w14:paraId="7CE9A97A">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63.5 </w:t>
                  </w:r>
                </w:p>
              </w:tc>
              <w:tc>
                <w:tcPr>
                  <w:tcW w:w="458" w:type="pct"/>
                  <w:shd w:val="clear" w:color="auto" w:fill="auto"/>
                  <w:noWrap w:val="0"/>
                  <w:vAlign w:val="center"/>
                </w:tcPr>
                <w:p w14:paraId="4ADFB371">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61.9 </w:t>
                  </w:r>
                </w:p>
              </w:tc>
              <w:tc>
                <w:tcPr>
                  <w:tcW w:w="469" w:type="pct"/>
                  <w:shd w:val="clear" w:color="auto" w:fill="auto"/>
                  <w:noWrap w:val="0"/>
                  <w:vAlign w:val="center"/>
                </w:tcPr>
                <w:p w14:paraId="4144C397">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60.0 </w:t>
                  </w:r>
                </w:p>
              </w:tc>
            </w:tr>
            <w:tr w14:paraId="5635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noWrap w:val="0"/>
                  <w:vAlign w:val="top"/>
                </w:tcPr>
                <w:p w14:paraId="3AA01D57">
                  <w:pPr>
                    <w:keepNext w:val="0"/>
                    <w:keepLines w:val="0"/>
                    <w:widowControl/>
                    <w:suppressLineNumbers w:val="0"/>
                    <w:jc w:val="center"/>
                    <w:textAlignment w:val="top"/>
                    <w:rPr>
                      <w:rFonts w:hint="default" w:ascii="Times New Roman" w:hAnsi="Times New Roman" w:eastAsia="宋体" w:cs="Times New Roman"/>
                      <w:bCs/>
                      <w:u w:val="none"/>
                      <w:lang w:eastAsia="zh-CN"/>
                    </w:rPr>
                  </w:pPr>
                  <w:r>
                    <w:rPr>
                      <w:rFonts w:hint="eastAsia" w:ascii="宋体" w:hAnsi="宋体" w:eastAsia="宋体" w:cs="宋体"/>
                      <w:i w:val="0"/>
                      <w:iCs w:val="0"/>
                      <w:color w:val="000000"/>
                      <w:kern w:val="0"/>
                      <w:sz w:val="21"/>
                      <w:szCs w:val="21"/>
                      <w:u w:val="none"/>
                      <w:lang w:val="en-US" w:eastAsia="zh-CN" w:bidi="ar"/>
                    </w:rPr>
                    <w:t>卷扬机</w:t>
                  </w:r>
                </w:p>
              </w:tc>
              <w:tc>
                <w:tcPr>
                  <w:tcW w:w="342" w:type="pct"/>
                  <w:noWrap w:val="0"/>
                  <w:vAlign w:val="center"/>
                </w:tcPr>
                <w:p w14:paraId="15D41EA1">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81.0 </w:t>
                  </w:r>
                </w:p>
              </w:tc>
              <w:tc>
                <w:tcPr>
                  <w:tcW w:w="378" w:type="pct"/>
                  <w:noWrap w:val="0"/>
                  <w:vAlign w:val="center"/>
                </w:tcPr>
                <w:p w14:paraId="2FDBAFBC">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75.0 </w:t>
                  </w:r>
                </w:p>
              </w:tc>
              <w:tc>
                <w:tcPr>
                  <w:tcW w:w="458" w:type="pct"/>
                  <w:noWrap w:val="0"/>
                  <w:vAlign w:val="center"/>
                </w:tcPr>
                <w:p w14:paraId="3E044786">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69.0 </w:t>
                  </w:r>
                </w:p>
              </w:tc>
              <w:tc>
                <w:tcPr>
                  <w:tcW w:w="458" w:type="pct"/>
                  <w:shd w:val="clear" w:color="auto" w:fill="auto"/>
                  <w:noWrap w:val="0"/>
                  <w:vAlign w:val="center"/>
                </w:tcPr>
                <w:p w14:paraId="2036AE26">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63.0 </w:t>
                  </w:r>
                </w:p>
              </w:tc>
              <w:tc>
                <w:tcPr>
                  <w:tcW w:w="459" w:type="pct"/>
                  <w:noWrap w:val="0"/>
                  <w:vAlign w:val="center"/>
                </w:tcPr>
                <w:p w14:paraId="6C5F6208">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61.0 </w:t>
                  </w:r>
                </w:p>
              </w:tc>
              <w:tc>
                <w:tcPr>
                  <w:tcW w:w="458" w:type="pct"/>
                  <w:noWrap w:val="0"/>
                  <w:vAlign w:val="center"/>
                </w:tcPr>
                <w:p w14:paraId="1191A346">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57.8 </w:t>
                  </w:r>
                </w:p>
              </w:tc>
              <w:tc>
                <w:tcPr>
                  <w:tcW w:w="780" w:type="dxa"/>
                  <w:noWrap w:val="0"/>
                  <w:vAlign w:val="center"/>
                </w:tcPr>
                <w:p w14:paraId="4EC0407B">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58.5 </w:t>
                  </w:r>
                </w:p>
              </w:tc>
              <w:tc>
                <w:tcPr>
                  <w:tcW w:w="458" w:type="pct"/>
                  <w:shd w:val="clear" w:color="auto" w:fill="auto"/>
                  <w:noWrap w:val="0"/>
                  <w:vAlign w:val="center"/>
                </w:tcPr>
                <w:p w14:paraId="43DC79B5">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51.9 </w:t>
                  </w:r>
                </w:p>
              </w:tc>
              <w:tc>
                <w:tcPr>
                  <w:tcW w:w="469" w:type="pct"/>
                  <w:shd w:val="clear" w:color="auto" w:fill="auto"/>
                  <w:noWrap w:val="0"/>
                  <w:vAlign w:val="center"/>
                </w:tcPr>
                <w:p w14:paraId="536C7F52">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50.0 </w:t>
                  </w:r>
                </w:p>
              </w:tc>
            </w:tr>
            <w:tr w14:paraId="7CF7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noWrap w:val="0"/>
                  <w:vAlign w:val="top"/>
                </w:tcPr>
                <w:p w14:paraId="23A7AF8D">
                  <w:pPr>
                    <w:keepNext w:val="0"/>
                    <w:keepLines w:val="0"/>
                    <w:widowControl/>
                    <w:suppressLineNumbers w:val="0"/>
                    <w:jc w:val="center"/>
                    <w:textAlignment w:val="top"/>
                    <w:rPr>
                      <w:rFonts w:hint="default" w:ascii="Times New Roman" w:hAnsi="Times New Roman" w:cs="Times New Roman"/>
                      <w:bCs/>
                      <w:u w:val="none"/>
                    </w:rPr>
                  </w:pPr>
                  <w:r>
                    <w:rPr>
                      <w:rFonts w:hint="eastAsia" w:ascii="宋体" w:hAnsi="宋体" w:eastAsia="宋体" w:cs="宋体"/>
                      <w:i w:val="0"/>
                      <w:iCs w:val="0"/>
                      <w:color w:val="000000"/>
                      <w:kern w:val="0"/>
                      <w:sz w:val="21"/>
                      <w:szCs w:val="21"/>
                      <w:u w:val="none"/>
                      <w:lang w:val="en-US" w:eastAsia="zh-CN" w:bidi="ar"/>
                    </w:rPr>
                    <w:t>载重汽车</w:t>
                  </w:r>
                </w:p>
              </w:tc>
              <w:tc>
                <w:tcPr>
                  <w:tcW w:w="342" w:type="pct"/>
                  <w:noWrap w:val="0"/>
                  <w:vAlign w:val="center"/>
                </w:tcPr>
                <w:p w14:paraId="3FB208B3">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76.0 </w:t>
                  </w:r>
                </w:p>
              </w:tc>
              <w:tc>
                <w:tcPr>
                  <w:tcW w:w="378" w:type="pct"/>
                  <w:noWrap w:val="0"/>
                  <w:vAlign w:val="center"/>
                </w:tcPr>
                <w:p w14:paraId="2BA039F7">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70.0 </w:t>
                  </w:r>
                </w:p>
              </w:tc>
              <w:tc>
                <w:tcPr>
                  <w:tcW w:w="458" w:type="pct"/>
                  <w:noWrap w:val="0"/>
                  <w:vAlign w:val="center"/>
                </w:tcPr>
                <w:p w14:paraId="244FCD4E">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64.0 </w:t>
                  </w:r>
                </w:p>
              </w:tc>
              <w:tc>
                <w:tcPr>
                  <w:tcW w:w="458" w:type="pct"/>
                  <w:shd w:val="clear" w:color="auto" w:fill="auto"/>
                  <w:noWrap w:val="0"/>
                  <w:vAlign w:val="center"/>
                </w:tcPr>
                <w:p w14:paraId="010D2B02">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58.0 </w:t>
                  </w:r>
                </w:p>
              </w:tc>
              <w:tc>
                <w:tcPr>
                  <w:tcW w:w="459" w:type="pct"/>
                  <w:noWrap w:val="0"/>
                  <w:vAlign w:val="center"/>
                </w:tcPr>
                <w:p w14:paraId="41194EC0">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56.0 </w:t>
                  </w:r>
                </w:p>
              </w:tc>
              <w:tc>
                <w:tcPr>
                  <w:tcW w:w="458" w:type="pct"/>
                  <w:noWrap w:val="0"/>
                  <w:vAlign w:val="center"/>
                </w:tcPr>
                <w:p w14:paraId="57B2B117">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52.8 </w:t>
                  </w:r>
                </w:p>
              </w:tc>
              <w:tc>
                <w:tcPr>
                  <w:tcW w:w="780" w:type="dxa"/>
                  <w:noWrap w:val="0"/>
                  <w:vAlign w:val="center"/>
                </w:tcPr>
                <w:p w14:paraId="5249E0B6">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53.5 </w:t>
                  </w:r>
                </w:p>
              </w:tc>
              <w:tc>
                <w:tcPr>
                  <w:tcW w:w="458" w:type="pct"/>
                  <w:shd w:val="clear" w:color="auto" w:fill="auto"/>
                  <w:noWrap w:val="0"/>
                  <w:vAlign w:val="center"/>
                </w:tcPr>
                <w:p w14:paraId="166EF15F">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51.9 </w:t>
                  </w:r>
                </w:p>
              </w:tc>
              <w:tc>
                <w:tcPr>
                  <w:tcW w:w="469" w:type="pct"/>
                  <w:shd w:val="clear" w:color="auto" w:fill="auto"/>
                  <w:noWrap w:val="0"/>
                  <w:vAlign w:val="center"/>
                </w:tcPr>
                <w:p w14:paraId="18750997">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50.0 </w:t>
                  </w:r>
                </w:p>
              </w:tc>
            </w:tr>
            <w:tr w14:paraId="6143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noWrap w:val="0"/>
                  <w:vAlign w:val="top"/>
                </w:tcPr>
                <w:p w14:paraId="6037B752">
                  <w:pPr>
                    <w:keepNext w:val="0"/>
                    <w:keepLines w:val="0"/>
                    <w:widowControl/>
                    <w:suppressLineNumbers w:val="0"/>
                    <w:jc w:val="center"/>
                    <w:textAlignment w:val="top"/>
                    <w:rPr>
                      <w:rFonts w:hint="default" w:ascii="Times New Roman" w:hAnsi="Times New Roman" w:cs="Times New Roman"/>
                      <w:bCs/>
                      <w:u w:val="none"/>
                    </w:rPr>
                  </w:pPr>
                  <w:r>
                    <w:rPr>
                      <w:rFonts w:hint="eastAsia" w:ascii="宋体" w:hAnsi="宋体" w:eastAsia="宋体" w:cs="宋体"/>
                      <w:i w:val="0"/>
                      <w:iCs w:val="0"/>
                      <w:color w:val="000000"/>
                      <w:kern w:val="0"/>
                      <w:sz w:val="21"/>
                      <w:szCs w:val="21"/>
                      <w:u w:val="none"/>
                      <w:lang w:val="en-US" w:eastAsia="zh-CN" w:bidi="ar"/>
                    </w:rPr>
                    <w:t>推土机</w:t>
                  </w:r>
                </w:p>
              </w:tc>
              <w:tc>
                <w:tcPr>
                  <w:tcW w:w="342" w:type="pct"/>
                  <w:noWrap w:val="0"/>
                  <w:vAlign w:val="center"/>
                </w:tcPr>
                <w:p w14:paraId="54404484">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76.0 </w:t>
                  </w:r>
                </w:p>
              </w:tc>
              <w:tc>
                <w:tcPr>
                  <w:tcW w:w="378" w:type="pct"/>
                  <w:noWrap w:val="0"/>
                  <w:vAlign w:val="center"/>
                </w:tcPr>
                <w:p w14:paraId="32704ABE">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70.0 </w:t>
                  </w:r>
                </w:p>
              </w:tc>
              <w:tc>
                <w:tcPr>
                  <w:tcW w:w="458" w:type="pct"/>
                  <w:noWrap w:val="0"/>
                  <w:vAlign w:val="center"/>
                </w:tcPr>
                <w:p w14:paraId="1C8E8479">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64.0 </w:t>
                  </w:r>
                </w:p>
              </w:tc>
              <w:tc>
                <w:tcPr>
                  <w:tcW w:w="458" w:type="pct"/>
                  <w:shd w:val="clear" w:color="auto" w:fill="auto"/>
                  <w:noWrap w:val="0"/>
                  <w:vAlign w:val="center"/>
                </w:tcPr>
                <w:p w14:paraId="1AE6F3AF">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58.0 </w:t>
                  </w:r>
                </w:p>
              </w:tc>
              <w:tc>
                <w:tcPr>
                  <w:tcW w:w="459" w:type="pct"/>
                  <w:noWrap w:val="0"/>
                  <w:vAlign w:val="center"/>
                </w:tcPr>
                <w:p w14:paraId="757B36C6">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56.0 </w:t>
                  </w:r>
                </w:p>
              </w:tc>
              <w:tc>
                <w:tcPr>
                  <w:tcW w:w="458" w:type="pct"/>
                  <w:noWrap w:val="0"/>
                  <w:vAlign w:val="center"/>
                </w:tcPr>
                <w:p w14:paraId="7A12336C">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52.8 </w:t>
                  </w:r>
                </w:p>
              </w:tc>
              <w:tc>
                <w:tcPr>
                  <w:tcW w:w="780" w:type="dxa"/>
                  <w:noWrap w:val="0"/>
                  <w:vAlign w:val="center"/>
                </w:tcPr>
                <w:p w14:paraId="65600F99">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53.5 </w:t>
                  </w:r>
                </w:p>
              </w:tc>
              <w:tc>
                <w:tcPr>
                  <w:tcW w:w="458" w:type="pct"/>
                  <w:shd w:val="clear" w:color="auto" w:fill="auto"/>
                  <w:noWrap w:val="0"/>
                  <w:vAlign w:val="center"/>
                </w:tcPr>
                <w:p w14:paraId="6222B062">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56.9 </w:t>
                  </w:r>
                </w:p>
              </w:tc>
              <w:tc>
                <w:tcPr>
                  <w:tcW w:w="469" w:type="pct"/>
                  <w:shd w:val="clear" w:color="auto" w:fill="auto"/>
                  <w:noWrap w:val="0"/>
                  <w:vAlign w:val="center"/>
                </w:tcPr>
                <w:p w14:paraId="3C3BA634">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55.0 </w:t>
                  </w:r>
                </w:p>
              </w:tc>
            </w:tr>
            <w:tr w14:paraId="79EA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noWrap w:val="0"/>
                  <w:vAlign w:val="center"/>
                </w:tcPr>
                <w:p w14:paraId="18C244CF">
                  <w:pPr>
                    <w:keepNext w:val="0"/>
                    <w:keepLines w:val="0"/>
                    <w:widowControl/>
                    <w:suppressLineNumbers w:val="0"/>
                    <w:jc w:val="center"/>
                    <w:textAlignment w:val="center"/>
                    <w:rPr>
                      <w:rFonts w:hint="default" w:ascii="Times New Roman" w:hAnsi="Times New Roman" w:cs="Times New Roman"/>
                      <w:bCs/>
                      <w:u w:val="none"/>
                    </w:rPr>
                  </w:pPr>
                  <w:r>
                    <w:rPr>
                      <w:rFonts w:hint="eastAsia" w:ascii="宋体" w:hAnsi="宋体" w:eastAsia="宋体" w:cs="宋体"/>
                      <w:i w:val="0"/>
                      <w:iCs w:val="0"/>
                      <w:color w:val="000000"/>
                      <w:kern w:val="0"/>
                      <w:sz w:val="21"/>
                      <w:szCs w:val="21"/>
                      <w:u w:val="none"/>
                      <w:lang w:val="en-US" w:eastAsia="zh-CN" w:bidi="ar"/>
                    </w:rPr>
                    <w:t>起重机</w:t>
                  </w:r>
                </w:p>
              </w:tc>
              <w:tc>
                <w:tcPr>
                  <w:tcW w:w="342" w:type="pct"/>
                  <w:noWrap w:val="0"/>
                  <w:vAlign w:val="center"/>
                </w:tcPr>
                <w:p w14:paraId="1FC77FC2">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76.0 </w:t>
                  </w:r>
                </w:p>
              </w:tc>
              <w:tc>
                <w:tcPr>
                  <w:tcW w:w="378" w:type="pct"/>
                  <w:noWrap w:val="0"/>
                  <w:vAlign w:val="center"/>
                </w:tcPr>
                <w:p w14:paraId="5C6B779E">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70.0 </w:t>
                  </w:r>
                </w:p>
              </w:tc>
              <w:tc>
                <w:tcPr>
                  <w:tcW w:w="458" w:type="pct"/>
                  <w:noWrap w:val="0"/>
                  <w:vAlign w:val="center"/>
                </w:tcPr>
                <w:p w14:paraId="55F85591">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64.0 </w:t>
                  </w:r>
                </w:p>
              </w:tc>
              <w:tc>
                <w:tcPr>
                  <w:tcW w:w="458" w:type="pct"/>
                  <w:shd w:val="clear" w:color="auto" w:fill="auto"/>
                  <w:noWrap w:val="0"/>
                  <w:vAlign w:val="center"/>
                </w:tcPr>
                <w:p w14:paraId="4030113F">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58.0 </w:t>
                  </w:r>
                </w:p>
              </w:tc>
              <w:tc>
                <w:tcPr>
                  <w:tcW w:w="459" w:type="pct"/>
                  <w:noWrap w:val="0"/>
                  <w:vAlign w:val="center"/>
                </w:tcPr>
                <w:p w14:paraId="4CA620BF">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56.0 </w:t>
                  </w:r>
                </w:p>
              </w:tc>
              <w:tc>
                <w:tcPr>
                  <w:tcW w:w="458" w:type="pct"/>
                  <w:noWrap w:val="0"/>
                  <w:vAlign w:val="center"/>
                </w:tcPr>
                <w:p w14:paraId="585A4F63">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52.8 </w:t>
                  </w:r>
                </w:p>
              </w:tc>
              <w:tc>
                <w:tcPr>
                  <w:tcW w:w="780" w:type="dxa"/>
                  <w:noWrap w:val="0"/>
                  <w:vAlign w:val="center"/>
                </w:tcPr>
                <w:p w14:paraId="5D2D59A3">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53.5 </w:t>
                  </w:r>
                </w:p>
              </w:tc>
              <w:tc>
                <w:tcPr>
                  <w:tcW w:w="458" w:type="pct"/>
                  <w:shd w:val="clear" w:color="auto" w:fill="auto"/>
                  <w:noWrap w:val="0"/>
                  <w:vAlign w:val="center"/>
                </w:tcPr>
                <w:p w14:paraId="22FE521F">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51.9 </w:t>
                  </w:r>
                </w:p>
              </w:tc>
              <w:tc>
                <w:tcPr>
                  <w:tcW w:w="469" w:type="pct"/>
                  <w:shd w:val="clear" w:color="auto" w:fill="auto"/>
                  <w:noWrap w:val="0"/>
                  <w:vAlign w:val="center"/>
                </w:tcPr>
                <w:p w14:paraId="46AE5186">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50.0 </w:t>
                  </w:r>
                </w:p>
              </w:tc>
            </w:tr>
            <w:tr w14:paraId="3ADA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noWrap w:val="0"/>
                  <w:vAlign w:val="center"/>
                </w:tcPr>
                <w:p w14:paraId="106532E2">
                  <w:pPr>
                    <w:keepNext w:val="0"/>
                    <w:keepLines w:val="0"/>
                    <w:widowControl/>
                    <w:suppressLineNumbers w:val="0"/>
                    <w:jc w:val="center"/>
                    <w:textAlignment w:val="center"/>
                    <w:rPr>
                      <w:rFonts w:hint="default" w:ascii="Times New Roman" w:hAnsi="Times New Roman" w:cs="Times New Roman"/>
                      <w:bCs/>
                      <w:u w:val="none"/>
                    </w:rPr>
                  </w:pPr>
                  <w:r>
                    <w:rPr>
                      <w:rFonts w:hint="eastAsia" w:ascii="宋体" w:hAnsi="宋体" w:eastAsia="宋体" w:cs="宋体"/>
                      <w:i w:val="0"/>
                      <w:iCs w:val="0"/>
                      <w:color w:val="000000"/>
                      <w:kern w:val="0"/>
                      <w:sz w:val="21"/>
                      <w:szCs w:val="21"/>
                      <w:u w:val="none"/>
                      <w:lang w:val="en-US" w:eastAsia="zh-CN" w:bidi="ar"/>
                    </w:rPr>
                    <w:t>拖拉机</w:t>
                  </w:r>
                </w:p>
              </w:tc>
              <w:tc>
                <w:tcPr>
                  <w:tcW w:w="342" w:type="pct"/>
                  <w:noWrap w:val="0"/>
                  <w:vAlign w:val="center"/>
                </w:tcPr>
                <w:p w14:paraId="0F8A279B">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76.0 </w:t>
                  </w:r>
                </w:p>
              </w:tc>
              <w:tc>
                <w:tcPr>
                  <w:tcW w:w="378" w:type="pct"/>
                  <w:noWrap w:val="0"/>
                  <w:vAlign w:val="center"/>
                </w:tcPr>
                <w:p w14:paraId="66B291A5">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70.0 </w:t>
                  </w:r>
                </w:p>
              </w:tc>
              <w:tc>
                <w:tcPr>
                  <w:tcW w:w="458" w:type="pct"/>
                  <w:noWrap w:val="0"/>
                  <w:vAlign w:val="center"/>
                </w:tcPr>
                <w:p w14:paraId="20411306">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64.0 </w:t>
                  </w:r>
                </w:p>
              </w:tc>
              <w:tc>
                <w:tcPr>
                  <w:tcW w:w="458" w:type="pct"/>
                  <w:shd w:val="clear" w:color="auto" w:fill="auto"/>
                  <w:noWrap w:val="0"/>
                  <w:vAlign w:val="center"/>
                </w:tcPr>
                <w:p w14:paraId="0E2CF82F">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58.0 </w:t>
                  </w:r>
                </w:p>
              </w:tc>
              <w:tc>
                <w:tcPr>
                  <w:tcW w:w="459" w:type="pct"/>
                  <w:noWrap w:val="0"/>
                  <w:vAlign w:val="center"/>
                </w:tcPr>
                <w:p w14:paraId="3496D828">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56.0 </w:t>
                  </w:r>
                </w:p>
              </w:tc>
              <w:tc>
                <w:tcPr>
                  <w:tcW w:w="458" w:type="pct"/>
                  <w:noWrap w:val="0"/>
                  <w:vAlign w:val="center"/>
                </w:tcPr>
                <w:p w14:paraId="0D86DAC2">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52.8 </w:t>
                  </w:r>
                </w:p>
              </w:tc>
              <w:tc>
                <w:tcPr>
                  <w:tcW w:w="780" w:type="dxa"/>
                  <w:noWrap w:val="0"/>
                  <w:vAlign w:val="center"/>
                </w:tcPr>
                <w:p w14:paraId="0E5FB7E3">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53.5 </w:t>
                  </w:r>
                </w:p>
              </w:tc>
              <w:tc>
                <w:tcPr>
                  <w:tcW w:w="458" w:type="pct"/>
                  <w:shd w:val="clear" w:color="auto" w:fill="auto"/>
                  <w:noWrap w:val="0"/>
                  <w:vAlign w:val="center"/>
                </w:tcPr>
                <w:p w14:paraId="15DE59CB">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51.9 </w:t>
                  </w:r>
                </w:p>
              </w:tc>
              <w:tc>
                <w:tcPr>
                  <w:tcW w:w="469" w:type="pct"/>
                  <w:shd w:val="clear" w:color="auto" w:fill="auto"/>
                  <w:noWrap w:val="0"/>
                  <w:vAlign w:val="center"/>
                </w:tcPr>
                <w:p w14:paraId="53E14CD5">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50.0 </w:t>
                  </w:r>
                </w:p>
              </w:tc>
            </w:tr>
            <w:tr w14:paraId="79D2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noWrap w:val="0"/>
                  <w:vAlign w:val="center"/>
                </w:tcPr>
                <w:p w14:paraId="6268EB26">
                  <w:pPr>
                    <w:pStyle w:val="253"/>
                    <w:ind w:firstLine="0" w:firstLineChars="0"/>
                    <w:rPr>
                      <w:rFonts w:hint="default" w:ascii="Times New Roman" w:hAnsi="Times New Roman" w:cs="Times New Roman"/>
                      <w:bCs/>
                      <w:u w:val="none"/>
                    </w:rPr>
                  </w:pPr>
                  <w:r>
                    <w:rPr>
                      <w:rFonts w:hint="eastAsia" w:ascii="Times New Roman" w:hAnsi="Times New Roman" w:cs="Times New Roman"/>
                      <w:bCs/>
                      <w:u w:val="none"/>
                      <w:lang w:val="en-US" w:eastAsia="zh-CN"/>
                    </w:rPr>
                    <w:t>叠加值</w:t>
                  </w:r>
                </w:p>
              </w:tc>
              <w:tc>
                <w:tcPr>
                  <w:tcW w:w="342" w:type="pct"/>
                  <w:noWrap w:val="0"/>
                  <w:vAlign w:val="center"/>
                </w:tcPr>
                <w:p w14:paraId="43690145">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91.0 </w:t>
                  </w:r>
                </w:p>
              </w:tc>
              <w:tc>
                <w:tcPr>
                  <w:tcW w:w="378" w:type="pct"/>
                  <w:noWrap w:val="0"/>
                  <w:vAlign w:val="center"/>
                </w:tcPr>
                <w:p w14:paraId="530E9072">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85.0 </w:t>
                  </w:r>
                </w:p>
              </w:tc>
              <w:tc>
                <w:tcPr>
                  <w:tcW w:w="458" w:type="pct"/>
                  <w:noWrap w:val="0"/>
                  <w:vAlign w:val="center"/>
                </w:tcPr>
                <w:p w14:paraId="6092DFC9">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78.9 </w:t>
                  </w:r>
                </w:p>
              </w:tc>
              <w:tc>
                <w:tcPr>
                  <w:tcW w:w="458" w:type="pct"/>
                  <w:shd w:val="clear" w:color="auto" w:fill="auto"/>
                  <w:noWrap w:val="0"/>
                  <w:vAlign w:val="center"/>
                </w:tcPr>
                <w:p w14:paraId="17EDF19F">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72.9 </w:t>
                  </w:r>
                </w:p>
              </w:tc>
              <w:tc>
                <w:tcPr>
                  <w:tcW w:w="459" w:type="pct"/>
                  <w:noWrap w:val="0"/>
                  <w:vAlign w:val="center"/>
                </w:tcPr>
                <w:p w14:paraId="5DB7EE0F">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71.0 </w:t>
                  </w:r>
                </w:p>
              </w:tc>
              <w:tc>
                <w:tcPr>
                  <w:tcW w:w="458" w:type="pct"/>
                  <w:noWrap w:val="0"/>
                  <w:vAlign w:val="center"/>
                </w:tcPr>
                <w:p w14:paraId="400C2E00">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67.7 </w:t>
                  </w:r>
                </w:p>
              </w:tc>
              <w:tc>
                <w:tcPr>
                  <w:tcW w:w="780" w:type="dxa"/>
                  <w:noWrap w:val="0"/>
                  <w:vAlign w:val="center"/>
                </w:tcPr>
                <w:p w14:paraId="2E6B008E">
                  <w:pPr>
                    <w:keepNext w:val="0"/>
                    <w:keepLines w:val="0"/>
                    <w:widowControl/>
                    <w:suppressLineNumbers w:val="0"/>
                    <w:jc w:val="center"/>
                    <w:textAlignment w:val="center"/>
                    <w:rPr>
                      <w:rFonts w:hint="default" w:ascii="Times New Roman" w:hAnsi="Times New Roman" w:cs="Times New Roman"/>
                      <w:u w:val="none"/>
                    </w:rPr>
                  </w:pPr>
                  <w:r>
                    <w:rPr>
                      <w:rFonts w:hint="default" w:ascii="Times New Roman" w:hAnsi="Times New Roman" w:eastAsia="宋体" w:cs="Times New Roman"/>
                      <w:i w:val="0"/>
                      <w:iCs w:val="0"/>
                      <w:color w:val="000000"/>
                      <w:kern w:val="0"/>
                      <w:sz w:val="21"/>
                      <w:szCs w:val="21"/>
                      <w:u w:val="none"/>
                      <w:lang w:val="en-US" w:eastAsia="zh-CN" w:bidi="ar"/>
                    </w:rPr>
                    <w:t xml:space="preserve">68.5 </w:t>
                  </w:r>
                </w:p>
              </w:tc>
              <w:tc>
                <w:tcPr>
                  <w:tcW w:w="458" w:type="pct"/>
                  <w:shd w:val="clear" w:color="auto" w:fill="auto"/>
                  <w:noWrap w:val="0"/>
                  <w:vAlign w:val="center"/>
                </w:tcPr>
                <w:p w14:paraId="67621961">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66.9 </w:t>
                  </w:r>
                </w:p>
              </w:tc>
              <w:tc>
                <w:tcPr>
                  <w:tcW w:w="469" w:type="pct"/>
                  <w:shd w:val="clear" w:color="auto" w:fill="auto"/>
                  <w:noWrap w:val="0"/>
                  <w:vAlign w:val="center"/>
                </w:tcPr>
                <w:p w14:paraId="54EDE9DD">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65.0 </w:t>
                  </w:r>
                </w:p>
              </w:tc>
            </w:tr>
            <w:tr w14:paraId="4DCE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9" w:type="pct"/>
                  <w:noWrap w:val="0"/>
                  <w:vAlign w:val="center"/>
                </w:tcPr>
                <w:p w14:paraId="64AA74C7">
                  <w:pPr>
                    <w:pStyle w:val="253"/>
                    <w:rPr>
                      <w:rFonts w:hint="default" w:ascii="Times New Roman" w:hAnsi="Times New Roman" w:cs="Times New Roman"/>
                      <w:bCs/>
                      <w:u w:val="none"/>
                      <w:lang w:val="en-US" w:eastAsia="zh-CN"/>
                    </w:rPr>
                  </w:pPr>
                  <w:r>
                    <w:rPr>
                      <w:rFonts w:hint="eastAsia" w:ascii="Times New Roman" w:hAnsi="Times New Roman" w:cs="Times New Roman"/>
                      <w:bCs/>
                      <w:u w:val="none"/>
                      <w:lang w:val="en-US" w:eastAsia="zh-CN"/>
                    </w:rPr>
                    <w:t>采取隔声、减震等措施后叠加值</w:t>
                  </w:r>
                </w:p>
              </w:tc>
              <w:tc>
                <w:tcPr>
                  <w:tcW w:w="342" w:type="pct"/>
                  <w:noWrap w:val="0"/>
                  <w:vAlign w:val="center"/>
                </w:tcPr>
                <w:p w14:paraId="6CF6DFF1">
                  <w:pPr>
                    <w:keepNext w:val="0"/>
                    <w:keepLines w:val="0"/>
                    <w:widowControl/>
                    <w:suppressLineNumbers w:val="0"/>
                    <w:jc w:val="center"/>
                    <w:textAlignment w:val="center"/>
                    <w:rPr>
                      <w:rFonts w:hint="default" w:ascii="Times New Roman" w:hAnsi="Times New Roman" w:cs="Times New Roman"/>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71.0 </w:t>
                  </w:r>
                </w:p>
              </w:tc>
              <w:tc>
                <w:tcPr>
                  <w:tcW w:w="378" w:type="pct"/>
                  <w:noWrap w:val="0"/>
                  <w:vAlign w:val="center"/>
                </w:tcPr>
                <w:p w14:paraId="177D81FA">
                  <w:pPr>
                    <w:keepNext w:val="0"/>
                    <w:keepLines w:val="0"/>
                    <w:widowControl/>
                    <w:suppressLineNumbers w:val="0"/>
                    <w:jc w:val="center"/>
                    <w:textAlignment w:val="center"/>
                    <w:rPr>
                      <w:rFonts w:hint="default" w:ascii="Times New Roman" w:hAnsi="Times New Roman" w:cs="Times New Roman"/>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65.0 </w:t>
                  </w:r>
                </w:p>
              </w:tc>
              <w:tc>
                <w:tcPr>
                  <w:tcW w:w="458" w:type="pct"/>
                  <w:noWrap w:val="0"/>
                  <w:vAlign w:val="center"/>
                </w:tcPr>
                <w:p w14:paraId="4E2FFD1A">
                  <w:pPr>
                    <w:keepNext w:val="0"/>
                    <w:keepLines w:val="0"/>
                    <w:widowControl/>
                    <w:suppressLineNumbers w:val="0"/>
                    <w:jc w:val="center"/>
                    <w:textAlignment w:val="center"/>
                    <w:rPr>
                      <w:rFonts w:hint="default" w:ascii="Times New Roman" w:hAnsi="Times New Roman" w:cs="Times New Roman"/>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58.9 </w:t>
                  </w:r>
                </w:p>
              </w:tc>
              <w:tc>
                <w:tcPr>
                  <w:tcW w:w="458" w:type="pct"/>
                  <w:shd w:val="clear" w:color="auto" w:fill="auto"/>
                  <w:noWrap w:val="0"/>
                  <w:vAlign w:val="center"/>
                </w:tcPr>
                <w:p w14:paraId="5F977636">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52.9 </w:t>
                  </w:r>
                </w:p>
              </w:tc>
              <w:tc>
                <w:tcPr>
                  <w:tcW w:w="459" w:type="pct"/>
                  <w:noWrap w:val="0"/>
                  <w:vAlign w:val="center"/>
                </w:tcPr>
                <w:p w14:paraId="68F1A919">
                  <w:pPr>
                    <w:keepNext w:val="0"/>
                    <w:keepLines w:val="0"/>
                    <w:widowControl/>
                    <w:suppressLineNumbers w:val="0"/>
                    <w:jc w:val="center"/>
                    <w:textAlignment w:val="center"/>
                    <w:rPr>
                      <w:rFonts w:hint="default" w:ascii="Times New Roman" w:hAnsi="Times New Roman" w:cs="Times New Roman"/>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51.0 </w:t>
                  </w:r>
                </w:p>
              </w:tc>
              <w:tc>
                <w:tcPr>
                  <w:tcW w:w="458" w:type="pct"/>
                  <w:noWrap w:val="0"/>
                  <w:vAlign w:val="center"/>
                </w:tcPr>
                <w:p w14:paraId="26855112">
                  <w:pPr>
                    <w:keepNext w:val="0"/>
                    <w:keepLines w:val="0"/>
                    <w:widowControl/>
                    <w:suppressLineNumbers w:val="0"/>
                    <w:jc w:val="center"/>
                    <w:textAlignment w:val="center"/>
                    <w:rPr>
                      <w:rFonts w:hint="default" w:ascii="Times New Roman" w:hAnsi="Times New Roman" w:cs="Times New Roman"/>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47.7 </w:t>
                  </w:r>
                </w:p>
              </w:tc>
              <w:tc>
                <w:tcPr>
                  <w:tcW w:w="780" w:type="dxa"/>
                  <w:noWrap w:val="0"/>
                  <w:vAlign w:val="center"/>
                </w:tcPr>
                <w:p w14:paraId="3A6E1348">
                  <w:pPr>
                    <w:keepNext w:val="0"/>
                    <w:keepLines w:val="0"/>
                    <w:widowControl/>
                    <w:suppressLineNumbers w:val="0"/>
                    <w:jc w:val="center"/>
                    <w:textAlignment w:val="center"/>
                    <w:rPr>
                      <w:rFonts w:hint="default" w:ascii="Times New Roman" w:hAnsi="Times New Roman" w:cs="Times New Roman"/>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48.5 </w:t>
                  </w:r>
                </w:p>
              </w:tc>
              <w:tc>
                <w:tcPr>
                  <w:tcW w:w="458" w:type="pct"/>
                  <w:shd w:val="clear" w:color="auto" w:fill="auto"/>
                  <w:noWrap w:val="0"/>
                  <w:vAlign w:val="center"/>
                </w:tcPr>
                <w:p w14:paraId="785EAEEF">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46.9 </w:t>
                  </w:r>
                </w:p>
              </w:tc>
              <w:tc>
                <w:tcPr>
                  <w:tcW w:w="469" w:type="pct"/>
                  <w:shd w:val="clear" w:color="auto" w:fill="auto"/>
                  <w:noWrap w:val="0"/>
                  <w:vAlign w:val="center"/>
                </w:tcPr>
                <w:p w14:paraId="3AD2BB8A">
                  <w:pPr>
                    <w:keepNext w:val="0"/>
                    <w:keepLines w:val="0"/>
                    <w:widowControl/>
                    <w:suppressLineNumbers w:val="0"/>
                    <w:jc w:val="center"/>
                    <w:textAlignment w:val="center"/>
                    <w:rPr>
                      <w:rFonts w:hint="default" w:ascii="Times New Roman" w:hAnsi="Times New Roman" w:cs="Times New Roman" w:eastAsiaTheme="minorEastAsia"/>
                      <w:kern w:val="2"/>
                      <w:sz w:val="21"/>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45.0 </w:t>
                  </w:r>
                </w:p>
              </w:tc>
            </w:tr>
          </w:tbl>
          <w:p w14:paraId="6EF2B3D9">
            <w:pPr>
              <w:spacing w:line="360" w:lineRule="auto"/>
              <w:ind w:firstLine="480" w:firstLineChars="200"/>
              <w:jc w:val="left"/>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根据预测结果</w:t>
            </w:r>
            <w:r>
              <w:rPr>
                <w:rFonts w:hint="eastAsia" w:cs="Times New Roman"/>
                <w:color w:val="000000" w:themeColor="text1"/>
                <w:sz w:val="24"/>
                <w:u w:val="none" w:color="auto"/>
                <w:lang w:val="en-US" w:eastAsia="zh-CN"/>
                <w14:textFill>
                  <w14:solidFill>
                    <w14:schemeClr w14:val="tx1"/>
                  </w14:solidFill>
                </w14:textFill>
              </w:rPr>
              <w:t>，</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所有机械同时施工情况下，采取隔声、减震等措施后叠加值昼间</w:t>
            </w:r>
            <w:r>
              <w:rPr>
                <w:rFonts w:hint="eastAsia" w:cs="Times New Roman"/>
                <w:color w:val="000000" w:themeColor="text1"/>
                <w:sz w:val="24"/>
                <w:u w:val="none" w:color="auto"/>
                <w:lang w:val="en-US" w:eastAsia="zh-CN"/>
                <w14:textFill>
                  <w14:solidFill>
                    <w14:schemeClr w14:val="tx1"/>
                  </w14:solidFill>
                </w14:textFill>
              </w:rPr>
              <w:t>10</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m、夜间</w:t>
            </w:r>
            <w:r>
              <w:rPr>
                <w:rFonts w:hint="eastAsia" w:cs="Times New Roman"/>
                <w:color w:val="000000" w:themeColor="text1"/>
                <w:sz w:val="24"/>
                <w:u w:val="none" w:color="auto"/>
                <w:lang w:val="en-US" w:eastAsia="zh-CN"/>
                <w14:textFill>
                  <w14:solidFill>
                    <w14:schemeClr w14:val="tx1"/>
                  </w14:solidFill>
                </w14:textFill>
              </w:rPr>
              <w:t>40</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m外满足《建筑施工场界环境噪声排放标准》。</w:t>
            </w:r>
          </w:p>
          <w:p w14:paraId="66DC02DB">
            <w:pPr>
              <w:spacing w:line="360" w:lineRule="auto"/>
              <w:ind w:firstLine="480" w:firstLineChars="200"/>
              <w:jc w:val="left"/>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敏感点声环境质量评价：将敏感点噪声贡献值与背景值进行叠加得到预测值，对标《声环境质量标准》（GB3096-2008）进行评价</w:t>
            </w:r>
            <w:r>
              <w:rPr>
                <w:rFonts w:hint="eastAsia" w:cs="Times New Roman"/>
                <w:color w:val="000000" w:themeColor="text1"/>
                <w:sz w:val="24"/>
                <w:u w:val="none" w:color="auto"/>
                <w:lang w:val="en-US" w:eastAsia="zh-CN"/>
                <w14:textFill>
                  <w14:solidFill>
                    <w14:schemeClr w14:val="tx1"/>
                  </w14:solidFill>
                </w14:textFill>
              </w:rPr>
              <w:t>。预测结果见下表4-4。</w:t>
            </w:r>
          </w:p>
          <w:p w14:paraId="6EF64733">
            <w:pPr>
              <w:keepNext w:val="0"/>
              <w:keepLines w:val="0"/>
              <w:widowControl/>
              <w:suppressLineNumbers w:val="0"/>
              <w:jc w:val="cente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pPr>
            <w:r>
              <w:rPr>
                <w:rFonts w:hint="eastAsia" w:ascii="宋体" w:hAnsi="宋体" w:eastAsia="宋体" w:cs="宋体"/>
                <w:b/>
                <w:bCs/>
                <w:color w:val="000000"/>
                <w:kern w:val="0"/>
                <w:sz w:val="21"/>
                <w:szCs w:val="21"/>
                <w:u w:val="none" w:color="auto"/>
                <w:lang w:val="en-US" w:eastAsia="zh-CN" w:bidi="ar"/>
              </w:rPr>
              <w:t xml:space="preserve">表 </w:t>
            </w:r>
            <w:r>
              <w:rPr>
                <w:rFonts w:hint="default" w:ascii="Times New Roman" w:hAnsi="Times New Roman" w:eastAsia="宋体" w:cs="Times New Roman"/>
                <w:b/>
                <w:bCs/>
                <w:color w:val="000000"/>
                <w:kern w:val="0"/>
                <w:sz w:val="21"/>
                <w:szCs w:val="21"/>
                <w:u w:val="none" w:color="auto"/>
                <w:lang w:val="en-US" w:eastAsia="zh-CN" w:bidi="ar"/>
              </w:rPr>
              <w:t>4-</w:t>
            </w:r>
            <w:r>
              <w:rPr>
                <w:rFonts w:hint="eastAsia" w:cs="Times New Roman"/>
                <w:b/>
                <w:bCs/>
                <w:color w:val="000000"/>
                <w:kern w:val="0"/>
                <w:sz w:val="21"/>
                <w:szCs w:val="21"/>
                <w:u w:val="none" w:color="auto"/>
                <w:lang w:val="en-US" w:eastAsia="zh-CN" w:bidi="ar"/>
              </w:rPr>
              <w:t>4</w:t>
            </w:r>
            <w:r>
              <w:rPr>
                <w:rFonts w:hint="default" w:ascii="Times New Roman" w:hAnsi="Times New Roman" w:eastAsia="宋体" w:cs="Times New Roman"/>
                <w:b/>
                <w:bCs/>
                <w:color w:val="000000"/>
                <w:kern w:val="0"/>
                <w:sz w:val="21"/>
                <w:szCs w:val="21"/>
                <w:u w:val="none" w:color="auto"/>
                <w:lang w:val="en-US" w:eastAsia="zh-CN" w:bidi="ar"/>
              </w:rPr>
              <w:t xml:space="preserve"> </w:t>
            </w:r>
            <w:r>
              <w:rPr>
                <w:rFonts w:hint="eastAsia" w:ascii="宋体" w:hAnsi="宋体" w:eastAsia="宋体" w:cs="宋体"/>
                <w:b/>
                <w:bCs/>
                <w:color w:val="000000"/>
                <w:kern w:val="0"/>
                <w:sz w:val="21"/>
                <w:szCs w:val="21"/>
                <w:u w:val="none" w:color="auto"/>
                <w:lang w:val="en-US" w:eastAsia="zh-CN" w:bidi="ar"/>
              </w:rPr>
              <w:t>施工机械噪声</w:t>
            </w:r>
            <w:r>
              <w:rPr>
                <w:rFonts w:hint="eastAsia" w:ascii="宋体" w:hAnsi="宋体" w:cs="宋体"/>
                <w:b/>
                <w:bCs/>
                <w:color w:val="000000"/>
                <w:kern w:val="0"/>
                <w:sz w:val="21"/>
                <w:szCs w:val="21"/>
                <w:u w:val="none" w:color="auto"/>
                <w:lang w:val="en-US" w:eastAsia="zh-CN" w:bidi="ar"/>
              </w:rPr>
              <w:t>敏感点</w:t>
            </w:r>
            <w:r>
              <w:rPr>
                <w:rFonts w:hint="eastAsia" w:ascii="宋体" w:hAnsi="宋体" w:eastAsia="宋体" w:cs="宋体"/>
                <w:b/>
                <w:bCs/>
                <w:color w:val="000000"/>
                <w:kern w:val="0"/>
                <w:sz w:val="21"/>
                <w:szCs w:val="21"/>
                <w:u w:val="none" w:color="auto"/>
                <w:lang w:val="en-US" w:eastAsia="zh-CN" w:bidi="ar"/>
              </w:rPr>
              <w:t>影响预测（等效声级：</w:t>
            </w:r>
            <w:r>
              <w:rPr>
                <w:rFonts w:hint="default" w:ascii="Times New Roman" w:hAnsi="Times New Roman" w:eastAsia="宋体" w:cs="Times New Roman"/>
                <w:b/>
                <w:bCs/>
                <w:color w:val="000000"/>
                <w:kern w:val="0"/>
                <w:sz w:val="21"/>
                <w:szCs w:val="21"/>
                <w:u w:val="none" w:color="auto"/>
                <w:lang w:val="en-US" w:eastAsia="zh-CN" w:bidi="ar"/>
              </w:rPr>
              <w:t>dB(A)</w:t>
            </w:r>
            <w:r>
              <w:rPr>
                <w:rFonts w:hint="eastAsia" w:ascii="宋体" w:hAnsi="宋体" w:eastAsia="宋体" w:cs="宋体"/>
                <w:b/>
                <w:bCs/>
                <w:color w:val="000000"/>
                <w:kern w:val="0"/>
                <w:sz w:val="21"/>
                <w:szCs w:val="21"/>
                <w:u w:val="none" w:color="auto"/>
                <w:lang w:val="en-US" w:eastAsia="zh-CN" w:bidi="ar"/>
              </w:rPr>
              <w:t>）</w:t>
            </w:r>
          </w:p>
          <w:tbl>
            <w:tblPr>
              <w:tblStyle w:val="4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1149"/>
              <w:gridCol w:w="942"/>
              <w:gridCol w:w="1085"/>
              <w:gridCol w:w="1191"/>
              <w:gridCol w:w="977"/>
              <w:gridCol w:w="1085"/>
              <w:gridCol w:w="1085"/>
            </w:tblGrid>
            <w:tr w14:paraId="30B1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7" w:type="pct"/>
                  <w:tcBorders>
                    <w:tl2br w:val="nil"/>
                    <w:tr2bl w:val="nil"/>
                  </w:tcBorders>
                  <w:vAlign w:val="center"/>
                </w:tcPr>
                <w:p w14:paraId="1294AD26">
                  <w:pPr>
                    <w:pStyle w:val="60"/>
                    <w:ind w:left="0" w:leftChars="0" w:firstLine="0" w:firstLineChars="0"/>
                    <w:jc w:val="center"/>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预测敏感点</w:t>
                  </w:r>
                </w:p>
              </w:tc>
              <w:tc>
                <w:tcPr>
                  <w:tcW w:w="662" w:type="pct"/>
                  <w:tcBorders>
                    <w:tl2br w:val="nil"/>
                    <w:tr2bl w:val="nil"/>
                  </w:tcBorders>
                  <w:vAlign w:val="center"/>
                </w:tcPr>
                <w:p w14:paraId="21A5DC08">
                  <w:pPr>
                    <w:pStyle w:val="60"/>
                    <w:ind w:left="0" w:leftChars="0" w:firstLine="0" w:firstLineChars="0"/>
                    <w:jc w:val="center"/>
                    <w:rPr>
                      <w:rFonts w:hint="default" w:ascii="Times New Roman" w:hAnsi="Times New Roman" w:eastAsia="宋体" w:cs="Times New Roman"/>
                      <w:sz w:val="21"/>
                      <w:szCs w:val="21"/>
                      <w:u w:val="none" w:color="auto"/>
                      <w:vertAlign w:val="baseline"/>
                      <w:lang w:val="en-US" w:eastAsia="zh-CN"/>
                    </w:rPr>
                  </w:pPr>
                  <w:r>
                    <w:rPr>
                      <w:rFonts w:hint="eastAsia" w:ascii="Times New Roman" w:hAnsi="Times New Roman" w:eastAsia="宋体" w:cs="Times New Roman"/>
                      <w:i w:val="0"/>
                      <w:iCs w:val="0"/>
                      <w:color w:val="000000"/>
                      <w:kern w:val="0"/>
                      <w:sz w:val="21"/>
                      <w:szCs w:val="21"/>
                      <w:u w:val="none" w:color="auto"/>
                      <w:lang w:val="en-US" w:eastAsia="zh-CN" w:bidi="ar"/>
                    </w:rPr>
                    <w:t>距项目最近距离</w:t>
                  </w:r>
                </w:p>
              </w:tc>
              <w:tc>
                <w:tcPr>
                  <w:tcW w:w="543" w:type="pct"/>
                  <w:tcBorders>
                    <w:tl2br w:val="nil"/>
                    <w:tr2bl w:val="nil"/>
                  </w:tcBorders>
                  <w:vAlign w:val="center"/>
                </w:tcPr>
                <w:p w14:paraId="6A1FC033">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时间段</w:t>
                  </w:r>
                </w:p>
              </w:tc>
              <w:tc>
                <w:tcPr>
                  <w:tcW w:w="625" w:type="pct"/>
                  <w:tcBorders>
                    <w:tl2br w:val="nil"/>
                    <w:tr2bl w:val="nil"/>
                  </w:tcBorders>
                  <w:vAlign w:val="center"/>
                </w:tcPr>
                <w:p w14:paraId="4594907E">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背景值</w:t>
                  </w:r>
                </w:p>
              </w:tc>
              <w:tc>
                <w:tcPr>
                  <w:tcW w:w="686" w:type="pct"/>
                  <w:tcBorders>
                    <w:tl2br w:val="nil"/>
                    <w:tr2bl w:val="nil"/>
                  </w:tcBorders>
                  <w:vAlign w:val="center"/>
                </w:tcPr>
                <w:p w14:paraId="4FF7FA02">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最大贡献值</w:t>
                  </w:r>
                </w:p>
              </w:tc>
              <w:tc>
                <w:tcPr>
                  <w:tcW w:w="563" w:type="pct"/>
                  <w:tcBorders>
                    <w:tl2br w:val="nil"/>
                    <w:tr2bl w:val="nil"/>
                  </w:tcBorders>
                  <w:vAlign w:val="center"/>
                </w:tcPr>
                <w:p w14:paraId="6BF822CC">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预测值</w:t>
                  </w:r>
                </w:p>
              </w:tc>
              <w:tc>
                <w:tcPr>
                  <w:tcW w:w="625" w:type="pct"/>
                  <w:tcBorders>
                    <w:tl2br w:val="nil"/>
                    <w:tr2bl w:val="nil"/>
                  </w:tcBorders>
                  <w:vAlign w:val="center"/>
                </w:tcPr>
                <w:p w14:paraId="037C9246">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标准值</w:t>
                  </w:r>
                </w:p>
              </w:tc>
              <w:tc>
                <w:tcPr>
                  <w:tcW w:w="625" w:type="pct"/>
                  <w:tcBorders>
                    <w:tl2br w:val="nil"/>
                    <w:tr2bl w:val="nil"/>
                  </w:tcBorders>
                  <w:vAlign w:val="center"/>
                </w:tcPr>
                <w:p w14:paraId="1C5F8836">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是否超标</w:t>
                  </w:r>
                </w:p>
              </w:tc>
            </w:tr>
            <w:tr w14:paraId="67A8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7" w:type="pct"/>
                  <w:vMerge w:val="restart"/>
                  <w:tcBorders>
                    <w:tl2br w:val="nil"/>
                    <w:tr2bl w:val="nil"/>
                  </w:tcBorders>
                  <w:vAlign w:val="center"/>
                </w:tcPr>
                <w:p w14:paraId="0A3B61D1">
                  <w:pPr>
                    <w:pStyle w:val="60"/>
                    <w:ind w:left="0" w:leftChars="0" w:firstLine="0" w:firstLineChars="0"/>
                    <w:jc w:val="center"/>
                    <w:rPr>
                      <w:rFonts w:hint="default" w:ascii="Times New Roman" w:hAnsi="Times New Roman" w:eastAsia="宋体" w:cs="Times New Roman"/>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lang w:val="en-US" w:eastAsia="zh-CN"/>
                    </w:rPr>
                    <w:t>项目东北侧50m居民</w:t>
                  </w:r>
                </w:p>
              </w:tc>
              <w:tc>
                <w:tcPr>
                  <w:tcW w:w="662" w:type="pct"/>
                  <w:vMerge w:val="restart"/>
                  <w:tcBorders>
                    <w:tl2br w:val="nil"/>
                    <w:tr2bl w:val="nil"/>
                  </w:tcBorders>
                  <w:vAlign w:val="center"/>
                </w:tcPr>
                <w:p w14:paraId="1D85FFE4">
                  <w:pPr>
                    <w:pStyle w:val="60"/>
                    <w:ind w:left="0" w:leftChars="0" w:firstLine="0" w:firstLineChars="0"/>
                    <w:jc w:val="center"/>
                    <w:rPr>
                      <w:rFonts w:hint="default" w:ascii="Times New Roman" w:hAnsi="Times New Roman" w:eastAsia="宋体" w:cs="Times New Roman"/>
                      <w:sz w:val="21"/>
                      <w:szCs w:val="21"/>
                      <w:u w:val="none" w:color="auto"/>
                      <w:vertAlign w:val="baseline"/>
                      <w:lang w:val="en-US" w:eastAsia="zh-CN"/>
                    </w:rPr>
                  </w:pPr>
                  <w:r>
                    <w:rPr>
                      <w:rFonts w:hint="eastAsia" w:ascii="Times New Roman" w:hAnsi="Times New Roman" w:eastAsia="宋体" w:cs="Times New Roman"/>
                      <w:sz w:val="21"/>
                      <w:szCs w:val="21"/>
                      <w:u w:val="none" w:color="auto"/>
                      <w:vertAlign w:val="baseline"/>
                      <w:lang w:val="en-US" w:eastAsia="zh-CN"/>
                    </w:rPr>
                    <w:t>50</w:t>
                  </w:r>
                  <w:r>
                    <w:rPr>
                      <w:rFonts w:hint="eastAsia" w:ascii="Times New Roman" w:hAnsi="Times New Roman" w:cs="Times New Roman"/>
                      <w:sz w:val="21"/>
                      <w:szCs w:val="21"/>
                      <w:u w:val="none" w:color="auto"/>
                      <w:vertAlign w:val="baseline"/>
                      <w:lang w:val="en-US" w:eastAsia="zh-CN"/>
                    </w:rPr>
                    <w:t>m</w:t>
                  </w:r>
                </w:p>
              </w:tc>
              <w:tc>
                <w:tcPr>
                  <w:tcW w:w="543" w:type="pct"/>
                  <w:tcBorders>
                    <w:tl2br w:val="nil"/>
                    <w:tr2bl w:val="nil"/>
                  </w:tcBorders>
                  <w:vAlign w:val="center"/>
                </w:tcPr>
                <w:p w14:paraId="24ECAD5A">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昼间</w:t>
                  </w:r>
                </w:p>
              </w:tc>
              <w:tc>
                <w:tcPr>
                  <w:tcW w:w="625" w:type="pct"/>
                  <w:tcBorders>
                    <w:tl2br w:val="nil"/>
                    <w:tr2bl w:val="nil"/>
                  </w:tcBorders>
                  <w:vAlign w:val="center"/>
                </w:tcPr>
                <w:p w14:paraId="5198080A">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52</w:t>
                  </w:r>
                </w:p>
              </w:tc>
              <w:tc>
                <w:tcPr>
                  <w:tcW w:w="686" w:type="pct"/>
                  <w:vMerge w:val="restart"/>
                  <w:tcBorders>
                    <w:tl2br w:val="nil"/>
                    <w:tr2bl w:val="nil"/>
                  </w:tcBorders>
                  <w:vAlign w:val="center"/>
                </w:tcPr>
                <w:p w14:paraId="73F501C1">
                  <w:pPr>
                    <w:keepNext w:val="0"/>
                    <w:keepLines w:val="0"/>
                    <w:widowControl/>
                    <w:suppressLineNumbers w:val="0"/>
                    <w:jc w:val="center"/>
                    <w:textAlignment w:val="center"/>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5</w:t>
                  </w:r>
                  <w:r>
                    <w:rPr>
                      <w:rFonts w:hint="eastAsia" w:ascii="Times New Roman" w:hAnsi="Times New Roman" w:eastAsia="宋体" w:cs="Times New Roman"/>
                      <w:i w:val="0"/>
                      <w:iCs w:val="0"/>
                      <w:color w:val="000000"/>
                      <w:kern w:val="0"/>
                      <w:sz w:val="21"/>
                      <w:szCs w:val="21"/>
                      <w:u w:val="none" w:color="auto"/>
                      <w:lang w:val="en-US" w:eastAsia="zh-CN" w:bidi="ar"/>
                    </w:rPr>
                    <w:t>1.0</w:t>
                  </w:r>
                </w:p>
              </w:tc>
              <w:tc>
                <w:tcPr>
                  <w:tcW w:w="563" w:type="pct"/>
                  <w:tcBorders>
                    <w:tl2br w:val="nil"/>
                    <w:tr2bl w:val="nil"/>
                  </w:tcBorders>
                  <w:vAlign w:val="center"/>
                </w:tcPr>
                <w:p w14:paraId="3E4868FB">
                  <w:pPr>
                    <w:keepNext w:val="0"/>
                    <w:keepLines w:val="0"/>
                    <w:widowControl/>
                    <w:suppressLineNumbers w:val="0"/>
                    <w:jc w:val="center"/>
                    <w:textAlignment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54.5</w:t>
                  </w:r>
                </w:p>
              </w:tc>
              <w:tc>
                <w:tcPr>
                  <w:tcW w:w="625" w:type="pct"/>
                  <w:tcBorders>
                    <w:tl2br w:val="nil"/>
                    <w:tr2bl w:val="nil"/>
                  </w:tcBorders>
                  <w:vAlign w:val="center"/>
                </w:tcPr>
                <w:p w14:paraId="141E0C48">
                  <w:pPr>
                    <w:pStyle w:val="60"/>
                    <w:ind w:left="0" w:leftChars="0" w:firstLine="0" w:firstLineChars="0"/>
                    <w:jc w:val="center"/>
                    <w:rPr>
                      <w:rFonts w:hint="default"/>
                      <w:u w:val="none" w:color="auto"/>
                      <w:lang w:val="en-US" w:eastAsia="zh-CN"/>
                    </w:rPr>
                  </w:pPr>
                  <w:r>
                    <w:rPr>
                      <w:rFonts w:hint="eastAsia" w:ascii="Times New Roman" w:hAnsi="Times New Roman" w:eastAsia="宋体" w:cs="Times New Roman"/>
                      <w:sz w:val="21"/>
                      <w:szCs w:val="21"/>
                      <w:u w:val="none" w:color="auto"/>
                      <w:lang w:val="en-US" w:eastAsia="zh-CN"/>
                    </w:rPr>
                    <w:t>60</w:t>
                  </w:r>
                </w:p>
              </w:tc>
              <w:tc>
                <w:tcPr>
                  <w:tcW w:w="625" w:type="pct"/>
                  <w:tcBorders>
                    <w:tl2br w:val="nil"/>
                    <w:tr2bl w:val="nil"/>
                  </w:tcBorders>
                  <w:vAlign w:val="center"/>
                </w:tcPr>
                <w:p w14:paraId="3F09ED21">
                  <w:pPr>
                    <w:pStyle w:val="60"/>
                    <w:ind w:left="0" w:leftChars="0"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达标</w:t>
                  </w:r>
                </w:p>
              </w:tc>
            </w:tr>
            <w:tr w14:paraId="21F5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7" w:type="pct"/>
                  <w:vMerge w:val="continue"/>
                  <w:tcBorders>
                    <w:tl2br w:val="nil"/>
                    <w:tr2bl w:val="nil"/>
                  </w:tcBorders>
                  <w:vAlign w:val="center"/>
                </w:tcPr>
                <w:p w14:paraId="5A8208D7">
                  <w:pPr>
                    <w:pStyle w:val="60"/>
                    <w:jc w:val="center"/>
                    <w:rPr>
                      <w:rFonts w:hint="default" w:ascii="Times New Roman" w:hAnsi="Times New Roman" w:eastAsia="宋体" w:cs="Times New Roman"/>
                      <w:sz w:val="21"/>
                      <w:szCs w:val="21"/>
                      <w:u w:val="none" w:color="auto"/>
                      <w:vertAlign w:val="baseline"/>
                      <w:lang w:val="en-US" w:eastAsia="zh-CN"/>
                    </w:rPr>
                  </w:pPr>
                </w:p>
              </w:tc>
              <w:tc>
                <w:tcPr>
                  <w:tcW w:w="662" w:type="pct"/>
                  <w:vMerge w:val="continue"/>
                  <w:tcBorders>
                    <w:tl2br w:val="nil"/>
                    <w:tr2bl w:val="nil"/>
                  </w:tcBorders>
                  <w:vAlign w:val="center"/>
                </w:tcPr>
                <w:p w14:paraId="4271AAE4">
                  <w:pPr>
                    <w:pStyle w:val="60"/>
                    <w:jc w:val="center"/>
                    <w:rPr>
                      <w:rFonts w:hint="default" w:ascii="Times New Roman" w:hAnsi="Times New Roman" w:eastAsia="宋体" w:cs="Times New Roman"/>
                      <w:sz w:val="21"/>
                      <w:szCs w:val="21"/>
                      <w:u w:val="none" w:color="auto"/>
                      <w:vertAlign w:val="baseline"/>
                      <w:lang w:val="en-US" w:eastAsia="zh-CN"/>
                    </w:rPr>
                  </w:pPr>
                </w:p>
              </w:tc>
              <w:tc>
                <w:tcPr>
                  <w:tcW w:w="543" w:type="pct"/>
                  <w:tcBorders>
                    <w:tl2br w:val="nil"/>
                    <w:tr2bl w:val="nil"/>
                  </w:tcBorders>
                  <w:vAlign w:val="center"/>
                </w:tcPr>
                <w:p w14:paraId="59436029">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夜间</w:t>
                  </w:r>
                </w:p>
              </w:tc>
              <w:tc>
                <w:tcPr>
                  <w:tcW w:w="625" w:type="pct"/>
                  <w:tcBorders>
                    <w:tl2br w:val="nil"/>
                    <w:tr2bl w:val="nil"/>
                  </w:tcBorders>
                  <w:vAlign w:val="center"/>
                </w:tcPr>
                <w:p w14:paraId="0539F01D">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46</w:t>
                  </w:r>
                </w:p>
              </w:tc>
              <w:tc>
                <w:tcPr>
                  <w:tcW w:w="686" w:type="pct"/>
                  <w:vMerge w:val="continue"/>
                  <w:tcBorders>
                    <w:tl2br w:val="nil"/>
                    <w:tr2bl w:val="nil"/>
                  </w:tcBorders>
                  <w:vAlign w:val="center"/>
                </w:tcPr>
                <w:p w14:paraId="4FCCD47A">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p>
              </w:tc>
              <w:tc>
                <w:tcPr>
                  <w:tcW w:w="563" w:type="pct"/>
                  <w:tcBorders>
                    <w:tl2br w:val="nil"/>
                    <w:tr2bl w:val="nil"/>
                  </w:tcBorders>
                  <w:vAlign w:val="center"/>
                </w:tcPr>
                <w:p w14:paraId="4BD6DBF4">
                  <w:pPr>
                    <w:keepNext w:val="0"/>
                    <w:keepLines w:val="0"/>
                    <w:widowControl/>
                    <w:suppressLineNumbers w:val="0"/>
                    <w:jc w:val="center"/>
                    <w:textAlignment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52.2</w:t>
                  </w:r>
                </w:p>
              </w:tc>
              <w:tc>
                <w:tcPr>
                  <w:tcW w:w="625" w:type="pct"/>
                  <w:tcBorders>
                    <w:tl2br w:val="nil"/>
                    <w:tr2bl w:val="nil"/>
                  </w:tcBorders>
                  <w:vAlign w:val="center"/>
                </w:tcPr>
                <w:p w14:paraId="471B93FB">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50</w:t>
                  </w:r>
                </w:p>
              </w:tc>
              <w:tc>
                <w:tcPr>
                  <w:tcW w:w="625" w:type="pct"/>
                  <w:tcBorders>
                    <w:tl2br w:val="nil"/>
                    <w:tr2bl w:val="nil"/>
                  </w:tcBorders>
                  <w:vAlign w:val="center"/>
                </w:tcPr>
                <w:p w14:paraId="0814AA6E">
                  <w:pPr>
                    <w:pStyle w:val="60"/>
                    <w:ind w:left="0" w:leftChars="0"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超标</w:t>
                  </w:r>
                </w:p>
              </w:tc>
            </w:tr>
            <w:tr w14:paraId="2823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7" w:type="pct"/>
                  <w:vMerge w:val="restart"/>
                  <w:tcBorders>
                    <w:tl2br w:val="nil"/>
                    <w:tr2bl w:val="nil"/>
                  </w:tcBorders>
                  <w:vAlign w:val="center"/>
                </w:tcPr>
                <w:p w14:paraId="38265D9B">
                  <w:pPr>
                    <w:pStyle w:val="60"/>
                    <w:ind w:left="0" w:leftChars="0" w:firstLine="0" w:firstLineChars="0"/>
                    <w:jc w:val="center"/>
                    <w:rPr>
                      <w:rFonts w:hint="default" w:ascii="Times New Roman" w:hAnsi="Times New Roman" w:eastAsia="宋体" w:cs="Times New Roman"/>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lang w:val="en-US" w:eastAsia="zh-CN"/>
                    </w:rPr>
                    <w:t>项目东南侧55m居民</w:t>
                  </w:r>
                </w:p>
              </w:tc>
              <w:tc>
                <w:tcPr>
                  <w:tcW w:w="662" w:type="pct"/>
                  <w:vMerge w:val="restart"/>
                  <w:tcBorders>
                    <w:tl2br w:val="nil"/>
                    <w:tr2bl w:val="nil"/>
                  </w:tcBorders>
                  <w:vAlign w:val="center"/>
                </w:tcPr>
                <w:p w14:paraId="64ABF84D">
                  <w:pPr>
                    <w:pStyle w:val="60"/>
                    <w:ind w:left="0" w:leftChars="0" w:firstLine="0" w:firstLineChars="0"/>
                    <w:jc w:val="center"/>
                    <w:rPr>
                      <w:rFonts w:hint="default" w:ascii="Times New Roman" w:hAnsi="Times New Roman" w:eastAsia="宋体" w:cs="Times New Roman"/>
                      <w:sz w:val="21"/>
                      <w:szCs w:val="21"/>
                      <w:u w:val="none" w:color="auto"/>
                      <w:vertAlign w:val="baseline"/>
                      <w:lang w:val="en-US" w:eastAsia="zh-CN"/>
                    </w:rPr>
                  </w:pPr>
                  <w:r>
                    <w:rPr>
                      <w:rFonts w:hint="eastAsia" w:ascii="Times New Roman" w:hAnsi="Times New Roman" w:eastAsia="宋体" w:cs="Times New Roman"/>
                      <w:sz w:val="21"/>
                      <w:szCs w:val="21"/>
                      <w:u w:val="none" w:color="auto"/>
                      <w:vertAlign w:val="baseline"/>
                      <w:lang w:val="en-US" w:eastAsia="zh-CN"/>
                    </w:rPr>
                    <w:t>55</w:t>
                  </w:r>
                  <w:r>
                    <w:rPr>
                      <w:rFonts w:hint="eastAsia" w:ascii="Times New Roman" w:hAnsi="Times New Roman" w:cs="Times New Roman"/>
                      <w:sz w:val="21"/>
                      <w:szCs w:val="21"/>
                      <w:u w:val="none" w:color="auto"/>
                      <w:vertAlign w:val="baseline"/>
                      <w:lang w:val="en-US" w:eastAsia="zh-CN"/>
                    </w:rPr>
                    <w:t>m</w:t>
                  </w:r>
                </w:p>
              </w:tc>
              <w:tc>
                <w:tcPr>
                  <w:tcW w:w="543" w:type="pct"/>
                  <w:tcBorders>
                    <w:tl2br w:val="nil"/>
                    <w:tr2bl w:val="nil"/>
                  </w:tcBorders>
                  <w:vAlign w:val="center"/>
                </w:tcPr>
                <w:p w14:paraId="1EEF299E">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昼间</w:t>
                  </w:r>
                </w:p>
              </w:tc>
              <w:tc>
                <w:tcPr>
                  <w:tcW w:w="625" w:type="pct"/>
                  <w:tcBorders>
                    <w:tl2br w:val="nil"/>
                    <w:tr2bl w:val="nil"/>
                  </w:tcBorders>
                  <w:vAlign w:val="center"/>
                </w:tcPr>
                <w:p w14:paraId="44586A0F">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47</w:t>
                  </w:r>
                </w:p>
              </w:tc>
              <w:tc>
                <w:tcPr>
                  <w:tcW w:w="686" w:type="pct"/>
                  <w:vMerge w:val="restart"/>
                  <w:tcBorders>
                    <w:tl2br w:val="nil"/>
                    <w:tr2bl w:val="nil"/>
                  </w:tcBorders>
                  <w:vAlign w:val="center"/>
                </w:tcPr>
                <w:p w14:paraId="1E10983E">
                  <w:pPr>
                    <w:keepNext w:val="0"/>
                    <w:keepLines w:val="0"/>
                    <w:widowControl/>
                    <w:suppressLineNumbers w:val="0"/>
                    <w:jc w:val="center"/>
                    <w:textAlignment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47.7</w:t>
                  </w:r>
                </w:p>
              </w:tc>
              <w:tc>
                <w:tcPr>
                  <w:tcW w:w="563" w:type="pct"/>
                  <w:tcBorders>
                    <w:tl2br w:val="nil"/>
                    <w:tr2bl w:val="nil"/>
                  </w:tcBorders>
                  <w:vAlign w:val="center"/>
                </w:tcPr>
                <w:p w14:paraId="0804C708">
                  <w:pPr>
                    <w:keepNext w:val="0"/>
                    <w:keepLines w:val="0"/>
                    <w:widowControl/>
                    <w:suppressLineNumbers w:val="0"/>
                    <w:jc w:val="center"/>
                    <w:textAlignment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50.4</w:t>
                  </w:r>
                </w:p>
              </w:tc>
              <w:tc>
                <w:tcPr>
                  <w:tcW w:w="625" w:type="pct"/>
                  <w:tcBorders>
                    <w:tl2br w:val="nil"/>
                    <w:tr2bl w:val="nil"/>
                  </w:tcBorders>
                  <w:vAlign w:val="center"/>
                </w:tcPr>
                <w:p w14:paraId="79A530B0">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60</w:t>
                  </w:r>
                </w:p>
              </w:tc>
              <w:tc>
                <w:tcPr>
                  <w:tcW w:w="625" w:type="pct"/>
                  <w:tcBorders>
                    <w:tl2br w:val="nil"/>
                    <w:tr2bl w:val="nil"/>
                  </w:tcBorders>
                  <w:vAlign w:val="center"/>
                </w:tcPr>
                <w:p w14:paraId="55A55F39">
                  <w:pPr>
                    <w:pStyle w:val="60"/>
                    <w:ind w:left="0" w:leftChars="0" w:firstLine="0" w:firstLineChars="0"/>
                    <w:jc w:val="cente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达标</w:t>
                  </w:r>
                </w:p>
              </w:tc>
            </w:tr>
            <w:tr w14:paraId="5B83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7" w:type="pct"/>
                  <w:vMerge w:val="continue"/>
                  <w:tcBorders>
                    <w:tl2br w:val="nil"/>
                    <w:tr2bl w:val="nil"/>
                  </w:tcBorders>
                  <w:vAlign w:val="center"/>
                </w:tcPr>
                <w:p w14:paraId="17841146">
                  <w:pPr>
                    <w:pStyle w:val="60"/>
                    <w:jc w:val="center"/>
                    <w:rPr>
                      <w:rFonts w:hint="default" w:ascii="Times New Roman" w:hAnsi="Times New Roman" w:eastAsia="宋体" w:cs="Times New Roman"/>
                      <w:sz w:val="21"/>
                      <w:szCs w:val="21"/>
                      <w:u w:val="none" w:color="auto"/>
                      <w:vertAlign w:val="baseline"/>
                      <w:lang w:val="en-US" w:eastAsia="zh-CN"/>
                    </w:rPr>
                  </w:pPr>
                </w:p>
              </w:tc>
              <w:tc>
                <w:tcPr>
                  <w:tcW w:w="662" w:type="pct"/>
                  <w:vMerge w:val="continue"/>
                  <w:tcBorders>
                    <w:tl2br w:val="nil"/>
                    <w:tr2bl w:val="nil"/>
                  </w:tcBorders>
                  <w:vAlign w:val="center"/>
                </w:tcPr>
                <w:p w14:paraId="0EAC536A">
                  <w:pPr>
                    <w:pStyle w:val="60"/>
                    <w:jc w:val="center"/>
                    <w:rPr>
                      <w:rFonts w:hint="default" w:ascii="Times New Roman" w:hAnsi="Times New Roman" w:eastAsia="宋体" w:cs="Times New Roman"/>
                      <w:sz w:val="21"/>
                      <w:szCs w:val="21"/>
                      <w:u w:val="none" w:color="auto"/>
                      <w:vertAlign w:val="baseline"/>
                      <w:lang w:val="en-US" w:eastAsia="zh-CN"/>
                    </w:rPr>
                  </w:pPr>
                </w:p>
              </w:tc>
              <w:tc>
                <w:tcPr>
                  <w:tcW w:w="543" w:type="pct"/>
                  <w:tcBorders>
                    <w:tl2br w:val="nil"/>
                    <w:tr2bl w:val="nil"/>
                  </w:tcBorders>
                  <w:vAlign w:val="center"/>
                </w:tcPr>
                <w:p w14:paraId="6692BB19">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夜间</w:t>
                  </w:r>
                </w:p>
              </w:tc>
              <w:tc>
                <w:tcPr>
                  <w:tcW w:w="625" w:type="pct"/>
                  <w:tcBorders>
                    <w:tl2br w:val="nil"/>
                    <w:tr2bl w:val="nil"/>
                  </w:tcBorders>
                  <w:vAlign w:val="center"/>
                </w:tcPr>
                <w:p w14:paraId="4029E1FF">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44</w:t>
                  </w:r>
                </w:p>
              </w:tc>
              <w:tc>
                <w:tcPr>
                  <w:tcW w:w="686" w:type="pct"/>
                  <w:vMerge w:val="continue"/>
                  <w:tcBorders>
                    <w:tl2br w:val="nil"/>
                    <w:tr2bl w:val="nil"/>
                  </w:tcBorders>
                  <w:vAlign w:val="center"/>
                </w:tcPr>
                <w:p w14:paraId="2E9C5CC0">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p>
              </w:tc>
              <w:tc>
                <w:tcPr>
                  <w:tcW w:w="563" w:type="pct"/>
                  <w:tcBorders>
                    <w:tl2br w:val="nil"/>
                    <w:tr2bl w:val="nil"/>
                  </w:tcBorders>
                  <w:vAlign w:val="center"/>
                </w:tcPr>
                <w:p w14:paraId="3872FF3A">
                  <w:pPr>
                    <w:keepNext w:val="0"/>
                    <w:keepLines w:val="0"/>
                    <w:widowControl/>
                    <w:suppressLineNumbers w:val="0"/>
                    <w:jc w:val="center"/>
                    <w:textAlignment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49.2</w:t>
                  </w:r>
                </w:p>
              </w:tc>
              <w:tc>
                <w:tcPr>
                  <w:tcW w:w="625" w:type="pct"/>
                  <w:tcBorders>
                    <w:tl2br w:val="nil"/>
                    <w:tr2bl w:val="nil"/>
                  </w:tcBorders>
                  <w:vAlign w:val="center"/>
                </w:tcPr>
                <w:p w14:paraId="1F52B961">
                  <w:pPr>
                    <w:pStyle w:val="60"/>
                    <w:ind w:left="0" w:leftChars="0" w:firstLine="0" w:firstLineChars="0"/>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50</w:t>
                  </w:r>
                </w:p>
              </w:tc>
              <w:tc>
                <w:tcPr>
                  <w:tcW w:w="625" w:type="pct"/>
                  <w:tcBorders>
                    <w:tl2br w:val="nil"/>
                    <w:tr2bl w:val="nil"/>
                  </w:tcBorders>
                  <w:vAlign w:val="center"/>
                </w:tcPr>
                <w:p w14:paraId="3ADEAA1F">
                  <w:pPr>
                    <w:pStyle w:val="60"/>
                    <w:ind w:left="0" w:leftChars="0" w:firstLine="0" w:firstLineChars="0"/>
                    <w:jc w:val="cente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达标</w:t>
                  </w:r>
                </w:p>
              </w:tc>
            </w:tr>
          </w:tbl>
          <w:p w14:paraId="0DC1DF8A">
            <w:pPr>
              <w:spacing w:line="360" w:lineRule="auto"/>
              <w:ind w:firstLine="480" w:firstLineChars="200"/>
              <w:jc w:val="left"/>
              <w:rPr>
                <w:rFonts w:hint="eastAsia" w:cs="Times New Roman"/>
                <w:color w:val="000000" w:themeColor="text1"/>
                <w:sz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根据以上预测可知，</w:t>
            </w:r>
            <w:r>
              <w:rPr>
                <w:rFonts w:hint="eastAsia" w:cs="Times New Roman"/>
                <w:color w:val="000000" w:themeColor="text1"/>
                <w:sz w:val="24"/>
                <w:u w:val="none" w:color="auto"/>
                <w:lang w:val="en-US" w:eastAsia="zh-CN"/>
                <w14:textFill>
                  <w14:solidFill>
                    <w14:schemeClr w14:val="tx1"/>
                  </w14:solidFill>
                </w14:textFill>
              </w:rPr>
              <w:t>施工期敏感点声环境质量预测值存在夜间超标情况。在所有机械同时施工的情况下</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施工噪声对施工点周边居民区</w:t>
            </w:r>
            <w:r>
              <w:rPr>
                <w:rFonts w:hint="eastAsia" w:cs="Times New Roman"/>
                <w:color w:val="000000" w:themeColor="text1"/>
                <w:sz w:val="24"/>
                <w:u w:val="none" w:color="auto"/>
                <w:lang w:val="en-US" w:eastAsia="zh-CN"/>
                <w14:textFill>
                  <w14:solidFill>
                    <w14:schemeClr w14:val="tx1"/>
                  </w14:solidFill>
                </w14:textFill>
              </w:rPr>
              <w:t>会</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有</w:t>
            </w:r>
            <w:r>
              <w:rPr>
                <w:rFonts w:hint="eastAsia" w:cs="Times New Roman"/>
                <w:color w:val="000000" w:themeColor="text1"/>
                <w:sz w:val="24"/>
                <w:u w:val="none" w:color="auto"/>
                <w:lang w:val="en-US" w:eastAsia="zh-CN"/>
                <w14:textFill>
                  <w14:solidFill>
                    <w14:schemeClr w14:val="tx1"/>
                  </w14:solidFill>
                </w14:textFill>
              </w:rPr>
              <w:t>较大</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影响</w:t>
            </w:r>
            <w:r>
              <w:rPr>
                <w:rFonts w:hint="eastAsia" w:cs="Times New Roman"/>
                <w:color w:val="000000" w:themeColor="text1"/>
                <w:sz w:val="24"/>
                <w:u w:val="none" w:color="auto"/>
                <w:lang w:val="en-US" w:eastAsia="zh-CN"/>
                <w14:textFill>
                  <w14:solidFill>
                    <w14:schemeClr w14:val="tx1"/>
                  </w14:solidFill>
                </w14:textFill>
              </w:rPr>
              <w:t>。</w:t>
            </w:r>
          </w:p>
          <w:p w14:paraId="419C4ECA">
            <w:pPr>
              <w:spacing w:line="360" w:lineRule="auto"/>
              <w:ind w:firstLine="480" w:firstLineChars="200"/>
              <w:jc w:val="left"/>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为进一步降低项目施工期对周边居民的影响，评价建议建设单位优化施工机械布局，施工设备尽量远离环境敏感点。另外评价建议项目白天分时段施工，夜间禁止施工，避免高噪声设备同时施工，施工单位应该</w:t>
            </w:r>
            <w:r>
              <w:rPr>
                <w:rFonts w:hint="eastAsia" w:cs="Times New Roman"/>
                <w:color w:val="000000" w:themeColor="text1"/>
                <w:sz w:val="24"/>
                <w:u w:val="none" w:color="auto"/>
                <w:lang w:val="en-US" w:eastAsia="zh-CN"/>
                <w14:textFill>
                  <w14:solidFill>
                    <w14:schemeClr w14:val="tx1"/>
                  </w14:solidFill>
                </w14:textFill>
              </w:rPr>
              <w:t>在</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施工场地边界搭建隔声屏障，最大程度上减少对周围环境的影响，并且提前与附近居民进行沟通，取得附近居民的谅解。</w:t>
            </w:r>
          </w:p>
          <w:p w14:paraId="6C3F4F7B">
            <w:pPr>
              <w:spacing w:line="360" w:lineRule="auto"/>
              <w:ind w:firstLine="480" w:firstLineChars="200"/>
              <w:jc w:val="left"/>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施工期噪声对环境的影响是短期的，随着施工期结束其影响也随之消失。</w:t>
            </w:r>
          </w:p>
          <w:p w14:paraId="7614141B">
            <w:pPr>
              <w:spacing w:line="360" w:lineRule="auto"/>
              <w:ind w:firstLine="480" w:firstLineChars="200"/>
              <w:jc w:val="left"/>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（2）移动源声环境影响分析</w:t>
            </w:r>
          </w:p>
          <w:p w14:paraId="3207660E">
            <w:pPr>
              <w:spacing w:line="360" w:lineRule="auto"/>
              <w:ind w:firstLine="480" w:firstLineChars="200"/>
              <w:jc w:val="left"/>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本工程流动噪声源主要是重型载重汽车等运输工具，其最大噪声可达85dB(A)。评价要求车辆尽量选择周边敏感场所少的运输路线，同时行驶过程中禁止鸣笛、减速慢行，施工单位提前与沿线居民做好沟通，征得谅解与同意，且夜间不施工，施工交通噪声对沿线居民的影响较小。施工噪声的产生是不可避免的，为尽可能的防止其污染，在具体施工的过程中，应严格执行《中华人民共和国环境噪声污染防治条例》的环境噪声污染防治规定。</w:t>
            </w:r>
          </w:p>
          <w:p w14:paraId="77570E9A">
            <w:pPr>
              <w:adjustRightInd w:val="0"/>
              <w:snapToGrid w:val="0"/>
              <w:spacing w:line="360" w:lineRule="auto"/>
              <w:ind w:firstLine="480" w:firstLineChars="200"/>
              <w:rPr>
                <w:rFonts w:hint="default" w:cs="Times New Roman"/>
                <w:color w:val="000000" w:themeColor="text1"/>
                <w:sz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项目施工期须遵守《建筑噪声施工场界环境噪声排放标准》（GB12523-20</w:t>
            </w:r>
            <w:r>
              <w:rPr>
                <w:rFonts w:hint="eastAsia" w:cs="Times New Roman"/>
                <w:color w:val="000000" w:themeColor="text1"/>
                <w:sz w:val="24"/>
                <w:u w:val="none" w:color="auto"/>
                <w:lang w:val="en-US" w:eastAsia="zh-CN"/>
                <w14:textFill>
                  <w14:solidFill>
                    <w14:schemeClr w14:val="tx1"/>
                  </w14:solidFill>
                </w14:textFill>
              </w:rPr>
              <w:t>25</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）标准，以减少和消除施工期间噪声对周围居民的影响。虽然施工作业噪声不可避免，但为减小其噪声对周围环境的影响，建设单位和工程施工单位必须在按照相关法规要求，规范施工</w:t>
            </w:r>
            <w:r>
              <w:rPr>
                <w:rFonts w:hint="default" w:cs="Times New Roman"/>
                <w:color w:val="000000" w:themeColor="text1"/>
                <w:sz w:val="24"/>
                <w:u w:val="none" w:color="auto"/>
                <w:lang w:val="en-US" w:eastAsia="zh-CN"/>
                <w14:textFill>
                  <w14:solidFill>
                    <w14:schemeClr w14:val="tx1"/>
                  </w14:solidFill>
                </w14:textFill>
              </w:rPr>
              <w:t>行为。另外，建议建设单位从以下几方面着手，采取适当的实施措施来减轻其噪声的影响。</w:t>
            </w:r>
          </w:p>
          <w:p w14:paraId="3A1E7196">
            <w:pPr>
              <w:adjustRightInd w:val="0"/>
              <w:snapToGrid w:val="0"/>
              <w:spacing w:line="360" w:lineRule="auto"/>
              <w:ind w:firstLine="480" w:firstLineChars="200"/>
              <w:rPr>
                <w:rFonts w:hint="default" w:cs="Times New Roman"/>
                <w:color w:val="000000" w:themeColor="text1"/>
                <w:sz w:val="24"/>
                <w:u w:val="none" w:color="auto"/>
                <w:lang w:val="en-US" w:eastAsia="zh-CN"/>
                <w14:textFill>
                  <w14:solidFill>
                    <w14:schemeClr w14:val="tx1"/>
                  </w14:solidFill>
                </w14:textFill>
              </w:rPr>
            </w:pPr>
            <w:r>
              <w:rPr>
                <w:rFonts w:hint="default" w:cs="Times New Roman"/>
                <w:color w:val="000000" w:themeColor="text1"/>
                <w:sz w:val="24"/>
                <w:u w:val="none" w:color="auto"/>
                <w:lang w:val="en-US" w:eastAsia="zh-CN"/>
                <w14:textFill>
                  <w14:solidFill>
                    <w14:schemeClr w14:val="tx1"/>
                  </w14:solidFill>
                </w14:textFill>
              </w:rPr>
              <w:t>本项目建议加强施工期间的施工管理，合理安排施工进度和时间，环保施工、文明施工，并因地制宜地制定有效的临时性工程降噪措施，如施工时设置护围等措施，将施工期间的噪声影响降低到最小程度。</w:t>
            </w:r>
          </w:p>
          <w:p w14:paraId="7C868D44">
            <w:pPr>
              <w:adjustRightInd w:val="0"/>
              <w:snapToGrid w:val="0"/>
              <w:spacing w:line="360" w:lineRule="auto"/>
              <w:ind w:firstLine="480" w:firstLineChars="200"/>
              <w:rPr>
                <w:rFonts w:hint="default" w:cs="Times New Roman"/>
                <w:color w:val="000000" w:themeColor="text1"/>
                <w:sz w:val="24"/>
                <w:u w:val="none" w:color="auto"/>
                <w:lang w:val="en-US" w:eastAsia="zh-CN"/>
                <w14:textFill>
                  <w14:solidFill>
                    <w14:schemeClr w14:val="tx1"/>
                  </w14:solidFill>
                </w14:textFill>
              </w:rPr>
            </w:pPr>
            <w:r>
              <w:rPr>
                <w:rFonts w:hint="default" w:cs="Times New Roman"/>
                <w:color w:val="000000" w:themeColor="text1"/>
                <w:sz w:val="24"/>
                <w:u w:val="none" w:color="auto"/>
                <w:lang w:val="en-US" w:eastAsia="zh-CN"/>
                <w14:textFill>
                  <w14:solidFill>
                    <w14:schemeClr w14:val="tx1"/>
                  </w14:solidFill>
                </w14:textFill>
              </w:rPr>
              <w:t>①施工中注意选用效率高、噪声低的机械设备，并注意维修养护和正确使用，使之保持最佳工作状态，避免由于设备性能差而导致噪声增强现象的发生。</w:t>
            </w:r>
          </w:p>
          <w:p w14:paraId="37F4FB9B">
            <w:pPr>
              <w:adjustRightInd w:val="0"/>
              <w:snapToGrid w:val="0"/>
              <w:spacing w:line="360" w:lineRule="auto"/>
              <w:ind w:firstLine="480" w:firstLineChars="200"/>
              <w:rPr>
                <w:rFonts w:hint="default" w:cs="Times New Roman"/>
                <w:color w:val="000000" w:themeColor="text1"/>
                <w:sz w:val="24"/>
                <w:u w:val="none" w:color="auto"/>
                <w:lang w:val="en-US" w:eastAsia="zh-CN"/>
                <w14:textFill>
                  <w14:solidFill>
                    <w14:schemeClr w14:val="tx1"/>
                  </w14:solidFill>
                </w14:textFill>
              </w:rPr>
            </w:pPr>
            <w:r>
              <w:rPr>
                <w:rFonts w:hint="default" w:cs="Times New Roman"/>
                <w:color w:val="000000" w:themeColor="text1"/>
                <w:sz w:val="24"/>
                <w:u w:val="none" w:color="auto"/>
                <w:lang w:val="en-US" w:eastAsia="zh-CN"/>
                <w14:textFill>
                  <w14:solidFill>
                    <w14:schemeClr w14:val="tx1"/>
                  </w14:solidFill>
                </w14:textFill>
              </w:rPr>
              <w:t>②严禁高噪音、高振动的设备在中午或夜间休息时间作业，施工单位应选用低噪音机械设备或带隔声、消声功能的设备。</w:t>
            </w:r>
          </w:p>
          <w:p w14:paraId="66D13F20">
            <w:pPr>
              <w:adjustRightInd w:val="0"/>
              <w:snapToGrid w:val="0"/>
              <w:spacing w:line="360" w:lineRule="auto"/>
              <w:ind w:firstLine="480" w:firstLineChars="200"/>
              <w:rPr>
                <w:rFonts w:hint="default" w:cs="Times New Roman"/>
                <w:color w:val="000000" w:themeColor="text1"/>
                <w:sz w:val="24"/>
                <w:u w:val="none" w:color="auto"/>
                <w:lang w:val="en-US" w:eastAsia="zh-CN"/>
                <w14:textFill>
                  <w14:solidFill>
                    <w14:schemeClr w14:val="tx1"/>
                  </w14:solidFill>
                </w14:textFill>
              </w:rPr>
            </w:pPr>
            <w:r>
              <w:rPr>
                <w:rFonts w:hint="default" w:cs="Times New Roman"/>
                <w:color w:val="000000" w:themeColor="text1"/>
                <w:sz w:val="24"/>
                <w:u w:val="none" w:color="auto"/>
                <w:lang w:val="en-US" w:eastAsia="zh-CN"/>
                <w14:textFill>
                  <w14:solidFill>
                    <w14:schemeClr w14:val="tx1"/>
                  </w14:solidFill>
                </w14:textFill>
              </w:rPr>
              <w:t>③施工物料运输时，尽量把运输时间放在白天，并选择周边敏感场所少的运输路线。此外，在途经居民点、学校、医院等敏感区域时，应减速慢行，禁止鸣笛。加强管理，杜绝超载、超速。</w:t>
            </w:r>
          </w:p>
          <w:p w14:paraId="29E5BCD8">
            <w:pPr>
              <w:adjustRightInd w:val="0"/>
              <w:snapToGrid w:val="0"/>
              <w:spacing w:line="360" w:lineRule="auto"/>
              <w:ind w:firstLine="480" w:firstLineChars="200"/>
              <w:rPr>
                <w:rFonts w:hint="default" w:cs="Times New Roman"/>
                <w:color w:val="000000" w:themeColor="text1"/>
                <w:sz w:val="24"/>
                <w:u w:val="none" w:color="auto"/>
                <w:lang w:val="en-US" w:eastAsia="zh-CN"/>
                <w14:textFill>
                  <w14:solidFill>
                    <w14:schemeClr w14:val="tx1"/>
                  </w14:solidFill>
                </w14:textFill>
              </w:rPr>
            </w:pPr>
            <w:r>
              <w:rPr>
                <w:rFonts w:hint="default" w:cs="Times New Roman"/>
                <w:color w:val="000000" w:themeColor="text1"/>
                <w:sz w:val="24"/>
                <w:u w:val="none" w:color="auto"/>
                <w:lang w:val="en-US" w:eastAsia="zh-CN"/>
                <w14:textFill>
                  <w14:solidFill>
                    <w14:schemeClr w14:val="tx1"/>
                  </w14:solidFill>
                </w14:textFill>
              </w:rPr>
              <w:t>④合理安排好施工时间与施工场所，高噪声作业区应远离声敏感点，采用移动式声屏障降低施工活动对敏感点的影响。将施工现场的固定振动源相对集中，以减少振动干扰的范围。</w:t>
            </w:r>
          </w:p>
          <w:p w14:paraId="496D6CDA">
            <w:pPr>
              <w:adjustRightInd w:val="0"/>
              <w:snapToGrid w:val="0"/>
              <w:spacing w:line="360" w:lineRule="auto"/>
              <w:ind w:firstLine="480" w:firstLineChars="200"/>
              <w:rPr>
                <w:rFonts w:hint="default" w:cs="Times New Roman"/>
                <w:color w:val="000000" w:themeColor="text1"/>
                <w:sz w:val="24"/>
                <w:u w:val="none" w:color="auto"/>
                <w:lang w:val="en-US" w:eastAsia="zh-CN"/>
                <w14:textFill>
                  <w14:solidFill>
                    <w14:schemeClr w14:val="tx1"/>
                  </w14:solidFill>
                </w14:textFill>
              </w:rPr>
            </w:pPr>
            <w:r>
              <w:rPr>
                <w:rFonts w:hint="default" w:cs="Times New Roman"/>
                <w:color w:val="000000" w:themeColor="text1"/>
                <w:sz w:val="24"/>
                <w:u w:val="none" w:color="auto"/>
                <w:lang w:val="en-US" w:eastAsia="zh-CN"/>
                <w14:textFill>
                  <w14:solidFill>
                    <w14:schemeClr w14:val="tx1"/>
                  </w14:solidFill>
                </w14:textFill>
              </w:rPr>
              <w:t>⑤禁止夜间可能产生环境噪声污染的施工作业，因施工工艺要求或者特殊需要必须连续作业的，经住房和城乡建设部门预审后，施工单位应当于施工前3日报环境保护行政主管部门</w:t>
            </w:r>
            <w:r>
              <w:rPr>
                <w:rFonts w:hint="eastAsia" w:cs="Times New Roman"/>
                <w:color w:val="000000" w:themeColor="text1"/>
                <w:sz w:val="24"/>
                <w:u w:val="none" w:color="auto"/>
                <w:lang w:val="en-US" w:eastAsia="zh-CN"/>
                <w14:textFill>
                  <w14:solidFill>
                    <w14:schemeClr w14:val="tx1"/>
                  </w14:solidFill>
                </w14:textFill>
              </w:rPr>
              <w:t>备案</w:t>
            </w:r>
            <w:r>
              <w:rPr>
                <w:rFonts w:hint="default" w:cs="Times New Roman"/>
                <w:color w:val="000000" w:themeColor="text1"/>
                <w:sz w:val="24"/>
                <w:u w:val="none" w:color="auto"/>
                <w:lang w:val="en-US" w:eastAsia="zh-CN"/>
                <w14:textFill>
                  <w14:solidFill>
                    <w14:schemeClr w14:val="tx1"/>
                  </w14:solidFill>
                </w14:textFill>
              </w:rPr>
              <w:t>，并将批准的《夜间施工许可证》以及作业的原因、内容、时间及联系方式通过施工所在地街道或居委会公告附近居民。</w:t>
            </w:r>
          </w:p>
          <w:p w14:paraId="4AD5FB2C">
            <w:pPr>
              <w:adjustRightInd w:val="0"/>
              <w:snapToGrid w:val="0"/>
              <w:spacing w:line="360" w:lineRule="auto"/>
              <w:ind w:firstLine="480" w:firstLineChars="200"/>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4、 施工期固体废物</w:t>
            </w:r>
          </w:p>
          <w:p w14:paraId="58DFB528">
            <w:pPr>
              <w:adjustRightInd w:val="0"/>
              <w:snapToGrid w:val="0"/>
              <w:spacing w:line="360" w:lineRule="auto"/>
              <w:ind w:firstLine="480" w:firstLineChars="200"/>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本工程施工期间会产生废弃渣土、生活垃圾及建筑垃圾等固体废物。</w:t>
            </w:r>
          </w:p>
          <w:p w14:paraId="1975745C">
            <w:pPr>
              <w:adjustRightInd w:val="0"/>
              <w:snapToGrid w:val="0"/>
              <w:spacing w:line="360" w:lineRule="auto"/>
              <w:ind w:firstLine="480" w:firstLineChars="200"/>
              <w:rPr>
                <w:rFonts w:hint="default"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A、废弃渣土</w:t>
            </w:r>
          </w:p>
          <w:p w14:paraId="030DFA65">
            <w:pPr>
              <w:keepNext w:val="0"/>
              <w:keepLines w:val="0"/>
              <w:pageBreakBefore w:val="0"/>
              <w:widowControl w:val="0"/>
              <w:kinsoku/>
              <w:wordWrap/>
              <w:overflowPunct/>
              <w:topLinePunct w:val="0"/>
              <w:autoSpaceDE/>
              <w:autoSpaceDN/>
              <w:bidi w:val="0"/>
              <w:adjustRightInd/>
              <w:snapToGrid/>
              <w:spacing w:line="360" w:lineRule="auto"/>
              <w:ind w:left="36" w:right="28" w:firstLine="482"/>
              <w:textAlignment w:val="auto"/>
              <w:rPr>
                <w:rFonts w:hint="eastAsia" w:cs="Times New Roman"/>
                <w:color w:val="000000" w:themeColor="text1"/>
                <w:sz w:val="24"/>
                <w:lang w:val="en-US" w:eastAsia="zh-CN"/>
                <w14:textFill>
                  <w14:solidFill>
                    <w14:schemeClr w14:val="tx1"/>
                  </w14:solidFill>
                </w14:textFill>
              </w:rPr>
            </w:pPr>
            <w:r>
              <w:rPr>
                <w:rFonts w:hint="eastAsia" w:ascii="Times New Roman"/>
                <w:bCs/>
                <w:color w:val="auto"/>
                <w:spacing w:val="0"/>
                <w:position w:val="0"/>
                <w:sz w:val="24"/>
              </w:rPr>
              <w:t>本项目施工过程中产生的永久弃土按相关要求运往指定的</w:t>
            </w:r>
            <w:r>
              <w:rPr>
                <w:rFonts w:hint="eastAsia" w:ascii="Times New Roman"/>
                <w:bCs/>
                <w:color w:val="auto"/>
                <w:spacing w:val="0"/>
                <w:position w:val="0"/>
                <w:sz w:val="24"/>
                <w:lang w:val="en-US" w:eastAsia="zh-CN"/>
              </w:rPr>
              <w:t>弃土</w:t>
            </w:r>
            <w:r>
              <w:rPr>
                <w:rFonts w:hint="eastAsia" w:ascii="Times New Roman"/>
                <w:bCs/>
                <w:color w:val="auto"/>
                <w:spacing w:val="0"/>
                <w:position w:val="0"/>
                <w:sz w:val="24"/>
              </w:rPr>
              <w:t>场进行处置；而剥离表土将全部运往临时表土堆场进行堆放，后期再作为生态绿化工程中的绿化土复用</w:t>
            </w:r>
            <w:r>
              <w:rPr>
                <w:rFonts w:hint="default" w:ascii="Times New Roman" w:hAnsi="Times New Roman" w:eastAsia="宋体" w:cs="Times New Roman"/>
                <w:b w:val="0"/>
                <w:bCs w:val="0"/>
                <w:color w:val="auto"/>
                <w:spacing w:val="0"/>
                <w:position w:val="0"/>
                <w:sz w:val="24"/>
                <w:szCs w:val="24"/>
              </w:rPr>
              <w:t>。</w:t>
            </w:r>
            <w:r>
              <w:rPr>
                <w:rFonts w:hint="eastAsia" w:cs="Times New Roman"/>
                <w:color w:val="000000" w:themeColor="text1"/>
                <w:sz w:val="24"/>
                <w:lang w:val="en-US" w:eastAsia="zh-CN"/>
                <w14:textFill>
                  <w14:solidFill>
                    <w14:schemeClr w14:val="tx1"/>
                  </w14:solidFill>
                </w14:textFill>
              </w:rPr>
              <w:t>土方临时堆放对环境影响较小。</w:t>
            </w:r>
          </w:p>
          <w:p w14:paraId="3C003EF4">
            <w:pPr>
              <w:adjustRightInd w:val="0"/>
              <w:snapToGrid w:val="0"/>
              <w:spacing w:line="360" w:lineRule="auto"/>
              <w:ind w:firstLine="480" w:firstLineChars="200"/>
              <w:rPr>
                <w:rFonts w:hint="default"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B、生活垃圾</w:t>
            </w:r>
          </w:p>
          <w:p w14:paraId="5EE6F8FB">
            <w:pPr>
              <w:adjustRightInd w:val="0"/>
              <w:snapToGrid w:val="0"/>
              <w:spacing w:line="360" w:lineRule="auto"/>
              <w:ind w:firstLine="480" w:firstLineChars="200"/>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本项目施工</w:t>
            </w:r>
            <w:r>
              <w:rPr>
                <w:rFonts w:hint="eastAsia" w:ascii="Times New Roman" w:hAnsi="Times New Roman" w:eastAsia="宋体" w:cs="Times New Roman"/>
                <w:color w:val="000000" w:themeColor="text1"/>
                <w:sz w:val="24"/>
                <w:u w:val="none"/>
                <w14:textFill>
                  <w14:solidFill>
                    <w14:schemeClr w14:val="tx1"/>
                  </w14:solidFill>
                </w14:textFill>
              </w:rPr>
              <w:t>高峰期施工人员</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为</w:t>
            </w:r>
            <w:r>
              <w:rPr>
                <w:rFonts w:hint="eastAsia" w:cs="Times New Roman"/>
                <w:color w:val="000000" w:themeColor="text1"/>
                <w:sz w:val="24"/>
                <w:u w:val="none"/>
                <w:lang w:val="en-US" w:eastAsia="zh-CN"/>
                <w14:textFill>
                  <w14:solidFill>
                    <w14:schemeClr w14:val="tx1"/>
                  </w14:solidFill>
                </w14:textFill>
              </w:rPr>
              <w:t>55</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人</w:t>
            </w:r>
            <w:r>
              <w:rPr>
                <w:rFonts w:hint="eastAsia" w:ascii="Times New Roman" w:hAnsi="Times New Roman" w:eastAsia="宋体" w:cs="Times New Roman"/>
                <w:color w:val="000000" w:themeColor="text1"/>
                <w:sz w:val="24"/>
                <w:u w:val="none"/>
                <w14:textFill>
                  <w14:solidFill>
                    <w14:schemeClr w14:val="tx1"/>
                  </w14:solidFill>
                </w14:textFill>
              </w:rPr>
              <w:t>（同时施工）</w:t>
            </w:r>
            <w:r>
              <w:rPr>
                <w:rFonts w:hint="eastAsia" w:cs="Times New Roman"/>
                <w:color w:val="000000" w:themeColor="text1"/>
                <w:sz w:val="24"/>
                <w:lang w:val="en-US" w:eastAsia="zh-CN"/>
                <w14:textFill>
                  <w14:solidFill>
                    <w14:schemeClr w14:val="tx1"/>
                  </w14:solidFill>
                </w14:textFill>
              </w:rPr>
              <w:t>，按照0.5kg/人·d计，施工期生活垃圾共计</w:t>
            </w:r>
            <w:r>
              <w:rPr>
                <w:rFonts w:hint="eastAsia" w:ascii="Times New Roman"/>
                <w:bCs/>
                <w:color w:val="auto"/>
                <w:spacing w:val="0"/>
                <w:position w:val="0"/>
                <w:sz w:val="24"/>
                <w:lang w:val="en-US" w:eastAsia="zh-CN"/>
              </w:rPr>
              <w:t>27.5</w:t>
            </w:r>
            <w:r>
              <w:rPr>
                <w:rFonts w:hint="default" w:ascii="Times New Roman"/>
                <w:bCs/>
                <w:color w:val="auto"/>
                <w:spacing w:val="0"/>
                <w:position w:val="0"/>
                <w:sz w:val="24"/>
              </w:rPr>
              <w:t>kg</w:t>
            </w:r>
            <w:r>
              <w:rPr>
                <w:rFonts w:hint="eastAsia" w:cs="Times New Roman"/>
                <w:color w:val="000000" w:themeColor="text1"/>
                <w:sz w:val="24"/>
                <w:lang w:val="en-US" w:eastAsia="zh-CN"/>
                <w14:textFill>
                  <w14:solidFill>
                    <w14:schemeClr w14:val="tx1"/>
                  </w14:solidFill>
                </w14:textFill>
              </w:rPr>
              <w:t>/d。施工人员生活垃圾经收集后交环卫部门清运。</w:t>
            </w:r>
          </w:p>
          <w:p w14:paraId="43A9B463">
            <w:pPr>
              <w:adjustRightInd w:val="0"/>
              <w:snapToGrid w:val="0"/>
              <w:spacing w:line="360" w:lineRule="auto"/>
              <w:ind w:firstLine="480" w:firstLineChars="200"/>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C、建筑垃圾</w:t>
            </w:r>
          </w:p>
          <w:p w14:paraId="45D4A0A4">
            <w:pPr>
              <w:numPr>
                <w:ilvl w:val="0"/>
                <w:numId w:val="0"/>
              </w:numPr>
              <w:adjustRightInd w:val="0"/>
              <w:snapToGrid w:val="0"/>
              <w:spacing w:line="360" w:lineRule="auto"/>
              <w:ind w:firstLine="480" w:firstLineChars="200"/>
              <w:rPr>
                <w:rFonts w:hint="default"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建筑物拆除、除险加固工程等施工期间会产生少量建筑垃圾和包装废物等，如钢材、废砖头、废石材等，应按计划和施工操作规程妥善处置，综合利用不能回用的，及时将建筑垃圾运送到指定的建筑垃圾消纳场所，进行集中管理和处置，对环境影响较小。</w:t>
            </w:r>
          </w:p>
          <w:p w14:paraId="61BB92C0">
            <w:pPr>
              <w:adjustRightInd w:val="0"/>
              <w:snapToGrid w:val="0"/>
              <w:spacing w:line="360" w:lineRule="auto"/>
              <w:ind w:firstLine="480" w:firstLineChars="200"/>
              <w:rPr>
                <w:rFonts w:hint="default"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综上，施工期固体废物均可得到妥善处置，对环境影响较小</w:t>
            </w:r>
            <w:r>
              <w:rPr>
                <w:rFonts w:hint="default" w:cs="Times New Roman"/>
                <w:color w:val="000000" w:themeColor="text1"/>
                <w:sz w:val="24"/>
                <w:lang w:val="en-US" w:eastAsia="zh-CN"/>
                <w14:textFill>
                  <w14:solidFill>
                    <w14:schemeClr w14:val="tx1"/>
                  </w14:solidFill>
                </w14:textFill>
              </w:rPr>
              <w:t>。</w:t>
            </w:r>
          </w:p>
          <w:p w14:paraId="7FEDE4B6">
            <w:pPr>
              <w:adjustRightInd w:val="0"/>
              <w:snapToGrid w:val="0"/>
              <w:spacing w:line="360" w:lineRule="auto"/>
              <w:ind w:firstLine="480" w:firstLineChars="200"/>
              <w:rPr>
                <w:rFonts w:hint="eastAsia" w:cs="Times New Roman"/>
                <w:color w:val="000000" w:themeColor="text1"/>
                <w:sz w:val="24"/>
                <w:u w:val="none"/>
                <w:lang w:val="en-US" w:eastAsia="zh-CN"/>
                <w14:textFill>
                  <w14:solidFill>
                    <w14:schemeClr w14:val="tx1"/>
                  </w14:solidFill>
                </w14:textFill>
              </w:rPr>
            </w:pPr>
            <w:r>
              <w:rPr>
                <w:rFonts w:hint="eastAsia" w:cs="Times New Roman"/>
                <w:color w:val="000000" w:themeColor="text1"/>
                <w:sz w:val="24"/>
                <w:u w:val="none"/>
                <w:lang w:val="en-US" w:eastAsia="zh-CN"/>
                <w14:textFill>
                  <w14:solidFill>
                    <w14:schemeClr w14:val="tx1"/>
                  </w14:solidFill>
                </w14:textFill>
              </w:rPr>
              <w:t>5、施工期生态影响分析</w:t>
            </w:r>
          </w:p>
          <w:p w14:paraId="01F4F637">
            <w:pPr>
              <w:adjustRightInd w:val="0"/>
              <w:snapToGrid w:val="0"/>
              <w:spacing w:line="360" w:lineRule="auto"/>
              <w:ind w:firstLine="480" w:firstLineChars="200"/>
              <w:rPr>
                <w:rFonts w:hint="eastAsia" w:cs="Times New Roman"/>
                <w:color w:val="000000" w:themeColor="text1"/>
                <w:sz w:val="24"/>
                <w:u w:val="none"/>
                <w:lang w:val="en-US" w:eastAsia="zh-CN"/>
                <w14:textFill>
                  <w14:solidFill>
                    <w14:schemeClr w14:val="tx1"/>
                  </w14:solidFill>
                </w14:textFill>
              </w:rPr>
            </w:pPr>
            <w:r>
              <w:rPr>
                <w:rFonts w:hint="default" w:cs="Times New Roman"/>
                <w:color w:val="000000" w:themeColor="text1"/>
                <w:sz w:val="24"/>
                <w:u w:val="none"/>
                <w:lang w:val="en-US" w:eastAsia="zh-CN"/>
                <w14:textFill>
                  <w14:solidFill>
                    <w14:schemeClr w14:val="tx1"/>
                  </w14:solidFill>
                </w14:textFill>
              </w:rPr>
              <w:t>（</w:t>
            </w:r>
            <w:r>
              <w:rPr>
                <w:rFonts w:hint="eastAsia" w:cs="Times New Roman"/>
                <w:color w:val="000000" w:themeColor="text1"/>
                <w:sz w:val="24"/>
                <w:u w:val="none"/>
                <w:lang w:val="en-US" w:eastAsia="zh-CN"/>
                <w14:textFill>
                  <w14:solidFill>
                    <w14:schemeClr w14:val="tx1"/>
                  </w14:solidFill>
                </w14:textFill>
              </w:rPr>
              <w:t>1</w:t>
            </w:r>
            <w:r>
              <w:rPr>
                <w:rFonts w:hint="default" w:cs="Times New Roman"/>
                <w:color w:val="000000" w:themeColor="text1"/>
                <w:sz w:val="24"/>
                <w:u w:val="none"/>
                <w:lang w:val="en-US" w:eastAsia="zh-CN"/>
                <w14:textFill>
                  <w14:solidFill>
                    <w14:schemeClr w14:val="tx1"/>
                  </w14:solidFill>
                </w14:textFill>
              </w:rPr>
              <w:t>）</w:t>
            </w:r>
            <w:r>
              <w:rPr>
                <w:rFonts w:hint="eastAsia" w:cs="Times New Roman"/>
                <w:color w:val="000000" w:themeColor="text1"/>
                <w:sz w:val="24"/>
                <w:u w:val="none"/>
                <w:lang w:val="en-US" w:eastAsia="zh-CN"/>
                <w14:textFill>
                  <w14:solidFill>
                    <w14:schemeClr w14:val="tx1"/>
                  </w14:solidFill>
                </w14:textFill>
              </w:rPr>
              <w:t>施工期对陆生动植物的影响分析</w:t>
            </w:r>
          </w:p>
          <w:p w14:paraId="7BE7189D">
            <w:pPr>
              <w:adjustRightInd w:val="0"/>
              <w:snapToGrid w:val="0"/>
              <w:spacing w:line="360" w:lineRule="auto"/>
              <w:ind w:firstLine="480" w:firstLineChars="200"/>
              <w:rPr>
                <w:rFonts w:hint="eastAsia" w:ascii="Times New Roman" w:hAnsi="Times New Roman" w:eastAsia="宋体" w:cs="Times New Roman"/>
                <w:color w:val="000000" w:themeColor="text1"/>
                <w:sz w:val="24"/>
                <w:u w:val="none"/>
                <w:lang w:val="en-US" w:eastAsia="zh-CN"/>
                <w14:textFill>
                  <w14:solidFill>
                    <w14:schemeClr w14:val="tx1"/>
                  </w14:solidFill>
                </w14:textFill>
              </w:rPr>
            </w:pPr>
            <w:r>
              <w:rPr>
                <w:rFonts w:hint="eastAsia" w:cs="Times New Roman"/>
                <w:color w:val="000000" w:themeColor="text1"/>
                <w:sz w:val="24"/>
                <w:u w:val="none"/>
                <w:lang w:val="en-US" w:eastAsia="zh-CN"/>
                <w14:textFill>
                  <w14:solidFill>
                    <w14:schemeClr w14:val="tx1"/>
                  </w14:solidFill>
                </w14:textFill>
              </w:rPr>
              <w:t>对陆生植物的影响主要源于工程临时占地，施工占</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地将导致工程涉及区内</w:t>
            </w:r>
            <w:r>
              <w:rPr>
                <w:rFonts w:hint="eastAsia" w:cs="Times New Roman"/>
                <w:color w:val="000000" w:themeColor="text1"/>
                <w:sz w:val="24"/>
                <w:u w:val="none"/>
                <w:lang w:val="en-US" w:eastAsia="zh-CN"/>
                <w14:textFill>
                  <w14:solidFill>
                    <w14:schemeClr w14:val="tx1"/>
                  </w14:solidFill>
                </w14:textFill>
              </w:rPr>
              <w:t>植被</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面积直接减少，造成局部区域的植被破坏，生物量降低。在工程涉及区内暂未发现重点保护植物及古木大树分布。受工程影响的陆生植被均为一般常见种，这些植被在周边地区均有广泛分布，不存在因局部植被损失而导致该植物种群消失的可能性。另外，完工后也将对临时施工便道进行复垦或植被恢复，可使工程影响区内植被在较短的时间内得到较好的恢复。由于本工程周边现有野生动物以湿地和</w:t>
            </w:r>
            <w:r>
              <w:rPr>
                <w:rFonts w:hint="eastAsia" w:cs="Times New Roman"/>
                <w:color w:val="000000" w:themeColor="text1"/>
                <w:sz w:val="24"/>
                <w:u w:val="none"/>
                <w:lang w:val="en-US" w:eastAsia="zh-CN"/>
                <w14:textFill>
                  <w14:solidFill>
                    <w14:schemeClr w14:val="tx1"/>
                  </w14:solidFill>
                </w14:textFill>
              </w:rPr>
              <w:t>农村</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常见动物为主，主要为鸟类、鼠、昆虫、蛙、蛇类等。施工期间，工程开挖以及施工机械运行等将导致区域水环境、环境空气质量和声环境质量有所下降，对工程涉及区内的部分蛙类、蛇类、蜥蜴类和鼠类动物产生不利影响。工程施工机械车辆往来及施工人员进驻将对一些听觉和视觉灵敏的动物一定程度上起到驱赶作用，迫使其转向其它区域予以回避，其生存空间受到一定压缩。由于这些陆生动物均为常见物种，适宜能力较强，在受到不利影响后，大多会主动向周边适宜生境中迁移，且工程规模较小，施工时段短</w:t>
            </w:r>
            <w:r>
              <w:rPr>
                <w:rFonts w:hint="eastAsia" w:cs="Times New Roman"/>
                <w:color w:val="000000" w:themeColor="text1"/>
                <w:sz w:val="24"/>
                <w:u w:val="none"/>
                <w:lang w:val="en-US" w:eastAsia="zh-CN"/>
                <w14:textFill>
                  <w14:solidFill>
                    <w14:schemeClr w14:val="tx1"/>
                  </w14:solidFill>
                </w14:textFill>
              </w:rPr>
              <w:t>，且此类影响将随着施工活动的结束而消失</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。因此，工程施工对陆生动物的影响不大。</w:t>
            </w:r>
          </w:p>
          <w:p w14:paraId="410EA3A7">
            <w:pPr>
              <w:adjustRightInd w:val="0"/>
              <w:snapToGrid w:val="0"/>
              <w:spacing w:line="360" w:lineRule="auto"/>
              <w:ind w:firstLine="480" w:firstLineChars="200"/>
              <w:rPr>
                <w:rFonts w:hint="eastAsia" w:ascii="Times New Roman" w:hAnsi="Times New Roman" w:eastAsia="宋体" w:cs="Times New Roman"/>
                <w:color w:val="000000" w:themeColor="text1"/>
                <w:sz w:val="24"/>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 xml:space="preserve"> 施工期对水土的影响</w:t>
            </w:r>
          </w:p>
          <w:p w14:paraId="7DC70AFF">
            <w:pPr>
              <w:adjustRightInd w:val="0"/>
              <w:snapToGrid w:val="0"/>
              <w:spacing w:line="360" w:lineRule="auto"/>
              <w:ind w:firstLine="480" w:firstLineChars="200"/>
              <w:rPr>
                <w:rFonts w:hint="eastAsia" w:ascii="Times New Roman" w:hAnsi="Times New Roman" w:eastAsia="宋体" w:cs="Times New Roman"/>
                <w:color w:val="000000" w:themeColor="text1"/>
                <w:sz w:val="24"/>
                <w:u w:val="none"/>
                <w:lang w:val="en-US" w:eastAsia="zh-CN"/>
                <w14:textFill>
                  <w14:solidFill>
                    <w14:schemeClr w14:val="tx1"/>
                  </w14:solidFill>
                </w14:textFill>
              </w:rPr>
            </w:pPr>
            <w:r>
              <w:rPr>
                <w:rFonts w:hint="default" w:ascii="Times New Roman" w:hAnsi="Times New Roman" w:eastAsia="宋体" w:cs="Times New Roman"/>
                <w:b w:val="0"/>
                <w:bCs w:val="0"/>
                <w:color w:val="auto"/>
                <w:spacing w:val="0"/>
                <w:sz w:val="24"/>
                <w:szCs w:val="24"/>
              </w:rPr>
              <w:t>水土流失是自然与人为双重因素作用的结果。在区域自然侵蚀背景下，工程可能加剧水土流失的主要因素体现在两个方面：一方面是工程施工扰动、破坏地表植被等具有水土保持功能的设施，改变原坡面坡长、坡度，使地表径流汇流过程发生变化，使边坡岩层裸露；同时，扰动、破坏使土壤质地发生相应变化，导致区域土壤侵蚀模数显著增大，加剧区域的水土流失。另一方面是</w:t>
            </w:r>
            <w:r>
              <w:rPr>
                <w:rFonts w:hint="eastAsia" w:ascii="Times New Roman" w:hAnsi="Times New Roman" w:eastAsia="宋体" w:cs="Times New Roman"/>
                <w:b w:val="0"/>
                <w:bCs w:val="0"/>
                <w:color w:val="auto"/>
                <w:spacing w:val="0"/>
                <w:sz w:val="24"/>
                <w:szCs w:val="24"/>
                <w:lang w:val="en-US" w:eastAsia="zh-CN"/>
              </w:rPr>
              <w:t>施工</w:t>
            </w:r>
            <w:r>
              <w:rPr>
                <w:rFonts w:hint="default" w:ascii="Times New Roman" w:hAnsi="Times New Roman" w:eastAsia="宋体" w:cs="Times New Roman"/>
                <w:b w:val="0"/>
                <w:bCs w:val="0"/>
                <w:color w:val="auto"/>
                <w:spacing w:val="0"/>
                <w:sz w:val="24"/>
                <w:szCs w:val="24"/>
              </w:rPr>
              <w:t>过程产生的大量</w:t>
            </w:r>
            <w:r>
              <w:rPr>
                <w:rFonts w:hint="eastAsia" w:ascii="Times New Roman" w:hAnsi="Times New Roman" w:eastAsia="宋体" w:cs="Times New Roman"/>
                <w:b w:val="0"/>
                <w:bCs w:val="0"/>
                <w:color w:val="auto"/>
                <w:spacing w:val="0"/>
                <w:sz w:val="24"/>
                <w:szCs w:val="24"/>
                <w:lang w:val="en-US" w:eastAsia="zh-CN"/>
              </w:rPr>
              <w:t>土壤</w:t>
            </w:r>
            <w:r>
              <w:rPr>
                <w:rFonts w:hint="default" w:ascii="Times New Roman" w:hAnsi="Times New Roman" w:eastAsia="宋体" w:cs="Times New Roman"/>
                <w:b w:val="0"/>
                <w:bCs w:val="0"/>
                <w:color w:val="auto"/>
                <w:spacing w:val="0"/>
                <w:sz w:val="24"/>
                <w:szCs w:val="24"/>
              </w:rPr>
              <w:t>堆放于临时堆放点，若未采取相应的防护措施，在施工期遇暴雨冲刷，会造成砂石大量流失，导致新增水土流失量的显著增加</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w:t>
            </w:r>
          </w:p>
          <w:p w14:paraId="0F01649B">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b w:val="0"/>
                <w:bCs w:val="0"/>
                <w:color w:val="auto"/>
                <w:spacing w:val="0"/>
                <w:sz w:val="24"/>
                <w:szCs w:val="24"/>
              </w:rPr>
              <w:t>因此，在施工过程中应及时采取有效的水土保持措施，如对施工迹地采取平整和夯实的工程措施和绿化美化的生物措施，减少因项目临时占用，对地表扰动产生的水土流失和对生态环境的不利影响</w:t>
            </w:r>
            <w:r>
              <w:rPr>
                <w:rFonts w:hint="eastAsia" w:cs="Times New Roman"/>
                <w:b w:val="0"/>
                <w:bCs w:val="0"/>
                <w:color w:val="auto"/>
                <w:spacing w:val="0"/>
                <w:sz w:val="24"/>
                <w:szCs w:val="24"/>
                <w:lang w:eastAsia="zh-CN"/>
              </w:rPr>
              <w:t>。</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本环评建议施工应注意如下几点：施工过程中的临时占地和破坏的原有植物、绿化带，除在施工中应采取防护措施外，竣工后应及时采取复垦绿化措施，并做好相应的水土保持防护措施。</w:t>
            </w:r>
          </w:p>
          <w:p w14:paraId="480896BC">
            <w:pPr>
              <w:pStyle w:val="241"/>
              <w:ind w:firstLine="480"/>
            </w:pPr>
            <w:r>
              <w:rPr>
                <w:rFonts w:hint="eastAsia"/>
              </w:rPr>
              <w:t>（</w:t>
            </w:r>
            <w:r>
              <w:rPr>
                <w:rFonts w:hint="eastAsia"/>
                <w:lang w:val="en-US" w:eastAsia="zh-CN"/>
              </w:rPr>
              <w:t>3</w:t>
            </w:r>
            <w:r>
              <w:rPr>
                <w:rFonts w:hint="eastAsia"/>
              </w:rPr>
              <w:t>）</w:t>
            </w:r>
            <w:r>
              <w:t>工程临时占地影响</w:t>
            </w:r>
          </w:p>
          <w:p w14:paraId="5B03CFF3">
            <w:pPr>
              <w:pStyle w:val="241"/>
              <w:ind w:firstLine="480"/>
            </w:pPr>
            <w:r>
              <w:rPr>
                <w:rFonts w:hint="eastAsia" w:ascii="Times New Roman" w:hAnsi="宋体" w:eastAsia="宋体" w:cs="Times New Roman"/>
                <w:lang w:val="en-US" w:eastAsia="zh-CN"/>
              </w:rPr>
              <w:t>项目工程用地包括永久占地以及临时占地，永久占地全位于水闸管理范围内；临时占地主要为北侧租用现有民房及其场地等，不占用基本农田。用地范围内不涉及国家重点保护野生植物、野生动物。建设单位应加强施工期的管理，严禁随意扩大占压面积；在施工结束后及时进行场地的清理和平整，将硬化的土层剥离，并覆土绿化或恢复为耕地，则用地范围内植被覆盖率将能够逐渐得到恢复，因此项目占地面积对生态环境的影响不大</w:t>
            </w:r>
            <w:r>
              <w:t>。</w:t>
            </w:r>
          </w:p>
          <w:p w14:paraId="6BE3883D">
            <w:pPr>
              <w:keepNext w:val="0"/>
              <w:keepLines w:val="0"/>
              <w:pageBreakBefore w:val="0"/>
              <w:widowControl w:val="0"/>
              <w:kinsoku/>
              <w:wordWrap/>
              <w:overflowPunct/>
              <w:topLinePunct w:val="0"/>
              <w:autoSpaceDE/>
              <w:autoSpaceDN/>
              <w:bidi w:val="0"/>
              <w:adjustRightInd/>
              <w:snapToGrid/>
              <w:spacing w:line="360" w:lineRule="auto"/>
              <w:ind w:left="323" w:firstLine="240" w:firstLineChars="100"/>
              <w:textAlignment w:val="auto"/>
              <w:outlineLvl w:val="2"/>
              <w:rPr>
                <w:rFonts w:hint="default" w:ascii="Times New Roman" w:hAnsi="Times New Roman" w:eastAsia="宋体" w:cs="Times New Roman"/>
                <w:b w:val="0"/>
                <w:bCs w:val="0"/>
                <w:color w:val="auto"/>
                <w:spacing w:val="0"/>
                <w:sz w:val="24"/>
                <w:szCs w:val="24"/>
                <w:u w:val="none"/>
              </w:rPr>
            </w:pPr>
            <w:r>
              <w:rPr>
                <w:rFonts w:hint="eastAsia"/>
                <w:sz w:val="24"/>
                <w:szCs w:val="24"/>
                <w:lang w:eastAsia="zh-CN"/>
              </w:rPr>
              <w:t>（</w:t>
            </w:r>
            <w:r>
              <w:rPr>
                <w:rFonts w:hint="eastAsia"/>
                <w:sz w:val="24"/>
                <w:szCs w:val="24"/>
                <w:lang w:val="en-US" w:eastAsia="zh-CN"/>
              </w:rPr>
              <w:t>4</w:t>
            </w:r>
            <w:r>
              <w:rPr>
                <w:rFonts w:hint="eastAsia"/>
                <w:b w:val="0"/>
                <w:bCs w:val="0"/>
                <w:sz w:val="24"/>
                <w:szCs w:val="24"/>
                <w:lang w:val="en-US" w:eastAsia="zh-CN"/>
              </w:rPr>
              <w:t>）</w:t>
            </w:r>
            <w:r>
              <w:rPr>
                <w:rFonts w:hint="default" w:ascii="Times New Roman" w:hAnsi="Times New Roman" w:eastAsia="宋体" w:cs="Times New Roman"/>
                <w:b w:val="0"/>
                <w:bCs w:val="0"/>
                <w:color w:val="auto"/>
                <w:spacing w:val="0"/>
                <w:sz w:val="24"/>
                <w:szCs w:val="24"/>
                <w:u w:val="none"/>
              </w:rPr>
              <w:t>对水生生态的影响</w:t>
            </w:r>
          </w:p>
          <w:p w14:paraId="7C73C597">
            <w:pPr>
              <w:keepNext w:val="0"/>
              <w:keepLines w:val="0"/>
              <w:pageBreakBefore w:val="0"/>
              <w:widowControl w:val="0"/>
              <w:kinsoku/>
              <w:wordWrap/>
              <w:overflowPunct/>
              <w:topLinePunct w:val="0"/>
              <w:autoSpaceDE/>
              <w:autoSpaceDN/>
              <w:bidi w:val="0"/>
              <w:adjustRightInd/>
              <w:snapToGrid/>
              <w:spacing w:line="360" w:lineRule="auto"/>
              <w:ind w:left="524"/>
              <w:textAlignment w:val="auto"/>
              <w:outlineLvl w:val="9"/>
              <w:rPr>
                <w:rFonts w:hint="default" w:ascii="Times New Roman" w:hAnsi="Times New Roman" w:eastAsia="宋体" w:cs="Times New Roman"/>
                <w:b w:val="0"/>
                <w:bCs w:val="0"/>
                <w:color w:val="auto"/>
                <w:spacing w:val="0"/>
                <w:sz w:val="24"/>
                <w:szCs w:val="24"/>
                <w:u w:val="none"/>
              </w:rPr>
            </w:pPr>
            <w:bookmarkStart w:id="11" w:name="_Toc2978"/>
            <w:r>
              <w:rPr>
                <w:rFonts w:hint="default" w:ascii="Times New Roman" w:hAnsi="Times New Roman" w:eastAsia="Times New Roman" w:cs="Times New Roman"/>
                <w:b w:val="0"/>
                <w:bCs w:val="0"/>
                <w:color w:val="auto"/>
                <w:spacing w:val="0"/>
                <w:sz w:val="24"/>
                <w:szCs w:val="24"/>
                <w:u w:val="none"/>
              </w:rPr>
              <w:t>1</w:t>
            </w: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对浮游生物的影响</w:t>
            </w:r>
            <w:bookmarkEnd w:id="11"/>
          </w:p>
          <w:p w14:paraId="0976D411">
            <w:pPr>
              <w:keepNext w:val="0"/>
              <w:keepLines w:val="0"/>
              <w:pageBreakBefore w:val="0"/>
              <w:widowControl w:val="0"/>
              <w:kinsoku/>
              <w:wordWrap/>
              <w:overflowPunct/>
              <w:topLinePunct w:val="0"/>
              <w:autoSpaceDE/>
              <w:autoSpaceDN/>
              <w:bidi w:val="0"/>
              <w:adjustRightInd/>
              <w:snapToGrid/>
              <w:spacing w:line="360" w:lineRule="auto"/>
              <w:ind w:left="38" w:right="29" w:firstLine="482"/>
              <w:textAlignment w:val="auto"/>
              <w:outlineLvl w:val="9"/>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浮游生物适宜生活在静水或缓流水中，在工程未修建时，评价区浮游生物种类和数量繁多，以绿藻和硅藻为主。水域中的浮游动物是许多经济鱼类和几乎所有幼鱼的重要饵料，浮游动物含有丰富的营养物质，在水域生态系统的食物链和能量转换中，浮游动物与底栖动物、浮游植物一起，各占有重要位置。浮游动物以细菌、有机碎屑和藻类等为食，因此，从总体上来讲，这些营养对象的数量高低，决定着浮游动物数量的多少。</w:t>
            </w:r>
          </w:p>
          <w:p w14:paraId="06AFB57A">
            <w:pPr>
              <w:keepNext w:val="0"/>
              <w:keepLines w:val="0"/>
              <w:pageBreakBefore w:val="0"/>
              <w:widowControl w:val="0"/>
              <w:kinsoku/>
              <w:wordWrap/>
              <w:overflowPunct/>
              <w:topLinePunct w:val="0"/>
              <w:autoSpaceDE/>
              <w:autoSpaceDN/>
              <w:bidi w:val="0"/>
              <w:adjustRightInd/>
              <w:snapToGrid/>
              <w:spacing w:line="360" w:lineRule="auto"/>
              <w:ind w:left="37" w:right="30" w:firstLine="482"/>
              <w:textAlignment w:val="auto"/>
              <w:outlineLvl w:val="9"/>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工程施工后水域内的局部水体悬浮物增加，水体透明度下降，从而使溶解氧降低，对水生生物产生诸多的负面影响。最直接的影响是削弱了水体的真光层厚度，对浮游植物的光合作用产生不利影响，进而妨碍浮游植物的细胞分裂和生长，降低单位水体内浮游植物数量，导致局部水域内初级生产力水平降低，使浮游植物生物量降低。</w:t>
            </w:r>
          </w:p>
          <w:p w14:paraId="27F17B42">
            <w:pPr>
              <w:keepNext w:val="0"/>
              <w:keepLines w:val="0"/>
              <w:pageBreakBefore w:val="0"/>
              <w:widowControl w:val="0"/>
              <w:kinsoku/>
              <w:wordWrap/>
              <w:overflowPunct/>
              <w:topLinePunct w:val="0"/>
              <w:autoSpaceDE/>
              <w:autoSpaceDN/>
              <w:bidi w:val="0"/>
              <w:adjustRightInd/>
              <w:snapToGrid/>
              <w:spacing w:line="360" w:lineRule="auto"/>
              <w:ind w:left="37" w:right="30" w:firstLine="482"/>
              <w:textAlignment w:val="auto"/>
              <w:outlineLvl w:val="9"/>
              <w:rPr>
                <w:rFonts w:hint="eastAsia" w:ascii="Times New Roman" w:hAnsi="Times New Roman" w:eastAsia="宋体" w:cs="Times New Roman"/>
                <w:b w:val="0"/>
                <w:bCs w:val="0"/>
                <w:color w:val="auto"/>
                <w:spacing w:val="0"/>
                <w:sz w:val="24"/>
                <w:szCs w:val="24"/>
                <w:u w:val="none"/>
                <w:lang w:val="en-US" w:eastAsia="zh-CN"/>
              </w:rPr>
            </w:pPr>
            <w:r>
              <w:rPr>
                <w:rFonts w:hint="eastAsia" w:ascii="Times New Roman" w:hAnsi="Times New Roman" w:eastAsia="宋体" w:cs="Times New Roman"/>
                <w:b w:val="0"/>
                <w:bCs w:val="0"/>
                <w:color w:val="auto"/>
                <w:spacing w:val="0"/>
                <w:sz w:val="24"/>
                <w:szCs w:val="24"/>
                <w:u w:val="none"/>
                <w:lang w:val="en-US" w:eastAsia="zh-CN"/>
              </w:rPr>
              <w:t>在水生食物链中，除了初级生产者—浮游藻类以外，其它营养级上的生物既是消费者，也是上一营养级生物的饵料。因此，浮游植物生物量的减少，会使以浮游植物为饵料的浮游动物在单位水体中拥有的生物量也相应地减少，致使以这些浮游生物为食的一些鱼类等由于饵料的贫乏而导致资源量下降。而且，以捕食鱼类为生的一些高级消费者，也会由于低营养级生物数量的减少而难以觅食。可见，水体中悬浮物质含量的增加，对整个水生生态食物链的影响是多环节的。</w:t>
            </w:r>
          </w:p>
          <w:p w14:paraId="052FC545">
            <w:pPr>
              <w:keepNext w:val="0"/>
              <w:keepLines w:val="0"/>
              <w:pageBreakBefore w:val="0"/>
              <w:widowControl w:val="0"/>
              <w:kinsoku/>
              <w:wordWrap/>
              <w:overflowPunct/>
              <w:topLinePunct w:val="0"/>
              <w:autoSpaceDE/>
              <w:autoSpaceDN/>
              <w:bidi w:val="0"/>
              <w:adjustRightInd/>
              <w:snapToGrid/>
              <w:spacing w:line="360" w:lineRule="auto"/>
              <w:ind w:left="37" w:right="30" w:firstLine="482"/>
              <w:textAlignment w:val="auto"/>
              <w:outlineLvl w:val="9"/>
              <w:rPr>
                <w:rFonts w:hint="eastAsia" w:ascii="Times New Roman" w:hAnsi="Times New Roman" w:eastAsia="宋体" w:cs="Times New Roman"/>
                <w:b w:val="0"/>
                <w:bCs w:val="0"/>
                <w:color w:val="auto"/>
                <w:spacing w:val="0"/>
                <w:sz w:val="24"/>
                <w:szCs w:val="24"/>
                <w:u w:val="none"/>
                <w:lang w:val="en-US" w:eastAsia="zh-CN"/>
              </w:rPr>
            </w:pPr>
            <w:r>
              <w:rPr>
                <w:rFonts w:hint="eastAsia" w:ascii="Times New Roman" w:hAnsi="Times New Roman" w:eastAsia="宋体" w:cs="Times New Roman"/>
                <w:b w:val="0"/>
                <w:bCs w:val="0"/>
                <w:color w:val="auto"/>
                <w:spacing w:val="0"/>
                <w:sz w:val="24"/>
                <w:szCs w:val="24"/>
                <w:u w:val="none"/>
                <w:lang w:val="en-US" w:eastAsia="zh-CN"/>
              </w:rPr>
              <w:t>此外，据有关资料，水中悬浮物质含量的增加，对浮游桡足类动物的存活和繁殖有明显的抑制作用。过量的悬浮物质会堵塞浮游桡足类动物的食物过滤系统和消化器官，尤其在悬浮物含量达300mg/L以上时，这种危害特别明显。在悬浮物质中，又以粘性淤泥的危害最大，泥土及细砂泥次之。同时，过量的悬浮物质对鱼、虾类幼体的存活也会产生明显的抑制作用。</w:t>
            </w:r>
          </w:p>
          <w:p w14:paraId="2780BEFC">
            <w:pPr>
              <w:keepNext w:val="0"/>
              <w:keepLines w:val="0"/>
              <w:pageBreakBefore w:val="0"/>
              <w:widowControl w:val="0"/>
              <w:kinsoku/>
              <w:wordWrap/>
              <w:overflowPunct/>
              <w:topLinePunct w:val="0"/>
              <w:autoSpaceDE/>
              <w:autoSpaceDN/>
              <w:bidi w:val="0"/>
              <w:adjustRightInd/>
              <w:snapToGrid/>
              <w:spacing w:line="360" w:lineRule="auto"/>
              <w:ind w:left="37" w:right="30" w:firstLine="482"/>
              <w:textAlignment w:val="auto"/>
              <w:outlineLvl w:val="9"/>
              <w:rPr>
                <w:rFonts w:hint="eastAsia" w:ascii="Times New Roman" w:hAnsi="Times New Roman" w:eastAsia="宋体" w:cs="Times New Roman"/>
                <w:b w:val="0"/>
                <w:bCs w:val="0"/>
                <w:color w:val="auto"/>
                <w:spacing w:val="0"/>
                <w:sz w:val="24"/>
                <w:szCs w:val="24"/>
                <w:u w:val="none"/>
                <w:lang w:val="en-US" w:eastAsia="zh-CN"/>
              </w:rPr>
            </w:pPr>
            <w:r>
              <w:rPr>
                <w:rFonts w:hint="eastAsia" w:ascii="Times New Roman" w:hAnsi="Times New Roman" w:eastAsia="宋体" w:cs="Times New Roman"/>
                <w:b w:val="0"/>
                <w:bCs w:val="0"/>
                <w:color w:val="auto"/>
                <w:spacing w:val="0"/>
                <w:sz w:val="24"/>
                <w:szCs w:val="24"/>
                <w:u w:val="none"/>
                <w:lang w:val="en-US" w:eastAsia="zh-CN"/>
              </w:rPr>
              <w:t>此外，某些浮游动物具有垂直迁移的习性，水体的浑浊会引起这些动物垂直迁移活动的混乱。</w:t>
            </w:r>
          </w:p>
          <w:p w14:paraId="5A35D0A3">
            <w:pPr>
              <w:keepNext w:val="0"/>
              <w:keepLines w:val="0"/>
              <w:pageBreakBefore w:val="0"/>
              <w:widowControl w:val="0"/>
              <w:kinsoku/>
              <w:wordWrap/>
              <w:overflowPunct/>
              <w:topLinePunct w:val="0"/>
              <w:autoSpaceDE/>
              <w:autoSpaceDN/>
              <w:bidi w:val="0"/>
              <w:adjustRightInd/>
              <w:snapToGrid/>
              <w:spacing w:line="360" w:lineRule="auto"/>
              <w:ind w:left="37" w:right="30" w:firstLine="482"/>
              <w:textAlignment w:val="auto"/>
              <w:outlineLvl w:val="9"/>
              <w:rPr>
                <w:rFonts w:hint="default" w:ascii="Times New Roman" w:hAnsi="Times New Roman" w:eastAsia="宋体" w:cs="Times New Roman"/>
                <w:b w:val="0"/>
                <w:bCs w:val="0"/>
                <w:color w:val="auto"/>
                <w:spacing w:val="0"/>
                <w:sz w:val="24"/>
                <w:szCs w:val="24"/>
                <w:u w:val="none"/>
              </w:rPr>
            </w:pPr>
            <w:r>
              <w:rPr>
                <w:rFonts w:hint="eastAsia" w:ascii="Times New Roman" w:hAnsi="Times New Roman" w:eastAsia="宋体" w:cs="Times New Roman"/>
                <w:b w:val="0"/>
                <w:bCs w:val="0"/>
                <w:color w:val="auto"/>
                <w:spacing w:val="0"/>
                <w:sz w:val="24"/>
                <w:szCs w:val="24"/>
                <w:u w:val="none"/>
                <w:lang w:val="en-US" w:eastAsia="zh-CN"/>
              </w:rPr>
              <w:t>随着施工的结束，对浮游生物的影响也就随之消失，故对</w:t>
            </w:r>
            <w:r>
              <w:rPr>
                <w:rFonts w:hint="default" w:ascii="Times New Roman" w:hAnsi="Times New Roman" w:eastAsia="宋体" w:cs="Times New Roman"/>
                <w:b w:val="0"/>
                <w:bCs w:val="0"/>
                <w:color w:val="auto"/>
                <w:spacing w:val="0"/>
                <w:sz w:val="24"/>
                <w:szCs w:val="24"/>
                <w:u w:val="none"/>
              </w:rPr>
              <w:t>浮游生物的影响</w:t>
            </w:r>
            <w:r>
              <w:rPr>
                <w:rFonts w:hint="eastAsia" w:ascii="Times New Roman" w:hAnsi="Times New Roman" w:eastAsia="宋体" w:cs="Times New Roman"/>
                <w:b w:val="0"/>
                <w:bCs w:val="0"/>
                <w:color w:val="auto"/>
                <w:spacing w:val="0"/>
                <w:sz w:val="24"/>
                <w:szCs w:val="24"/>
                <w:u w:val="none"/>
                <w:lang w:val="en-US" w:eastAsia="zh-CN"/>
              </w:rPr>
              <w:t>较小</w:t>
            </w:r>
            <w:r>
              <w:rPr>
                <w:rFonts w:hint="default" w:ascii="Times New Roman" w:hAnsi="Times New Roman" w:eastAsia="宋体" w:cs="Times New Roman"/>
                <w:b w:val="0"/>
                <w:bCs w:val="0"/>
                <w:color w:val="auto"/>
                <w:spacing w:val="0"/>
                <w:sz w:val="24"/>
                <w:szCs w:val="24"/>
                <w:u w:val="none"/>
              </w:rPr>
              <w:t>。</w:t>
            </w:r>
          </w:p>
          <w:p w14:paraId="673DF85B">
            <w:pPr>
              <w:keepNext w:val="0"/>
              <w:keepLines w:val="0"/>
              <w:pageBreakBefore w:val="0"/>
              <w:widowControl w:val="0"/>
              <w:kinsoku/>
              <w:wordWrap/>
              <w:overflowPunct/>
              <w:topLinePunct w:val="0"/>
              <w:autoSpaceDE/>
              <w:autoSpaceDN/>
              <w:bidi w:val="0"/>
              <w:adjustRightInd/>
              <w:snapToGrid/>
              <w:spacing w:line="360" w:lineRule="auto"/>
              <w:ind w:left="524"/>
              <w:textAlignment w:val="auto"/>
              <w:outlineLvl w:val="9"/>
              <w:rPr>
                <w:rFonts w:hint="default" w:ascii="Times New Roman" w:hAnsi="Times New Roman" w:eastAsia="宋体" w:cs="Times New Roman"/>
                <w:b w:val="0"/>
                <w:bCs w:val="0"/>
                <w:color w:val="auto"/>
                <w:spacing w:val="0"/>
                <w:sz w:val="24"/>
                <w:szCs w:val="24"/>
                <w:u w:val="none"/>
              </w:rPr>
            </w:pPr>
            <w:bookmarkStart w:id="12" w:name="_Toc19886"/>
            <w:r>
              <w:rPr>
                <w:rFonts w:hint="default" w:ascii="Times New Roman" w:hAnsi="Times New Roman" w:eastAsia="Times New Roman" w:cs="Times New Roman"/>
                <w:b w:val="0"/>
                <w:bCs w:val="0"/>
                <w:color w:val="auto"/>
                <w:spacing w:val="0"/>
                <w:sz w:val="24"/>
                <w:szCs w:val="24"/>
                <w:u w:val="none"/>
              </w:rPr>
              <w:t>2</w:t>
            </w: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对底栖动物的影响</w:t>
            </w:r>
            <w:bookmarkEnd w:id="12"/>
          </w:p>
          <w:p w14:paraId="004DC649">
            <w:pPr>
              <w:keepNext w:val="0"/>
              <w:keepLines w:val="0"/>
              <w:pageBreakBefore w:val="0"/>
              <w:widowControl w:val="0"/>
              <w:kinsoku/>
              <w:wordWrap/>
              <w:overflowPunct/>
              <w:topLinePunct w:val="0"/>
              <w:autoSpaceDE/>
              <w:autoSpaceDN/>
              <w:bidi w:val="0"/>
              <w:adjustRightInd/>
              <w:snapToGrid/>
              <w:spacing w:line="360" w:lineRule="auto"/>
              <w:ind w:left="38" w:right="30" w:firstLine="482"/>
              <w:textAlignment w:val="auto"/>
              <w:outlineLvl w:val="9"/>
              <w:rPr>
                <w:rFonts w:hint="default" w:ascii="Times New Roman" w:hAnsi="Times New Roman" w:eastAsia="宋体" w:cs="Times New Roman"/>
                <w:b w:val="0"/>
                <w:bCs w:val="0"/>
                <w:color w:val="auto"/>
                <w:spacing w:val="0"/>
                <w:sz w:val="24"/>
                <w:szCs w:val="24"/>
                <w:u w:val="none"/>
                <w:lang w:val="en-US" w:eastAsia="zh-CN"/>
              </w:rPr>
            </w:pPr>
            <w:r>
              <w:rPr>
                <w:rFonts w:hint="default" w:ascii="Times New Roman" w:hAnsi="Times New Roman" w:eastAsia="宋体" w:cs="Times New Roman"/>
                <w:b w:val="0"/>
                <w:bCs w:val="0"/>
                <w:color w:val="auto"/>
                <w:spacing w:val="0"/>
                <w:sz w:val="24"/>
                <w:szCs w:val="24"/>
                <w:u w:val="none"/>
              </w:rPr>
              <w:t>底栖动物是长期在水域底部泥沙中，石块或其他水底物体上生活的动物。自然水体中底栖动物的种类和数量与底层杂食性鱼类有着极大的关系。水中总磷含量的消长将使底栖动物的密度和生物量出现指数式的增减，对底栖动物是最重要的限制因素。</w:t>
            </w:r>
            <w:r>
              <w:rPr>
                <w:rFonts w:hint="eastAsia" w:ascii="Times New Roman" w:hAnsi="Times New Roman" w:eastAsia="宋体" w:cs="Times New Roman"/>
                <w:b w:val="0"/>
                <w:bCs w:val="0"/>
                <w:color w:val="auto"/>
                <w:spacing w:val="0"/>
                <w:sz w:val="24"/>
                <w:szCs w:val="24"/>
                <w:u w:val="none"/>
                <w:lang w:val="en-US" w:eastAsia="zh-CN"/>
              </w:rPr>
              <w:t>本项目施工影响范围内</w:t>
            </w:r>
            <w:r>
              <w:rPr>
                <w:rFonts w:hint="default" w:ascii="Times New Roman" w:hAnsi="Times New Roman" w:eastAsia="宋体" w:cs="Times New Roman"/>
                <w:b w:val="0"/>
                <w:bCs w:val="0"/>
                <w:color w:val="auto"/>
                <w:spacing w:val="0"/>
                <w:sz w:val="24"/>
                <w:szCs w:val="24"/>
                <w:u w:val="none"/>
              </w:rPr>
              <w:t>底栖动物</w:t>
            </w:r>
            <w:r>
              <w:rPr>
                <w:rFonts w:hint="eastAsia" w:ascii="Times New Roman" w:hAnsi="Times New Roman" w:eastAsia="宋体" w:cs="Times New Roman"/>
                <w:b w:val="0"/>
                <w:bCs w:val="0"/>
                <w:color w:val="auto"/>
                <w:spacing w:val="0"/>
                <w:sz w:val="24"/>
                <w:szCs w:val="24"/>
                <w:u w:val="none"/>
                <w:lang w:val="en-US" w:eastAsia="zh-CN"/>
              </w:rPr>
              <w:t>均为常见种、广布种，无特殊生境要求，在相邻区域皆有存在。</w:t>
            </w:r>
          </w:p>
          <w:p w14:paraId="4B6B6285">
            <w:pPr>
              <w:keepNext w:val="0"/>
              <w:keepLines w:val="0"/>
              <w:pageBreakBefore w:val="0"/>
              <w:widowControl w:val="0"/>
              <w:kinsoku/>
              <w:wordWrap/>
              <w:overflowPunct/>
              <w:topLinePunct w:val="0"/>
              <w:autoSpaceDE/>
              <w:autoSpaceDN/>
              <w:bidi w:val="0"/>
              <w:adjustRightInd/>
              <w:snapToGrid/>
              <w:spacing w:line="360" w:lineRule="auto"/>
              <w:ind w:left="38" w:right="30" w:firstLine="482"/>
              <w:textAlignment w:val="auto"/>
              <w:outlineLvl w:val="9"/>
              <w:rPr>
                <w:rFonts w:hint="eastAsia" w:ascii="Times New Roman" w:hAnsi="Times New Roman" w:eastAsia="宋体" w:cs="Times New Roman"/>
                <w:b w:val="0"/>
                <w:bCs w:val="0"/>
                <w:color w:val="auto"/>
                <w:spacing w:val="0"/>
                <w:sz w:val="24"/>
                <w:szCs w:val="24"/>
                <w:u w:val="none"/>
                <w:lang w:val="en-US" w:eastAsia="zh-CN"/>
              </w:rPr>
            </w:pPr>
            <w:r>
              <w:rPr>
                <w:rFonts w:hint="eastAsia" w:ascii="Times New Roman" w:hAnsi="Times New Roman" w:eastAsia="宋体" w:cs="Times New Roman"/>
                <w:b w:val="0"/>
                <w:bCs w:val="0"/>
                <w:color w:val="auto"/>
                <w:spacing w:val="0"/>
                <w:sz w:val="24"/>
                <w:szCs w:val="24"/>
                <w:u w:val="none"/>
                <w:lang w:val="en-US" w:eastAsia="zh-CN"/>
              </w:rPr>
              <w:t>本项目施工围堰等施工产生的悬浮泥沙在施工区附近水域扩散，将造成水体悬浮物浓度增加，使得河水透明度降低，导致底栖生物正常的生理过程受到影响，但这种影响是短暂的，施工结束后受悬沙影响的底栖生物可以逐渐恢复到正常水平。</w:t>
            </w:r>
          </w:p>
          <w:p w14:paraId="63712153">
            <w:pPr>
              <w:keepNext w:val="0"/>
              <w:keepLines w:val="0"/>
              <w:pageBreakBefore w:val="0"/>
              <w:widowControl w:val="0"/>
              <w:kinsoku/>
              <w:wordWrap/>
              <w:overflowPunct/>
              <w:topLinePunct w:val="0"/>
              <w:autoSpaceDE/>
              <w:autoSpaceDN/>
              <w:bidi w:val="0"/>
              <w:adjustRightInd/>
              <w:snapToGrid/>
              <w:spacing w:line="360" w:lineRule="auto"/>
              <w:ind w:left="38" w:right="30" w:firstLine="482"/>
              <w:textAlignment w:val="auto"/>
              <w:outlineLvl w:val="9"/>
              <w:rPr>
                <w:rFonts w:hint="default" w:ascii="Times New Roman" w:hAnsi="Times New Roman" w:eastAsia="宋体" w:cs="Times New Roman"/>
                <w:b w:val="0"/>
                <w:bCs w:val="0"/>
                <w:color w:val="auto"/>
                <w:spacing w:val="0"/>
                <w:sz w:val="24"/>
                <w:szCs w:val="24"/>
                <w:u w:val="none"/>
              </w:rPr>
            </w:pPr>
            <w:r>
              <w:rPr>
                <w:rFonts w:hint="eastAsia" w:ascii="Times New Roman" w:hAnsi="Times New Roman" w:eastAsia="宋体" w:cs="Times New Roman"/>
                <w:b w:val="0"/>
                <w:bCs w:val="0"/>
                <w:color w:val="auto"/>
                <w:spacing w:val="0"/>
                <w:sz w:val="24"/>
                <w:szCs w:val="24"/>
                <w:u w:val="none"/>
                <w:lang w:val="en-US" w:eastAsia="zh-CN"/>
              </w:rPr>
              <w:t>工程建设对底栖生物最主要的影响是临时施工围堰及永久水工构筑物占用水域直接破坏底栖生物生境，掩埋底栖生物栖息地，使底栖生物栖息环境被破坏，导致施工区周边一定范围内底栖生物死亡，从而造成一定的底栖生物量损失。</w:t>
            </w:r>
            <w:r>
              <w:rPr>
                <w:rFonts w:hint="default" w:ascii="Times New Roman" w:hAnsi="Times New Roman" w:eastAsia="宋体" w:cs="Times New Roman"/>
                <w:b w:val="0"/>
                <w:bCs w:val="0"/>
                <w:color w:val="auto"/>
                <w:spacing w:val="0"/>
                <w:sz w:val="24"/>
                <w:szCs w:val="24"/>
                <w:u w:val="none"/>
              </w:rPr>
              <w:t>但由于施工范围有限，</w:t>
            </w:r>
            <w:r>
              <w:rPr>
                <w:rFonts w:hint="eastAsia" w:ascii="Times New Roman" w:hAnsi="Times New Roman" w:eastAsia="宋体" w:cs="Times New Roman"/>
                <w:b w:val="0"/>
                <w:bCs w:val="0"/>
                <w:color w:val="auto"/>
                <w:spacing w:val="0"/>
                <w:sz w:val="24"/>
                <w:szCs w:val="24"/>
                <w:u w:val="none"/>
                <w:lang w:val="en-US" w:eastAsia="zh-CN"/>
              </w:rPr>
              <w:t>底栖生物会短暂迁移至相邻河段类似环境生存。</w:t>
            </w:r>
            <w:r>
              <w:rPr>
                <w:rFonts w:hint="default" w:ascii="Times New Roman" w:hAnsi="Times New Roman" w:eastAsia="宋体" w:cs="Times New Roman"/>
                <w:b w:val="0"/>
                <w:bCs w:val="0"/>
                <w:color w:val="auto"/>
                <w:spacing w:val="0"/>
                <w:sz w:val="24"/>
                <w:szCs w:val="24"/>
                <w:u w:val="none"/>
              </w:rPr>
              <w:t>无施工浑浊废水排放</w:t>
            </w:r>
            <w:r>
              <w:rPr>
                <w:rFonts w:hint="eastAsia" w:ascii="Times New Roman" w:hAnsi="Times New Roman" w:eastAsia="宋体" w:cs="Times New Roman"/>
                <w:b w:val="0"/>
                <w:bCs w:val="0"/>
                <w:color w:val="auto"/>
                <w:spacing w:val="0"/>
                <w:sz w:val="24"/>
                <w:szCs w:val="24"/>
                <w:u w:val="none"/>
                <w:lang w:val="en-US" w:eastAsia="zh-CN"/>
              </w:rPr>
              <w:t>祁水</w:t>
            </w:r>
            <w:r>
              <w:rPr>
                <w:rFonts w:hint="default" w:ascii="Times New Roman" w:hAnsi="Times New Roman" w:eastAsia="宋体" w:cs="Times New Roman"/>
                <w:b w:val="0"/>
                <w:bCs w:val="0"/>
                <w:color w:val="auto"/>
                <w:spacing w:val="0"/>
                <w:sz w:val="24"/>
                <w:szCs w:val="24"/>
                <w:u w:val="none"/>
              </w:rPr>
              <w:t>水体，未改变保护区营养状况，对底栖动物整体影响较小。</w:t>
            </w:r>
          </w:p>
          <w:p w14:paraId="0E0B77E8">
            <w:pPr>
              <w:keepNext w:val="0"/>
              <w:keepLines w:val="0"/>
              <w:pageBreakBefore w:val="0"/>
              <w:widowControl w:val="0"/>
              <w:kinsoku/>
              <w:wordWrap/>
              <w:overflowPunct/>
              <w:topLinePunct w:val="0"/>
              <w:autoSpaceDE/>
              <w:autoSpaceDN/>
              <w:bidi w:val="0"/>
              <w:adjustRightInd/>
              <w:snapToGrid/>
              <w:spacing w:line="360" w:lineRule="auto"/>
              <w:ind w:left="524"/>
              <w:textAlignment w:val="auto"/>
              <w:outlineLvl w:val="9"/>
              <w:rPr>
                <w:rFonts w:hint="default" w:ascii="Times New Roman" w:hAnsi="Times New Roman" w:eastAsia="宋体" w:cs="Times New Roman"/>
                <w:b w:val="0"/>
                <w:bCs w:val="0"/>
                <w:color w:val="auto"/>
                <w:spacing w:val="0"/>
                <w:sz w:val="24"/>
                <w:szCs w:val="24"/>
                <w:u w:val="none"/>
              </w:rPr>
            </w:pPr>
            <w:bookmarkStart w:id="13" w:name="_Toc14610"/>
            <w:r>
              <w:rPr>
                <w:rFonts w:hint="default" w:ascii="Times New Roman" w:hAnsi="Times New Roman" w:eastAsia="Times New Roman" w:cs="Times New Roman"/>
                <w:b w:val="0"/>
                <w:bCs w:val="0"/>
                <w:color w:val="auto"/>
                <w:spacing w:val="0"/>
                <w:sz w:val="24"/>
                <w:szCs w:val="24"/>
                <w:u w:val="none"/>
              </w:rPr>
              <w:t>3</w:t>
            </w: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对鱼类的影响</w:t>
            </w:r>
            <w:bookmarkEnd w:id="13"/>
          </w:p>
          <w:p w14:paraId="79178CBB">
            <w:pPr>
              <w:keepNext w:val="0"/>
              <w:keepLines w:val="0"/>
              <w:pageBreakBefore w:val="0"/>
              <w:widowControl w:val="0"/>
              <w:kinsoku/>
              <w:wordWrap/>
              <w:overflowPunct/>
              <w:topLinePunct w:val="0"/>
              <w:autoSpaceDE/>
              <w:autoSpaceDN/>
              <w:bidi w:val="0"/>
              <w:adjustRightInd/>
              <w:snapToGrid/>
              <w:spacing w:line="360" w:lineRule="auto"/>
              <w:ind w:left="37" w:right="30" w:firstLine="479"/>
              <w:textAlignment w:val="auto"/>
              <w:outlineLvl w:val="9"/>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项目区域无重要水生生物的自然产卵场、索饵场、越冬场和洄游通道。</w:t>
            </w:r>
          </w:p>
          <w:p w14:paraId="2673461D">
            <w:pPr>
              <w:keepNext w:val="0"/>
              <w:keepLines w:val="0"/>
              <w:pageBreakBefore w:val="0"/>
              <w:widowControl w:val="0"/>
              <w:kinsoku/>
              <w:wordWrap/>
              <w:overflowPunct/>
              <w:topLinePunct w:val="0"/>
              <w:autoSpaceDE/>
              <w:autoSpaceDN/>
              <w:bidi w:val="0"/>
              <w:adjustRightInd/>
              <w:snapToGrid/>
              <w:spacing w:line="360" w:lineRule="auto"/>
              <w:ind w:left="37" w:right="30" w:firstLine="479"/>
              <w:textAlignment w:val="auto"/>
              <w:outlineLvl w:val="9"/>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施工过程中，</w:t>
            </w:r>
            <w:r>
              <w:rPr>
                <w:rFonts w:hint="eastAsia" w:ascii="Times New Roman" w:hAnsi="Times New Roman" w:eastAsia="宋体" w:cs="Times New Roman"/>
                <w:b w:val="0"/>
                <w:bCs w:val="0"/>
                <w:color w:val="auto"/>
                <w:spacing w:val="0"/>
                <w:sz w:val="24"/>
                <w:szCs w:val="24"/>
                <w:u w:val="none"/>
                <w:lang w:eastAsia="zh-CN"/>
              </w:rPr>
              <w:t>拦河闸除险加固</w:t>
            </w:r>
            <w:r>
              <w:rPr>
                <w:rFonts w:hint="default" w:ascii="Times New Roman" w:hAnsi="Times New Roman" w:eastAsia="宋体" w:cs="Times New Roman"/>
                <w:b w:val="0"/>
                <w:bCs w:val="0"/>
                <w:color w:val="auto"/>
                <w:spacing w:val="0"/>
                <w:sz w:val="24"/>
                <w:szCs w:val="24"/>
                <w:u w:val="none"/>
              </w:rPr>
              <w:t>等作业对鱼类产生一定的直接影响，砸死、砸伤鱼类或者迫使鱼类游离施工区。但由于施工期间较短且较分散，因此本工程施工期间对鱼类是阶段性、局部性的影响；鱼类的游泳迁移能力使其主动避开危险和逃离危险环境，本工程对鱼类的不利影响将进一步减小。</w:t>
            </w:r>
          </w:p>
          <w:p w14:paraId="5D40776A">
            <w:pPr>
              <w:keepNext w:val="0"/>
              <w:keepLines w:val="0"/>
              <w:pageBreakBefore w:val="0"/>
              <w:widowControl w:val="0"/>
              <w:kinsoku/>
              <w:wordWrap/>
              <w:overflowPunct/>
              <w:topLinePunct w:val="0"/>
              <w:autoSpaceDE/>
              <w:autoSpaceDN/>
              <w:bidi w:val="0"/>
              <w:adjustRightInd/>
              <w:snapToGrid/>
              <w:spacing w:line="360" w:lineRule="auto"/>
              <w:ind w:left="37" w:right="30" w:firstLine="483"/>
              <w:textAlignment w:val="auto"/>
              <w:outlineLvl w:val="9"/>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工程施工将占用</w:t>
            </w:r>
            <w:r>
              <w:rPr>
                <w:rFonts w:hint="eastAsia" w:ascii="Times New Roman" w:hAnsi="Times New Roman" w:eastAsia="宋体" w:cs="Times New Roman"/>
                <w:b w:val="0"/>
                <w:bCs w:val="0"/>
                <w:color w:val="auto"/>
                <w:spacing w:val="0"/>
                <w:sz w:val="24"/>
                <w:szCs w:val="24"/>
                <w:u w:val="none"/>
                <w:lang w:val="en-US" w:eastAsia="zh-CN"/>
              </w:rPr>
              <w:t>极小</w:t>
            </w:r>
            <w:r>
              <w:rPr>
                <w:rFonts w:hint="default" w:ascii="Times New Roman" w:hAnsi="Times New Roman" w:eastAsia="宋体" w:cs="Times New Roman"/>
                <w:b w:val="0"/>
                <w:bCs w:val="0"/>
                <w:color w:val="auto"/>
                <w:spacing w:val="0"/>
                <w:sz w:val="24"/>
                <w:szCs w:val="24"/>
                <w:u w:val="none"/>
              </w:rPr>
              <w:t>部分水体，会影响到相关区域鱼类的活动栖息空间，可能会短期内影响该区域鱼类栖息，但由于施工范围有限，不会对鱼类栖息造成较大影响。施工期，浮游植物、浮游动物、底栖动物以及沉水植物等水生生物资源等受到影响和限制，鱼类的运动和摄食可能会受到影响。例如，浮游植物群落的变化将会影响浮游植物食性鱼类</w:t>
            </w: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如鲢、鳙等滤食性鱼类</w:t>
            </w: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的时空分布；底栖动物群落的变动可能影响水生昆虫食性、软体动物食性和杂食性鱼类</w:t>
            </w: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如鲤、青鱼等</w:t>
            </w: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；同时在水域食物网中作为食物来源、处于较低营养级的小型饵料鱼类会影响高营养级的肉食性鱼类。</w:t>
            </w:r>
          </w:p>
          <w:p w14:paraId="008DD42A">
            <w:pPr>
              <w:pStyle w:val="241"/>
              <w:ind w:firstLine="480"/>
              <w:rPr>
                <w:rFonts w:hint="eastAsia"/>
                <w:lang w:val="en-US" w:eastAsia="zh-CN"/>
              </w:rPr>
            </w:pPr>
            <w:r>
              <w:rPr>
                <w:rFonts w:hint="default" w:ascii="Times New Roman" w:hAnsi="Times New Roman" w:eastAsia="宋体" w:cs="Times New Roman"/>
                <w:b w:val="0"/>
                <w:bCs w:val="0"/>
                <w:color w:val="auto"/>
                <w:spacing w:val="0"/>
                <w:sz w:val="24"/>
                <w:szCs w:val="24"/>
                <w:u w:val="none"/>
              </w:rPr>
              <w:t>施工噪声也可能对河道内鱼类分布产生一定影响，鱼类能够辨别多种强度和频率的声音信号，包括人为噪音、风浪声、雨声等，以此来与种群其他个体进行信息交流、确定周围食物及敌人的存在及方位。强烈的噪声音影响鱼类辨别声音信号，与此相关的觅食、攻击、保卫领域、防卫、生殖等行为活动会受到一定程度的干扰，使其主动游离干扰区域。施工结束后噪声和悬浮物消失，对鱼类的不利影响自然消失</w:t>
            </w:r>
          </w:p>
          <w:p w14:paraId="7146CC9E">
            <w:pPr>
              <w:pStyle w:val="241"/>
              <w:ind w:firstLine="480"/>
              <w:rPr>
                <w:rFonts w:hint="eastAsia"/>
                <w:lang w:val="en-US" w:eastAsia="zh-CN"/>
              </w:rPr>
            </w:pPr>
            <w:r>
              <w:rPr>
                <w:rFonts w:hint="eastAsia"/>
                <w:lang w:val="en-US" w:eastAsia="zh-CN"/>
              </w:rPr>
              <w:t>(5)对景观生态影响</w:t>
            </w:r>
          </w:p>
          <w:p w14:paraId="2A1EA5C4">
            <w:pPr>
              <w:pStyle w:val="241"/>
              <w:ind w:firstLine="480"/>
              <w:rPr>
                <w:rFonts w:hint="eastAsia"/>
                <w:lang w:val="en-US" w:eastAsia="zh-CN"/>
              </w:rPr>
            </w:pPr>
            <w:r>
              <w:rPr>
                <w:rFonts w:hint="eastAsia"/>
                <w:lang w:val="en-US" w:eastAsia="zh-CN"/>
              </w:rPr>
              <w:t>施工期由于工程施工活动频繁，对景观环境影响较大。由于作业区均集中于项目用地范围内，工程直接影响范围相对较小，但施工场地及作业活动由于改变原有地貌景观，可能产生视觉污染。主要表现为：</w:t>
            </w:r>
          </w:p>
          <w:p w14:paraId="460CD8B0">
            <w:pPr>
              <w:pStyle w:val="241"/>
              <w:ind w:firstLine="480"/>
              <w:rPr>
                <w:rFonts w:hint="eastAsia"/>
                <w:lang w:val="en-US" w:eastAsia="zh-CN"/>
              </w:rPr>
            </w:pPr>
            <w:r>
              <w:rPr>
                <w:rFonts w:hint="eastAsia"/>
                <w:lang w:val="en-US" w:eastAsia="zh-CN"/>
              </w:rPr>
              <w:t>施工过程中临时占地会影响到周围景观的整体性和连续性。项目周围以农村环境居多，基质比较均一，由于临时施工工程区等斑块的出现，改变了原有景观的格局和动态。最主要的变化是这些斑块的出现取代了原来的斑块，改变了原来斑块结构，使斑块更加破碎化。</w:t>
            </w:r>
          </w:p>
          <w:p w14:paraId="18799E1C">
            <w:pPr>
              <w:pStyle w:val="241"/>
              <w:ind w:firstLine="480"/>
              <w:rPr>
                <w:rFonts w:hint="eastAsia"/>
                <w:lang w:val="en-US" w:eastAsia="zh-CN"/>
              </w:rPr>
            </w:pPr>
            <w:r>
              <w:rPr>
                <w:rFonts w:hint="eastAsia"/>
                <w:lang w:val="en-US" w:eastAsia="zh-CN"/>
              </w:rPr>
              <w:t>因此，施工期应尽量做好防护措施。施工结束后，通过对临时占用土地的恢复及采取绿化美化等措施，可以基本消除影响，所以施工期对生态完整性的影响是暂时的。</w:t>
            </w:r>
          </w:p>
          <w:p w14:paraId="0A170CC6">
            <w:pPr>
              <w:pStyle w:val="241"/>
              <w:ind w:firstLine="480"/>
              <w:rPr>
                <w:rFonts w:hint="eastAsia"/>
                <w:lang w:val="en-US" w:eastAsia="zh-CN"/>
              </w:rPr>
            </w:pPr>
            <w:r>
              <w:rPr>
                <w:rFonts w:hint="eastAsia"/>
                <w:lang w:val="en-US" w:eastAsia="zh-CN"/>
              </w:rPr>
              <w:t>虽然施工期临时工程对景观的影响无法避免，但也是暂时的，随着施工结束后，所占土地大部分将恢复为原有占地类型，通过对临时占地的植被的恢复，可以基本消除影响。</w:t>
            </w:r>
          </w:p>
          <w:p w14:paraId="51EF35FC">
            <w:pPr>
              <w:pStyle w:val="241"/>
              <w:ind w:firstLine="480"/>
              <w:rPr>
                <w:rFonts w:hint="eastAsia"/>
                <w:lang w:val="en-US" w:eastAsia="zh-CN"/>
              </w:rPr>
            </w:pPr>
            <w:r>
              <w:rPr>
                <w:rFonts w:hint="eastAsia"/>
                <w:lang w:val="en-US" w:eastAsia="zh-CN"/>
              </w:rPr>
              <w:t>（6）对水文情势的影响</w:t>
            </w:r>
          </w:p>
          <w:p w14:paraId="57A25B7A">
            <w:pPr>
              <w:pStyle w:val="241"/>
              <w:ind w:firstLine="480"/>
              <w:rPr>
                <w:rFonts w:hint="eastAsia"/>
                <w:lang w:val="en-US" w:eastAsia="zh-CN"/>
              </w:rPr>
            </w:pPr>
            <w:r>
              <w:rPr>
                <w:rFonts w:hint="eastAsia"/>
                <w:lang w:val="en-US" w:eastAsia="zh-CN"/>
              </w:rPr>
              <w:t>1）施工导流对水文情势的影响分析</w:t>
            </w:r>
          </w:p>
          <w:p w14:paraId="026B08BF">
            <w:pPr>
              <w:pStyle w:val="241"/>
              <w:ind w:firstLine="480"/>
              <w:rPr>
                <w:rFonts w:hint="eastAsia"/>
                <w:lang w:val="en-US" w:eastAsia="zh-CN"/>
              </w:rPr>
            </w:pPr>
            <w:r>
              <w:rPr>
                <w:rFonts w:hint="eastAsia"/>
                <w:lang w:val="en-US" w:eastAsia="zh-CN"/>
              </w:rPr>
              <w:t>根据施工进度安排，施工导流采用分期围堰法导流，分两期施工。</w:t>
            </w:r>
          </w:p>
          <w:p w14:paraId="6B2E1A43">
            <w:pPr>
              <w:pStyle w:val="241"/>
              <w:ind w:firstLine="480"/>
              <w:rPr>
                <w:rFonts w:hint="eastAsia"/>
                <w:lang w:val="en-US" w:eastAsia="zh-CN"/>
              </w:rPr>
            </w:pPr>
            <w:r>
              <w:rPr>
                <w:rFonts w:hint="eastAsia"/>
                <w:lang w:val="en-US" w:eastAsia="zh-CN"/>
              </w:rPr>
              <w:t>围堰的设置势必将影响河流水文情势的变化，但由于施工导流在枯水期进行（10月-次年3年），施工时间较短，施工单位在尽量缩短工期的条件下，施工导流对河流水文情势的影响较小。</w:t>
            </w:r>
          </w:p>
          <w:p w14:paraId="289282C6">
            <w:pPr>
              <w:pStyle w:val="241"/>
              <w:ind w:firstLine="480"/>
              <w:rPr>
                <w:rFonts w:hint="eastAsia"/>
                <w:lang w:val="en-US" w:eastAsia="zh-CN"/>
              </w:rPr>
            </w:pPr>
            <w:r>
              <w:rPr>
                <w:rFonts w:hint="eastAsia"/>
                <w:lang w:val="en-US" w:eastAsia="zh-CN"/>
              </w:rPr>
              <w:t>2）河宽的变化</w:t>
            </w:r>
          </w:p>
          <w:p w14:paraId="1B23119C">
            <w:pPr>
              <w:pStyle w:val="241"/>
              <w:ind w:firstLine="480"/>
              <w:rPr>
                <w:rFonts w:hint="eastAsia"/>
                <w:lang w:val="en-US" w:eastAsia="zh-CN"/>
              </w:rPr>
            </w:pPr>
            <w:r>
              <w:rPr>
                <w:rFonts w:hint="eastAsia"/>
                <w:lang w:val="en-US" w:eastAsia="zh-CN"/>
              </w:rPr>
              <w:t>本项目建设施工对河宽基本不会有影响，河段河宽基本无变化。</w:t>
            </w:r>
          </w:p>
          <w:p w14:paraId="55340CE5">
            <w:pPr>
              <w:pStyle w:val="241"/>
              <w:ind w:firstLine="480"/>
              <w:rPr>
                <w:rFonts w:hint="eastAsia"/>
                <w:lang w:val="en-US" w:eastAsia="zh-CN"/>
              </w:rPr>
            </w:pPr>
            <w:r>
              <w:rPr>
                <w:rFonts w:hint="eastAsia"/>
                <w:lang w:val="en-US" w:eastAsia="zh-CN"/>
              </w:rPr>
              <w:t>3）河床的变化</w:t>
            </w:r>
          </w:p>
          <w:p w14:paraId="4AF71F63">
            <w:pPr>
              <w:pStyle w:val="241"/>
              <w:ind w:firstLine="480"/>
              <w:rPr>
                <w:rFonts w:hint="eastAsia"/>
                <w:lang w:val="en-US" w:eastAsia="zh-CN"/>
              </w:rPr>
            </w:pPr>
            <w:r>
              <w:rPr>
                <w:rFonts w:hint="eastAsia"/>
                <w:lang w:val="en-US" w:eastAsia="zh-CN"/>
              </w:rPr>
              <w:t>本工程不对河道进行清淤，施工开挖产生的表土、废渣等暂时堆放于施工场地内，不会对河道产生影响，因此，河床高程不会发生变化。</w:t>
            </w:r>
          </w:p>
          <w:p w14:paraId="7E290CB5">
            <w:pPr>
              <w:pStyle w:val="241"/>
              <w:ind w:firstLine="480"/>
              <w:rPr>
                <w:rFonts w:hint="eastAsia"/>
                <w:lang w:val="en-US" w:eastAsia="zh-CN"/>
              </w:rPr>
            </w:pPr>
            <w:r>
              <w:rPr>
                <w:rFonts w:hint="eastAsia"/>
                <w:lang w:val="en-US" w:eastAsia="zh-CN"/>
              </w:rPr>
              <w:t>4）流量的变化</w:t>
            </w:r>
          </w:p>
          <w:p w14:paraId="4DD770A8">
            <w:pPr>
              <w:pStyle w:val="241"/>
              <w:ind w:firstLine="480"/>
              <w:rPr>
                <w:rFonts w:hint="eastAsia"/>
                <w:lang w:val="en-US" w:eastAsia="zh-CN"/>
              </w:rPr>
            </w:pPr>
            <w:r>
              <w:rPr>
                <w:rFonts w:hint="eastAsia"/>
                <w:lang w:val="en-US" w:eastAsia="zh-CN"/>
              </w:rPr>
              <w:t>本工程不对河段进行改造，不从河道引水，总体上不会减少河道的流量。</w:t>
            </w:r>
          </w:p>
          <w:p w14:paraId="2D2DFC09">
            <w:pPr>
              <w:pStyle w:val="241"/>
              <w:ind w:firstLine="480"/>
              <w:rPr>
                <w:rFonts w:hint="eastAsia"/>
                <w:lang w:val="en-US" w:eastAsia="zh-CN"/>
              </w:rPr>
            </w:pPr>
            <w:r>
              <w:rPr>
                <w:rFonts w:hint="eastAsia"/>
                <w:lang w:val="en-US" w:eastAsia="zh-CN"/>
              </w:rPr>
              <w:t>5）水位的变化</w:t>
            </w:r>
          </w:p>
          <w:p w14:paraId="7925E7A0">
            <w:pPr>
              <w:pStyle w:val="241"/>
              <w:ind w:firstLine="480"/>
              <w:rPr>
                <w:rFonts w:hint="eastAsia"/>
                <w:lang w:val="en-US" w:eastAsia="zh-CN"/>
              </w:rPr>
            </w:pPr>
            <w:r>
              <w:rPr>
                <w:rFonts w:hint="eastAsia"/>
                <w:lang w:val="en-US" w:eastAsia="zh-CN"/>
              </w:rPr>
              <w:t>本工程在设置施工一期围堰时利用左岸原闸坝堰顶导流，不会引起上下游水位的变化；二期由于仅设置部分纵向围堰，因此对水位的影响较小。</w:t>
            </w:r>
          </w:p>
          <w:p w14:paraId="14F695BB">
            <w:pPr>
              <w:pStyle w:val="241"/>
              <w:ind w:firstLine="480"/>
              <w:rPr>
                <w:rFonts w:hint="eastAsia"/>
                <w:lang w:val="en-US" w:eastAsia="zh-CN"/>
              </w:rPr>
            </w:pPr>
            <w:r>
              <w:rPr>
                <w:rFonts w:hint="eastAsia"/>
                <w:lang w:val="en-US" w:eastAsia="zh-CN"/>
              </w:rPr>
              <w:t>由施工时序可知，一期围堰设置时间为 10 月-次年 3 年，施工时间短，且在枯水期间进行，施工结束即拆除围堰，基本不会影响水位的变化。</w:t>
            </w:r>
          </w:p>
          <w:p w14:paraId="05A38531">
            <w:pPr>
              <w:pStyle w:val="241"/>
              <w:ind w:firstLine="480"/>
              <w:rPr>
                <w:rFonts w:hint="eastAsia"/>
                <w:lang w:val="en-US" w:eastAsia="zh-CN"/>
              </w:rPr>
            </w:pPr>
            <w:r>
              <w:rPr>
                <w:rFonts w:hint="eastAsia"/>
                <w:lang w:val="en-US" w:eastAsia="zh-CN"/>
              </w:rPr>
              <w:t>6）水面积的变化</w:t>
            </w:r>
          </w:p>
          <w:p w14:paraId="393C1E06">
            <w:pPr>
              <w:pStyle w:val="241"/>
              <w:ind w:firstLine="480"/>
              <w:rPr>
                <w:rFonts w:hint="eastAsia"/>
                <w:lang w:val="en-US" w:eastAsia="zh-CN"/>
              </w:rPr>
            </w:pPr>
            <w:r>
              <w:rPr>
                <w:rFonts w:hint="eastAsia"/>
                <w:lang w:val="en-US" w:eastAsia="zh-CN"/>
              </w:rPr>
              <w:t>工程实施基本不改变河道过水断面、河道形态，工程涉及水体的水体面积基本无变化。</w:t>
            </w:r>
          </w:p>
          <w:p w14:paraId="46CA562F">
            <w:pPr>
              <w:pStyle w:val="241"/>
              <w:ind w:firstLine="480"/>
              <w:rPr>
                <w:rFonts w:hint="eastAsia"/>
                <w:lang w:val="en-US" w:eastAsia="zh-CN"/>
              </w:rPr>
            </w:pPr>
          </w:p>
          <w:p w14:paraId="01E731B2">
            <w:pPr>
              <w:pStyle w:val="241"/>
              <w:ind w:firstLine="480"/>
              <w:rPr>
                <w:rFonts w:hint="default"/>
                <w:lang w:val="en-US" w:eastAsia="zh-CN"/>
              </w:rPr>
            </w:pPr>
          </w:p>
          <w:p w14:paraId="7F9B92EC">
            <w:pPr>
              <w:pStyle w:val="241"/>
              <w:ind w:firstLine="480"/>
              <w:rPr>
                <w:rFonts w:hint="default"/>
                <w:lang w:val="en-US" w:eastAsia="zh-CN"/>
              </w:rPr>
            </w:pPr>
            <w:r>
              <w:rPr>
                <w:rFonts w:hint="eastAsia"/>
                <w:lang w:val="en-US" w:eastAsia="zh-CN"/>
              </w:rPr>
              <w:t>6、施工期</w:t>
            </w:r>
            <w:r>
              <w:rPr>
                <w:rFonts w:hint="default"/>
                <w:lang w:val="en-US" w:eastAsia="zh-CN"/>
              </w:rPr>
              <w:t>环境风险分析</w:t>
            </w:r>
          </w:p>
          <w:p w14:paraId="01729A47">
            <w:pPr>
              <w:pStyle w:val="241"/>
              <w:ind w:firstLine="480"/>
              <w:rPr>
                <w:rFonts w:hint="default"/>
                <w:lang w:val="en-US" w:eastAsia="zh-CN"/>
              </w:rPr>
            </w:pPr>
            <w:r>
              <w:rPr>
                <w:rFonts w:hint="default"/>
                <w:lang w:val="en-US" w:eastAsia="zh-CN"/>
              </w:rPr>
              <w:t>根据《企业突发环境事件风险分级方法》（HJ 941-2018）、《建设项目环境风险评价技术导则》（HJ 169-2018）物质的危险性识别、结合《危险化学品名录》（2022调整版），对比分析企业在生产过程中涉及风险物质的危险性，项目的主要危险物质为项目施工过程中机械、运输车辆使用的柴油、汽油等油料。</w:t>
            </w:r>
          </w:p>
          <w:p w14:paraId="4241BEF0">
            <w:pPr>
              <w:pStyle w:val="241"/>
              <w:ind w:firstLine="480"/>
              <w:rPr>
                <w:rFonts w:hint="default"/>
                <w:lang w:val="en-US" w:eastAsia="zh-CN"/>
              </w:rPr>
            </w:pPr>
            <w:r>
              <w:rPr>
                <w:rFonts w:hint="default"/>
                <w:lang w:val="en-US" w:eastAsia="zh-CN"/>
              </w:rPr>
              <w:t>风险类型主要是由于驾驶员操作失误、道路条件不佳、车辆故障或其他人为因素引起车辆交通事故、倾覆和油料泄漏引发的环境风险，泄漏的油料可能会污染水体、危及生态系统，对供水安全造成威胁，对周围环境产生长期的不利影响。</w:t>
            </w:r>
          </w:p>
          <w:p w14:paraId="0CE4B372">
            <w:pPr>
              <w:pStyle w:val="241"/>
              <w:ind w:firstLine="480"/>
              <w:rPr>
                <w:rFonts w:hint="default"/>
                <w:lang w:val="en-US" w:eastAsia="zh-CN"/>
              </w:rPr>
            </w:pPr>
            <w:r>
              <w:rPr>
                <w:rFonts w:hint="default"/>
                <w:lang w:val="en-US" w:eastAsia="zh-CN"/>
              </w:rPr>
              <w:t>由此导致的环境影响如下：</w:t>
            </w:r>
          </w:p>
          <w:p w14:paraId="0CB2540C">
            <w:pPr>
              <w:pStyle w:val="241"/>
              <w:ind w:firstLine="480"/>
              <w:rPr>
                <w:rFonts w:hint="default"/>
                <w:lang w:val="en-US" w:eastAsia="zh-CN"/>
              </w:rPr>
            </w:pPr>
            <w:r>
              <w:rPr>
                <w:rFonts w:hint="default"/>
                <w:lang w:val="en-US" w:eastAsia="zh-CN"/>
              </w:rPr>
              <w:t>土壤污染：油料泄漏会导致土壤污染，石油及其衍生物渗入土壤中，导致土壤物理、化学和生物学性质的改变；油料污染会破坏土壤中微生物的生态系统，影响土壤中微生物的种类和数量，导致对土壤中生态系统的损害，降低土壤的生物多样性；油料污染可能导致种植在受影响土壤中的农作物受到污染，对植物生长和发育产生负面影响，影响作物的品质和产量；油料污染会改变土壤结构，降低土壤的透气性和渗透性，进而影响土壤的肥力，导致作物生长受阻。</w:t>
            </w:r>
          </w:p>
          <w:p w14:paraId="447CDD62">
            <w:pPr>
              <w:pStyle w:val="241"/>
              <w:ind w:firstLine="480"/>
              <w:rPr>
                <w:rFonts w:hint="default"/>
                <w:lang w:val="en-US" w:eastAsia="zh-CN"/>
              </w:rPr>
            </w:pPr>
            <w:r>
              <w:rPr>
                <w:rFonts w:hint="default"/>
                <w:lang w:val="en-US" w:eastAsia="zh-CN"/>
              </w:rPr>
              <w:t>地下水污染：油料可能渗入土壤并进入地下水中，造成地下水的污染。石油及其衍生物含有化学物质，如苯、甲苯、二甲苯和多环芳烃等有毒物质，一旦渗入地下水，可能对地下水质量造成长期、广泛的污染；地下水通常是人们生活饮用水的重要来源之一。油料泄漏引起的地下水污染可能威胁附近地区的饮用水安全，对公共健康构成潜在威胁；受污染的地下水可能影响周围土地的生态系统，对植被、动物栖息地和水生生物造成负面影响，破坏生态平衡；一旦地下水受到污染，清理和修复地下水通常是复杂和漫长的过程。油料污染会对地下水质量产生长期、持续的影响，可能需要长期的监测和治理措施来减轻污染影响。</w:t>
            </w:r>
          </w:p>
          <w:p w14:paraId="1F7B177A">
            <w:pPr>
              <w:pStyle w:val="241"/>
              <w:ind w:firstLine="480"/>
              <w:rPr>
                <w:rFonts w:hint="default"/>
                <w:lang w:val="en-US" w:eastAsia="zh-CN"/>
              </w:rPr>
            </w:pPr>
            <w:r>
              <w:rPr>
                <w:rFonts w:hint="default"/>
                <w:lang w:val="en-US" w:eastAsia="zh-CN"/>
              </w:rPr>
              <w:t>地表水体污染：油料泄漏若直接进入附近的地表水体，如河流、湖泊或水库，便可造成水体的污染</w:t>
            </w:r>
            <w:r>
              <w:rPr>
                <w:rFonts w:hint="eastAsia"/>
                <w:lang w:val="en-US" w:eastAsia="zh-CN"/>
              </w:rPr>
              <w:t>，对祁水的水质造成影响</w:t>
            </w:r>
            <w:r>
              <w:rPr>
                <w:rFonts w:hint="default"/>
                <w:lang w:val="en-US" w:eastAsia="zh-CN"/>
              </w:rPr>
              <w:t>。石油及其衍生物含有多种有害化学物质，如苯、甲苯、多环芳烃等，一旦进入水体，会对水质产生严重影响，破坏水生态系统；受污染的地表水体对水生生物造成直接损害。油料污染会使水生植物和动物失去生存空间，影响它们的繁殖和生长，甚至可能导致生态系统的崩溃；某些地区的地表水可能用作饮用水源。油料泄漏引起的水体污染可能威胁附近居民的饮用水安全，带来公共健康问题；受污染的地表水可能影响沿岸植被和动物，破坏生态平衡，对水域生态系统造成持续的负面影响。</w:t>
            </w:r>
          </w:p>
          <w:p w14:paraId="7E081F38">
            <w:pPr>
              <w:pStyle w:val="241"/>
              <w:ind w:firstLine="480"/>
              <w:rPr>
                <w:rFonts w:hint="default"/>
                <w:lang w:val="en-US" w:eastAsia="zh-CN"/>
              </w:rPr>
            </w:pPr>
            <w:r>
              <w:rPr>
                <w:rFonts w:hint="default"/>
                <w:lang w:val="en-US" w:eastAsia="zh-CN"/>
              </w:rPr>
              <w:t>生物多样性损失：较为严重的环境污染可导致生物栖息地破坏，直接影响生物栖息地，例如湿地、岸边和湖泊周围环境。这些区域可能是许多野生动植物的栖息地，油料泄漏会破坏这些地方的生态平衡，影响动植物的生存繁衍；水体受到油料污染后，水生生物面临生存挑战。油料中的化学物质会对水生植物和动物造成直接损害，影响它们的生长、繁殖和存活能力；油料污染会影响水域中的浮游生物和底栖生物，这些生物是整个食物链的重要环节。一旦这些生物受到污染，将会影响到整个食物链，导致更广泛的生态失衡；某些物种对环境变化特别敏感，油料泄漏可能使这些物种面临灭绝的风险。这种生物多样性的丧失不仅影响当地生态系统的稳定性，也可能对整个生态系统产生连锁反应。</w:t>
            </w:r>
          </w:p>
        </w:tc>
      </w:tr>
      <w:tr w14:paraId="18579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4EB5582D">
            <w:pPr>
              <w:adjustRightInd w:val="0"/>
              <w:snapToGrid w:val="0"/>
              <w:jc w:val="center"/>
              <w:rPr>
                <w:bCs/>
                <w:color w:val="000000"/>
                <w:sz w:val="24"/>
              </w:rPr>
            </w:pPr>
            <w:r>
              <w:rPr>
                <w:rFonts w:hint="eastAsia"/>
                <w:bCs/>
                <w:color w:val="000000"/>
                <w:sz w:val="24"/>
              </w:rPr>
              <w:t>运</w:t>
            </w:r>
            <w:r>
              <w:rPr>
                <w:bCs/>
                <w:color w:val="000000"/>
                <w:sz w:val="24"/>
              </w:rPr>
              <w:t>营</w:t>
            </w:r>
          </w:p>
          <w:p w14:paraId="353BEDA0">
            <w:pPr>
              <w:adjustRightInd w:val="0"/>
              <w:snapToGrid w:val="0"/>
              <w:jc w:val="center"/>
              <w:rPr>
                <w:bCs/>
                <w:color w:val="000000"/>
                <w:sz w:val="24"/>
              </w:rPr>
            </w:pPr>
            <w:r>
              <w:rPr>
                <w:bCs/>
                <w:color w:val="000000"/>
                <w:sz w:val="24"/>
              </w:rPr>
              <w:t>期</w:t>
            </w:r>
            <w:r>
              <w:rPr>
                <w:rFonts w:hint="eastAsia"/>
                <w:bCs/>
                <w:color w:val="000000"/>
                <w:sz w:val="24"/>
              </w:rPr>
              <w:t>生态环境影响分析</w:t>
            </w:r>
          </w:p>
        </w:tc>
        <w:tc>
          <w:tcPr>
            <w:tcW w:w="8900" w:type="dxa"/>
            <w:vAlign w:val="center"/>
          </w:tcPr>
          <w:p w14:paraId="796BA43D">
            <w:pPr>
              <w:spacing w:line="360" w:lineRule="auto"/>
              <w:ind w:firstLine="482" w:firstLineChars="200"/>
              <w:jc w:val="left"/>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一、运营期大气环境影响</w:t>
            </w: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 </w:t>
            </w:r>
          </w:p>
          <w:p w14:paraId="0233BCAE">
            <w:pPr>
              <w:spacing w:line="360" w:lineRule="auto"/>
              <w:ind w:firstLine="480" w:firstLineChars="200"/>
              <w:jc w:val="left"/>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本工程闸坝在运行过程中使用电作为能源，几乎不排放环境空气污染物，在管理用房内设置 1 台</w:t>
            </w:r>
            <w:r>
              <w:rPr>
                <w:rFonts w:hint="eastAsia" w:cs="Times New Roman"/>
                <w:color w:val="000000" w:themeColor="text1"/>
                <w:sz w:val="24"/>
                <w:lang w:val="en-US" w:eastAsia="zh-CN"/>
                <w14:textFill>
                  <w14:solidFill>
                    <w14:schemeClr w14:val="tx1"/>
                  </w14:solidFill>
                </w14:textFill>
              </w:rPr>
              <w:t>8</w:t>
            </w:r>
            <w:r>
              <w:rPr>
                <w:rFonts w:hint="eastAsia" w:ascii="Times New Roman" w:hAnsi="Times New Roman" w:eastAsia="宋体" w:cs="Times New Roman"/>
                <w:color w:val="000000" w:themeColor="text1"/>
                <w:sz w:val="24"/>
                <w:lang w:val="en-US" w:eastAsia="zh-CN"/>
                <w14:textFill>
                  <w14:solidFill>
                    <w14:schemeClr w14:val="tx1"/>
                  </w14:solidFill>
                </w14:textFill>
              </w:rPr>
              <w:t>0kW柴油发电机作为备用电源，运行期产生的废气主要为柴油发电机烟气。</w:t>
            </w:r>
          </w:p>
          <w:p w14:paraId="1AB73F12">
            <w:pPr>
              <w:spacing w:line="360" w:lineRule="auto"/>
              <w:ind w:firstLine="480" w:firstLineChars="200"/>
              <w:jc w:val="left"/>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柴油发电机置于发电机房内，房间内应设置独立机械排风系统。柴油发电机排烟管的保温、冷却风系统及排烟系统的消声隔振等由专业厂家配合施工单位按照《柴油发电机组设计与安装》图集中的要求设计安装。由于柴油发电机仅在停电时使用，使用时间较少，且采用0#柴油，燃烧较为完全，所排放污染物能达到《大气污染物综合排放标准》（GB16297-1996）二级标准限值。 </w:t>
            </w:r>
          </w:p>
          <w:p w14:paraId="47C88670">
            <w:pPr>
              <w:spacing w:line="360" w:lineRule="auto"/>
              <w:ind w:firstLine="482" w:firstLineChars="200"/>
              <w:jc w:val="left"/>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二、</w:t>
            </w:r>
            <w:r>
              <w:rPr>
                <w:rFonts w:hint="eastAsia" w:ascii="Times New Roman" w:hAnsi="Times New Roman" w:eastAsia="宋体" w:cs="Times New Roman"/>
                <w:b/>
                <w:bCs/>
                <w:color w:val="000000" w:themeColor="text1"/>
                <w:sz w:val="24"/>
                <w:lang w:val="en-US" w:eastAsia="zh-CN"/>
                <w14:textFill>
                  <w14:solidFill>
                    <w14:schemeClr w14:val="tx1"/>
                  </w14:solidFill>
                </w14:textFill>
              </w:rPr>
              <w:t xml:space="preserve">运营期地表水环境影响 </w:t>
            </w:r>
          </w:p>
          <w:p w14:paraId="3CDE4FCB">
            <w:pPr>
              <w:spacing w:line="360" w:lineRule="auto"/>
              <w:ind w:firstLine="480" w:firstLineChars="200"/>
              <w:jc w:val="left"/>
              <w:rPr>
                <w:rFonts w:hint="default"/>
                <w:color w:val="000000"/>
                <w:sz w:val="24"/>
                <w:u w:val="single"/>
                <w:lang w:val="en-US" w:eastAsia="zh-CN"/>
              </w:rPr>
            </w:pPr>
            <w:r>
              <w:rPr>
                <w:rFonts w:hint="eastAsia" w:ascii="Times New Roman" w:hAnsi="Times New Roman" w:eastAsia="宋体" w:cs="Times New Roman"/>
                <w:sz w:val="24"/>
              </w:rPr>
              <w:t>本项目为</w:t>
            </w:r>
            <w:r>
              <w:rPr>
                <w:rFonts w:hint="eastAsia" w:ascii="Times New Roman" w:hAnsi="Times New Roman" w:eastAsia="宋体" w:cs="Times New Roman"/>
                <w:sz w:val="24"/>
                <w:lang w:val="en-US" w:eastAsia="zh-CN"/>
              </w:rPr>
              <w:t>水闸</w:t>
            </w:r>
            <w:r>
              <w:rPr>
                <w:rFonts w:hint="eastAsia" w:ascii="Times New Roman" w:hAnsi="Times New Roman" w:eastAsia="宋体" w:cs="Times New Roman"/>
                <w:sz w:val="24"/>
              </w:rPr>
              <w:t>除险加固工程，非生产性项目，运营期无生产废水产生</w:t>
            </w:r>
            <w:r>
              <w:rPr>
                <w:rFonts w:hint="eastAsia" w:ascii="Times New Roman" w:hAnsi="Times New Roman" w:eastAsia="宋体" w:cs="Times New Roman"/>
                <w:sz w:val="24"/>
                <w:lang w:eastAsia="zh-CN"/>
              </w:rPr>
              <w:t>。</w:t>
            </w:r>
            <w:r>
              <w:rPr>
                <w:rFonts w:hint="eastAsia" w:ascii="Times New Roman" w:hAnsi="Times New Roman" w:eastAsia="宋体" w:cs="Times New Roman"/>
                <w:color w:val="000000" w:themeColor="text1"/>
                <w:sz w:val="24"/>
                <w:lang w:val="en-US" w:eastAsia="zh-CN"/>
                <w14:textFill>
                  <w14:solidFill>
                    <w14:schemeClr w14:val="tx1"/>
                  </w14:solidFill>
                </w14:textFill>
              </w:rPr>
              <w:t>项目运营期设管理机构及管理人员，</w:t>
            </w:r>
            <w:r>
              <w:rPr>
                <w:rFonts w:hint="eastAsia" w:cs="Times New Roman"/>
                <w:color w:val="000000" w:themeColor="text1"/>
                <w:sz w:val="24"/>
                <w:lang w:val="en-US" w:eastAsia="zh-CN"/>
                <w14:textFill>
                  <w14:solidFill>
                    <w14:schemeClr w14:val="tx1"/>
                  </w14:solidFill>
                </w14:textFill>
              </w:rPr>
              <w:t>有</w:t>
            </w:r>
            <w:r>
              <w:rPr>
                <w:rFonts w:hint="eastAsia" w:ascii="Times New Roman" w:hAnsi="Times New Roman" w:eastAsia="宋体" w:cs="Times New Roman"/>
                <w:color w:val="000000" w:themeColor="text1"/>
                <w:sz w:val="24"/>
                <w:lang w:val="en-US" w:eastAsia="zh-CN"/>
                <w14:textFill>
                  <w14:solidFill>
                    <w14:schemeClr w14:val="tx1"/>
                  </w14:solidFill>
                </w14:textFill>
              </w:rPr>
              <w:t>生活废水产生</w:t>
            </w:r>
            <w:r>
              <w:rPr>
                <w:rFonts w:hint="eastAsia" w:cs="Times New Roman"/>
                <w:color w:val="000000" w:themeColor="text1"/>
                <w:sz w:val="24"/>
                <w:lang w:val="en-US" w:eastAsia="zh-CN"/>
                <w14:textFill>
                  <w14:solidFill>
                    <w14:schemeClr w14:val="tx1"/>
                  </w14:solidFill>
                </w14:textFill>
              </w:rPr>
              <w:t>，共设管理人员 1 人，用水按 145L/人·d 计，排污量按用水量的80%计算，则生活污水排放量为0.116t/d（42.34t/a），污水中主要污染因子 COD、BOD 和 NH</w:t>
            </w:r>
            <w:r>
              <w:rPr>
                <w:rFonts w:hint="eastAsia" w:cs="Times New Roman"/>
                <w:color w:val="000000" w:themeColor="text1"/>
                <w:sz w:val="24"/>
                <w:vertAlign w:val="subscript"/>
                <w:lang w:val="en-US" w:eastAsia="zh-CN"/>
                <w14:textFill>
                  <w14:solidFill>
                    <w14:schemeClr w14:val="tx1"/>
                  </w14:solidFill>
                </w14:textFill>
              </w:rPr>
              <w:t>3</w:t>
            </w:r>
            <w:r>
              <w:rPr>
                <w:rFonts w:hint="eastAsia" w:cs="Times New Roman"/>
                <w:color w:val="000000" w:themeColor="text1"/>
                <w:sz w:val="24"/>
                <w:lang w:val="en-US" w:eastAsia="zh-CN"/>
                <w14:textFill>
                  <w14:solidFill>
                    <w14:schemeClr w14:val="tx1"/>
                  </w14:solidFill>
                </w14:textFill>
              </w:rPr>
              <w:t>-N，生活废水收集经化粪池处理后用于农肥，不外排</w:t>
            </w:r>
            <w:r>
              <w:rPr>
                <w:rFonts w:hint="eastAsia" w:ascii="Times New Roman" w:hAnsi="Times New Roman" w:eastAsia="宋体" w:cs="Times New Roman"/>
                <w:color w:val="000000" w:themeColor="text1"/>
                <w:sz w:val="24"/>
                <w:lang w:val="en-US" w:eastAsia="zh-CN"/>
                <w14:textFill>
                  <w14:solidFill>
                    <w14:schemeClr w14:val="tx1"/>
                  </w14:solidFill>
                </w14:textFill>
              </w:rPr>
              <w:t>。</w:t>
            </w:r>
          </w:p>
          <w:p w14:paraId="6CB0B1DD">
            <w:pPr>
              <w:spacing w:line="360" w:lineRule="auto"/>
              <w:ind w:firstLine="470" w:firstLineChars="195"/>
              <w:rPr>
                <w:rFonts w:hint="eastAsia" w:eastAsia="宋体"/>
                <w:b/>
                <w:color w:val="000000"/>
                <w:sz w:val="24"/>
                <w:lang w:val="en-US" w:eastAsia="zh-CN"/>
              </w:rPr>
            </w:pPr>
            <w:r>
              <w:rPr>
                <w:rFonts w:hint="eastAsia"/>
                <w:b/>
                <w:color w:val="000000"/>
                <w:sz w:val="24"/>
                <w:lang w:eastAsia="zh-CN"/>
              </w:rPr>
              <w:t>三</w:t>
            </w:r>
            <w:r>
              <w:rPr>
                <w:b/>
                <w:color w:val="000000"/>
                <w:sz w:val="24"/>
              </w:rPr>
              <w:t>、</w:t>
            </w:r>
            <w:r>
              <w:rPr>
                <w:rFonts w:hint="eastAsia"/>
                <w:b/>
                <w:color w:val="000000"/>
                <w:sz w:val="24"/>
                <w:lang w:val="en-US" w:eastAsia="zh-CN"/>
              </w:rPr>
              <w:t>运营期</w:t>
            </w:r>
            <w:r>
              <w:rPr>
                <w:b/>
                <w:color w:val="000000"/>
                <w:sz w:val="24"/>
              </w:rPr>
              <w:t>噪声</w:t>
            </w:r>
            <w:r>
              <w:rPr>
                <w:rFonts w:hint="eastAsia"/>
                <w:b/>
                <w:color w:val="000000"/>
                <w:sz w:val="24"/>
                <w:lang w:val="en-US" w:eastAsia="zh-CN"/>
              </w:rPr>
              <w:t>环境影响</w:t>
            </w:r>
          </w:p>
          <w:p w14:paraId="73989F00">
            <w:pPr>
              <w:spacing w:line="360" w:lineRule="auto"/>
              <w:ind w:firstLine="480" w:firstLineChars="200"/>
            </w:pPr>
            <w:r>
              <w:rPr>
                <w:rFonts w:hint="eastAsia"/>
                <w:sz w:val="24"/>
              </w:rPr>
              <w:t>项目运营期噪声主要</w:t>
            </w:r>
            <w:r>
              <w:rPr>
                <w:rFonts w:hint="eastAsia"/>
                <w:sz w:val="24"/>
                <w:lang w:eastAsia="zh-CN"/>
              </w:rPr>
              <w:t>来自</w:t>
            </w:r>
            <w:r>
              <w:rPr>
                <w:rFonts w:hint="eastAsia"/>
                <w:sz w:val="24"/>
              </w:rPr>
              <w:t>水闸设备运作时产生的机械噪声，类比同类项目，其声压级一般在85dB</w:t>
            </w:r>
            <w:r>
              <w:rPr>
                <w:rFonts w:hint="eastAsia"/>
                <w:sz w:val="24"/>
                <w:lang w:eastAsia="zh-CN"/>
              </w:rPr>
              <w:t>（</w:t>
            </w:r>
            <w:r>
              <w:rPr>
                <w:rFonts w:hint="eastAsia"/>
                <w:sz w:val="24"/>
                <w:lang w:val="en-US" w:eastAsia="zh-CN"/>
              </w:rPr>
              <w:t>A</w:t>
            </w:r>
            <w:r>
              <w:rPr>
                <w:rFonts w:hint="eastAsia"/>
                <w:sz w:val="24"/>
                <w:lang w:eastAsia="zh-CN"/>
              </w:rPr>
              <w:t>）</w:t>
            </w:r>
            <w:r>
              <w:rPr>
                <w:rFonts w:hint="eastAsia"/>
                <w:sz w:val="24"/>
              </w:rPr>
              <w:t>左右。项目尽量选择低噪声设备，并对设备基础进行减震，对机房进行隔声、密闭等治理措施。由于水闸启闭只在汛期，产生的噪声是暂时的，对周边声环境影响</w:t>
            </w:r>
            <w:r>
              <w:rPr>
                <w:rFonts w:hint="eastAsia"/>
                <w:sz w:val="24"/>
                <w:lang w:val="en-US" w:eastAsia="zh-CN"/>
              </w:rPr>
              <w:t>较小</w:t>
            </w:r>
            <w:r>
              <w:rPr>
                <w:rFonts w:hint="eastAsia"/>
                <w:color w:val="000000"/>
                <w:sz w:val="24"/>
                <w:lang w:val="en-US" w:eastAsia="zh-CN"/>
              </w:rPr>
              <w:t>。</w:t>
            </w:r>
          </w:p>
          <w:p w14:paraId="121BEB6D">
            <w:pPr>
              <w:spacing w:line="360" w:lineRule="auto"/>
              <w:ind w:firstLine="470" w:firstLineChars="195"/>
              <w:rPr>
                <w:b/>
                <w:color w:val="000000"/>
                <w:sz w:val="24"/>
              </w:rPr>
            </w:pPr>
            <w:r>
              <w:rPr>
                <w:rFonts w:hint="eastAsia"/>
                <w:b/>
                <w:color w:val="000000"/>
                <w:sz w:val="24"/>
                <w:lang w:eastAsia="zh-CN"/>
              </w:rPr>
              <w:t>四</w:t>
            </w:r>
            <w:r>
              <w:rPr>
                <w:rFonts w:hint="eastAsia"/>
                <w:b/>
                <w:color w:val="000000"/>
                <w:sz w:val="24"/>
              </w:rPr>
              <w:t>、</w:t>
            </w:r>
            <w:r>
              <w:rPr>
                <w:rFonts w:hint="eastAsia"/>
                <w:b/>
                <w:color w:val="000000"/>
                <w:sz w:val="24"/>
                <w:lang w:val="en-US" w:eastAsia="zh-CN"/>
              </w:rPr>
              <w:t>运营期</w:t>
            </w:r>
            <w:r>
              <w:rPr>
                <w:b/>
                <w:color w:val="000000"/>
                <w:sz w:val="24"/>
              </w:rPr>
              <w:t>固体废物</w:t>
            </w:r>
            <w:r>
              <w:rPr>
                <w:rFonts w:hint="eastAsia"/>
                <w:b/>
                <w:color w:val="000000"/>
                <w:sz w:val="24"/>
                <w:lang w:val="en-US" w:eastAsia="zh-CN"/>
              </w:rPr>
              <w:t>环境影响</w:t>
            </w:r>
          </w:p>
          <w:p w14:paraId="59A0A1B0">
            <w:pPr>
              <w:adjustRightInd w:val="0"/>
              <w:snapToGrid w:val="0"/>
              <w:spacing w:line="360" w:lineRule="auto"/>
              <w:ind w:firstLine="480" w:firstLineChars="200"/>
              <w:rPr>
                <w:rFonts w:hint="eastAsia"/>
                <w:color w:val="000000"/>
                <w:sz w:val="24"/>
              </w:rPr>
            </w:pPr>
            <w:r>
              <w:rPr>
                <w:rFonts w:hint="eastAsia"/>
                <w:color w:val="000000"/>
                <w:sz w:val="24"/>
              </w:rPr>
              <w:t>运行过程中产生的固体废物主要为管理人员产生的生活垃圾。</w:t>
            </w:r>
          </w:p>
          <w:p w14:paraId="34E4E169">
            <w:pPr>
              <w:adjustRightInd w:val="0"/>
              <w:snapToGrid w:val="0"/>
              <w:spacing w:line="360" w:lineRule="auto"/>
              <w:ind w:firstLine="480" w:firstLineChars="200"/>
              <w:rPr>
                <w:b/>
                <w:color w:val="000000"/>
                <w:sz w:val="24"/>
              </w:rPr>
            </w:pPr>
            <w:r>
              <w:rPr>
                <w:rFonts w:hint="eastAsia"/>
                <w:color w:val="000000"/>
                <w:sz w:val="24"/>
              </w:rPr>
              <w:t>水闸运营后共设管理人员1人，垃圾产生量按 1.5kg/（人.d），则管理人员生活垃圾产生量为 1.5kg/d，0.55t/a，收集后统一由环卫部门清运</w:t>
            </w:r>
            <w:r>
              <w:rPr>
                <w:color w:val="000000"/>
                <w:sz w:val="24"/>
              </w:rPr>
              <w:t>。</w:t>
            </w:r>
          </w:p>
          <w:p w14:paraId="547E1BCA">
            <w:pPr>
              <w:tabs>
                <w:tab w:val="left" w:pos="6914"/>
              </w:tabs>
              <w:adjustRightInd w:val="0"/>
              <w:snapToGrid w:val="0"/>
              <w:spacing w:line="360" w:lineRule="auto"/>
              <w:ind w:firstLine="482" w:firstLineChars="200"/>
              <w:rPr>
                <w:b/>
                <w:color w:val="000000"/>
                <w:sz w:val="24"/>
              </w:rPr>
            </w:pPr>
            <w:r>
              <w:rPr>
                <w:rFonts w:hint="eastAsia"/>
                <w:b/>
                <w:color w:val="000000"/>
                <w:sz w:val="24"/>
                <w:lang w:eastAsia="zh-CN"/>
              </w:rPr>
              <w:t>五</w:t>
            </w:r>
            <w:r>
              <w:rPr>
                <w:rFonts w:hint="eastAsia"/>
                <w:b/>
                <w:color w:val="000000"/>
                <w:sz w:val="24"/>
              </w:rPr>
              <w:t>、</w:t>
            </w:r>
            <w:r>
              <w:rPr>
                <w:rFonts w:hint="eastAsia"/>
                <w:b/>
                <w:color w:val="000000"/>
                <w:sz w:val="24"/>
                <w:lang w:val="en-US" w:eastAsia="zh-CN"/>
              </w:rPr>
              <w:t>运营期</w:t>
            </w:r>
            <w:r>
              <w:rPr>
                <w:rFonts w:hint="eastAsia"/>
                <w:b/>
                <w:color w:val="000000"/>
                <w:sz w:val="24"/>
              </w:rPr>
              <w:t>生态</w:t>
            </w:r>
            <w:r>
              <w:rPr>
                <w:rFonts w:hint="eastAsia"/>
                <w:b/>
                <w:color w:val="000000"/>
                <w:sz w:val="24"/>
                <w:lang w:val="en-US" w:eastAsia="zh-CN"/>
              </w:rPr>
              <w:t>环境影响</w:t>
            </w:r>
          </w:p>
          <w:p w14:paraId="740101F5">
            <w:pPr>
              <w:tabs>
                <w:tab w:val="left" w:pos="6914"/>
              </w:tabs>
              <w:adjustRightInd w:val="0"/>
              <w:snapToGrid w:val="0"/>
              <w:spacing w:line="360" w:lineRule="auto"/>
              <w:ind w:firstLine="468" w:firstLineChars="200"/>
              <w:rPr>
                <w:rFonts w:hint="default"/>
                <w:lang w:val="en-US" w:eastAsia="zh-CN"/>
              </w:rPr>
            </w:pPr>
            <w:r>
              <w:rPr>
                <w:rFonts w:hint="default" w:ascii="Times New Roman" w:hAnsi="Times New Roman" w:eastAsia="宋体" w:cs="Times New Roman"/>
                <w:spacing w:val="-3"/>
                <w:sz w:val="24"/>
                <w:lang w:val="en-US" w:eastAsia="zh-CN"/>
              </w:rPr>
              <w:t>水闸除险加固工程为已有的合法水利设施运行维护改造项目，工程不新建和拓宽河道，不改变河道水流流向。通过原有水闸运行情况进行分析，本次项目运营期相较于原有水闸运营期，不会对动植物生态环境造成更大影响。本工程实施后，不改变原设计正常蓄水位，不影响灌溉。工程完工后，河道丰、枯水季节的来水、来沙量，不会因工程的建设受到改变，工程所在河段总体流态不会有变化。项目实施后，河道的安全行洪能力较施工前现状有所增加，相同洪水的水量水位情况下，不会出现工程施工前防洪险情。项目实施后对不会减少河道生态流量，不会影响河道内及河道外需水</w:t>
            </w:r>
            <w:r>
              <w:rPr>
                <w:rFonts w:hint="eastAsia" w:ascii="Times New Roman" w:hAnsi="Times New Roman" w:eastAsia="宋体" w:cs="Times New Roman"/>
                <w:spacing w:val="-3"/>
                <w:sz w:val="24"/>
                <w:lang w:val="en-US" w:eastAsia="zh-CN"/>
              </w:rPr>
              <w:t>。因此本工程运行对评价范围内及上下游水生生态环境不会造成影响</w:t>
            </w:r>
            <w:r>
              <w:rPr>
                <w:rFonts w:hint="eastAsia"/>
                <w:color w:val="000000"/>
                <w:sz w:val="24"/>
                <w:u w:val="none"/>
                <w:lang w:val="en-US" w:eastAsia="zh-CN"/>
              </w:rPr>
              <w:t>。</w:t>
            </w:r>
          </w:p>
        </w:tc>
      </w:tr>
      <w:tr w14:paraId="4B14A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71B9B0C0">
            <w:pPr>
              <w:jc w:val="center"/>
              <w:rPr>
                <w:color w:val="000000"/>
                <w:sz w:val="24"/>
              </w:rPr>
            </w:pPr>
            <w:r>
              <w:rPr>
                <w:rFonts w:hint="eastAsia"/>
                <w:color w:val="000000"/>
                <w:sz w:val="24"/>
              </w:rPr>
              <w:t>选址选线环境合理性分析</w:t>
            </w:r>
          </w:p>
        </w:tc>
        <w:tc>
          <w:tcPr>
            <w:tcW w:w="8900" w:type="dxa"/>
          </w:tcPr>
          <w:p w14:paraId="56D58E2A">
            <w:pPr>
              <w:pStyle w:val="241"/>
              <w:ind w:firstLine="480"/>
              <w:rPr>
                <w:rFonts w:hint="eastAsia"/>
              </w:rPr>
            </w:pPr>
            <w:r>
              <w:rPr>
                <w:rFonts w:hint="eastAsia"/>
              </w:rPr>
              <w:t>（1）主体工程</w:t>
            </w:r>
          </w:p>
          <w:p w14:paraId="78266119">
            <w:pPr>
              <w:pStyle w:val="241"/>
              <w:ind w:firstLine="480"/>
              <w:rPr>
                <w:rFonts w:hint="eastAsia"/>
              </w:rPr>
            </w:pPr>
            <w:r>
              <w:rPr>
                <w:rFonts w:hint="eastAsia"/>
              </w:rPr>
              <w:t>项目所在区域不在国家公园、自然保护区、风景名胜区、饮用水水源保护区等环境敏感区内，不在三区三线划定的永久基本农田和生态红线保护区范围内等。</w:t>
            </w:r>
          </w:p>
          <w:p w14:paraId="23026AC3">
            <w:pPr>
              <w:pStyle w:val="241"/>
              <w:ind w:firstLine="480"/>
              <w:rPr>
                <w:rFonts w:hint="eastAsia"/>
              </w:rPr>
            </w:pPr>
            <w:r>
              <w:rPr>
                <w:rFonts w:hint="eastAsia"/>
              </w:rPr>
              <w:t>项目建成后可以有效提高行洪、灌溉能力，保证下游人民生命财产安全，对区域生态环境具有改善作用。</w:t>
            </w:r>
          </w:p>
          <w:p w14:paraId="2E4F60F8">
            <w:pPr>
              <w:pStyle w:val="241"/>
              <w:ind w:firstLine="480"/>
              <w:rPr>
                <w:rFonts w:hint="eastAsia"/>
              </w:rPr>
            </w:pPr>
            <w:r>
              <w:rPr>
                <w:rFonts w:hint="eastAsia"/>
              </w:rPr>
              <w:t>（2）临时工程</w:t>
            </w:r>
          </w:p>
          <w:p w14:paraId="4AC7FAA0">
            <w:pPr>
              <w:pStyle w:val="241"/>
              <w:ind w:firstLine="480"/>
              <w:rPr>
                <w:rFonts w:hint="eastAsia"/>
              </w:rPr>
            </w:pPr>
            <w:r>
              <w:rPr>
                <w:rFonts w:hint="eastAsia"/>
              </w:rPr>
              <w:t>从占地及物流便捷等方面考虑，施工生产区位置应选择在交通便利，周边居民较少的区域。本项目设置 1 处施工生产区（包括施工工厂、施工仓库、沉淀池、施工便道等），位于水闸附近，占地面积</w:t>
            </w:r>
            <w:r>
              <w:rPr>
                <w:rFonts w:hint="eastAsia"/>
                <w:lang w:val="en-US" w:eastAsia="zh-CN"/>
              </w:rPr>
              <w:t>16.2亩</w:t>
            </w:r>
            <w:r>
              <w:rPr>
                <w:rFonts w:hint="eastAsia"/>
              </w:rPr>
              <w:t>，占地类型主要为荒地。</w:t>
            </w:r>
          </w:p>
          <w:p w14:paraId="705AA9DB">
            <w:pPr>
              <w:pStyle w:val="241"/>
              <w:ind w:firstLine="480"/>
            </w:pPr>
            <w:r>
              <w:rPr>
                <w:rFonts w:hint="eastAsia"/>
              </w:rPr>
              <w:t>施工结束后，及时对施工场地进行恢复。项目工程施工内容较为简单，工程建设期间做到文明施工，在采取相应的处理措施后，不会对环境产生大的不利影响。因此从环境保护角度出发，本工程施工选址不存在环境制约因素，项目选址及场地布置是合理的。</w:t>
            </w:r>
          </w:p>
        </w:tc>
      </w:tr>
    </w:tbl>
    <w:p w14:paraId="29BFAE55">
      <w:pPr>
        <w:widowControl/>
        <w:spacing w:before="100" w:beforeAutospacing="1" w:after="100" w:afterAutospacing="1"/>
        <w:jc w:val="center"/>
        <w:outlineLvl w:val="0"/>
        <w:rPr>
          <w:rFonts w:ascii="黑体" w:hAnsi="黑体" w:eastAsia="黑体"/>
          <w:snapToGrid w:val="0"/>
          <w:color w:val="000000"/>
          <w:sz w:val="30"/>
          <w:szCs w:val="30"/>
        </w:rPr>
      </w:pPr>
      <w:bookmarkStart w:id="14" w:name="_Toc3531"/>
      <w:r>
        <w:rPr>
          <w:rFonts w:hint="eastAsia" w:ascii="黑体" w:hAnsi="黑体" w:eastAsia="黑体"/>
          <w:snapToGrid w:val="0"/>
          <w:color w:val="000000"/>
          <w:sz w:val="30"/>
          <w:szCs w:val="30"/>
        </w:rPr>
        <w:br w:type="page"/>
      </w:r>
      <w:r>
        <w:rPr>
          <w:rFonts w:hint="eastAsia" w:ascii="黑体" w:hAnsi="黑体" w:eastAsia="黑体"/>
          <w:snapToGrid w:val="0"/>
          <w:color w:val="000000"/>
          <w:sz w:val="30"/>
          <w:szCs w:val="30"/>
        </w:rPr>
        <w:t>五、主要生态环境保护措施</w:t>
      </w:r>
      <w:bookmarkEnd w:id="14"/>
    </w:p>
    <w:tbl>
      <w:tblPr>
        <w:tblStyle w:val="45"/>
        <w:tblW w:w="9214" w:type="dxa"/>
        <w:tblInd w:w="-45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8557"/>
      </w:tblGrid>
      <w:tr w14:paraId="396163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112142A0">
            <w:pPr>
              <w:jc w:val="center"/>
              <w:rPr>
                <w:color w:val="000000"/>
                <w:sz w:val="24"/>
              </w:rPr>
            </w:pPr>
            <w:r>
              <w:rPr>
                <w:rFonts w:hint="eastAsia"/>
                <w:color w:val="000000"/>
                <w:sz w:val="24"/>
              </w:rPr>
              <w:t>施工期生态环境保护措施</w:t>
            </w:r>
          </w:p>
        </w:tc>
        <w:tc>
          <w:tcPr>
            <w:tcW w:w="8557" w:type="dxa"/>
          </w:tcPr>
          <w:p w14:paraId="62778870">
            <w:pPr>
              <w:adjustRightInd w:val="0"/>
              <w:snapToGrid w:val="0"/>
              <w:spacing w:line="360" w:lineRule="auto"/>
              <w:ind w:firstLine="482" w:firstLineChars="200"/>
              <w:jc w:val="left"/>
              <w:rPr>
                <w:rFonts w:hint="eastAsia"/>
                <w:b/>
                <w:bCs/>
                <w:color w:val="000000" w:themeColor="text1"/>
                <w:sz w:val="24"/>
                <w:u w:val="none"/>
                <w14:textFill>
                  <w14:solidFill>
                    <w14:schemeClr w14:val="tx1"/>
                  </w14:solidFill>
                </w14:textFill>
              </w:rPr>
            </w:pPr>
            <w:r>
              <w:rPr>
                <w:rFonts w:hint="eastAsia"/>
                <w:b/>
                <w:bCs/>
                <w:color w:val="000000" w:themeColor="text1"/>
                <w:sz w:val="24"/>
                <w:u w:val="none"/>
                <w:lang w:val="en-US" w:eastAsia="zh-CN"/>
                <w14:textFill>
                  <w14:solidFill>
                    <w14:schemeClr w14:val="tx1"/>
                  </w14:solidFill>
                </w14:textFill>
              </w:rPr>
              <w:t>一</w:t>
            </w:r>
            <w:r>
              <w:rPr>
                <w:b/>
                <w:bCs/>
                <w:color w:val="000000" w:themeColor="text1"/>
                <w:sz w:val="24"/>
                <w:u w:val="none"/>
                <w14:textFill>
                  <w14:solidFill>
                    <w14:schemeClr w14:val="tx1"/>
                  </w14:solidFill>
                </w14:textFill>
              </w:rPr>
              <w:t>、</w:t>
            </w:r>
            <w:r>
              <w:rPr>
                <w:rFonts w:hint="eastAsia"/>
                <w:b/>
                <w:bCs/>
                <w:color w:val="000000" w:themeColor="text1"/>
                <w:sz w:val="24"/>
                <w:u w:val="none"/>
                <w14:textFill>
                  <w14:solidFill>
                    <w14:schemeClr w14:val="tx1"/>
                  </w14:solidFill>
                </w14:textFill>
              </w:rPr>
              <w:t>施工期大气污染防控措施</w:t>
            </w:r>
          </w:p>
          <w:p w14:paraId="7B15A8FC">
            <w:pPr>
              <w:keepNext w:val="0"/>
              <w:keepLines w:val="0"/>
              <w:pageBreakBefore w:val="0"/>
              <w:widowControl w:val="0"/>
              <w:kinsoku/>
              <w:wordWrap/>
              <w:overflowPunct/>
              <w:topLinePunct w:val="0"/>
              <w:autoSpaceDE/>
              <w:autoSpaceDN/>
              <w:bidi w:val="0"/>
              <w:adjustRightInd/>
              <w:snapToGrid/>
              <w:spacing w:line="360" w:lineRule="auto"/>
              <w:ind w:left="524"/>
              <w:textAlignment w:val="auto"/>
              <w:rPr>
                <w:rFonts w:hint="default" w:ascii="Times New Roman" w:hAnsi="Times New Roman" w:eastAsia="宋体" w:cs="Times New Roman"/>
                <w:b w:val="0"/>
                <w:bCs w:val="0"/>
                <w:color w:val="auto"/>
                <w:spacing w:val="0"/>
                <w:sz w:val="24"/>
                <w:szCs w:val="24"/>
              </w:rPr>
            </w:pPr>
            <w:r>
              <w:rPr>
                <w:rFonts w:hint="eastAsia" w:ascii="Times New Roman" w:hAnsi="Times New Roman" w:eastAsia="宋体" w:cs="Times New Roman"/>
                <w:b w:val="0"/>
                <w:bCs w:val="0"/>
                <w:color w:val="auto"/>
                <w:spacing w:val="0"/>
                <w:sz w:val="24"/>
                <w:szCs w:val="24"/>
                <w:lang w:eastAsia="zh-CN"/>
              </w:rPr>
              <w:t>（</w:t>
            </w:r>
            <w:r>
              <w:rPr>
                <w:rFonts w:hint="default" w:ascii="Times New Roman" w:hAnsi="Times New Roman" w:eastAsia="宋体" w:cs="Times New Roman"/>
                <w:b w:val="0"/>
                <w:bCs w:val="0"/>
                <w:color w:val="auto"/>
                <w:spacing w:val="0"/>
                <w:sz w:val="24"/>
                <w:szCs w:val="24"/>
              </w:rPr>
              <w:t>1</w:t>
            </w:r>
            <w:r>
              <w:rPr>
                <w:rFonts w:hint="eastAsia" w:ascii="Times New Roman" w:hAnsi="Times New Roman" w:eastAsia="宋体" w:cs="Times New Roman"/>
                <w:b w:val="0"/>
                <w:bCs w:val="0"/>
                <w:color w:val="auto"/>
                <w:spacing w:val="0"/>
                <w:sz w:val="24"/>
                <w:szCs w:val="24"/>
                <w:lang w:eastAsia="zh-CN"/>
              </w:rPr>
              <w:t>）</w:t>
            </w:r>
            <w:r>
              <w:rPr>
                <w:rFonts w:hint="default" w:ascii="Times New Roman" w:hAnsi="Times New Roman" w:eastAsia="宋体" w:cs="Times New Roman"/>
                <w:b w:val="0"/>
                <w:bCs w:val="0"/>
                <w:color w:val="auto"/>
                <w:spacing w:val="0"/>
                <w:sz w:val="24"/>
                <w:szCs w:val="24"/>
              </w:rPr>
              <w:t>扬尘污染防治措施</w:t>
            </w:r>
          </w:p>
          <w:p w14:paraId="4AC23300">
            <w:pPr>
              <w:keepNext w:val="0"/>
              <w:keepLines w:val="0"/>
              <w:pageBreakBefore w:val="0"/>
              <w:widowControl w:val="0"/>
              <w:kinsoku/>
              <w:wordWrap/>
              <w:overflowPunct/>
              <w:topLinePunct w:val="0"/>
              <w:autoSpaceDE/>
              <w:autoSpaceDN/>
              <w:bidi w:val="0"/>
              <w:adjustRightInd/>
              <w:snapToGrid/>
              <w:spacing w:line="360" w:lineRule="auto"/>
              <w:ind w:left="41" w:right="28" w:firstLine="476"/>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①对施工场地进行隔挡；在晴天应每天对临时</w:t>
            </w:r>
            <w:r>
              <w:rPr>
                <w:rFonts w:hint="eastAsia" w:ascii="Times New Roman" w:hAnsi="Times New Roman" w:eastAsia="宋体" w:cs="Times New Roman"/>
                <w:b w:val="0"/>
                <w:bCs w:val="0"/>
                <w:color w:val="auto"/>
                <w:spacing w:val="0"/>
                <w:sz w:val="24"/>
                <w:szCs w:val="24"/>
                <w:lang w:val="en-US" w:eastAsia="zh-CN"/>
              </w:rPr>
              <w:t>堆土场及运输道路</w:t>
            </w:r>
            <w:r>
              <w:rPr>
                <w:rFonts w:hint="default" w:ascii="Times New Roman" w:hAnsi="Times New Roman" w:eastAsia="宋体" w:cs="Times New Roman"/>
                <w:b w:val="0"/>
                <w:bCs w:val="0"/>
                <w:color w:val="auto"/>
                <w:spacing w:val="0"/>
                <w:sz w:val="24"/>
                <w:szCs w:val="24"/>
              </w:rPr>
              <w:t>进行洒水降尘，在大风日加大洒水量及洒水次数。</w:t>
            </w:r>
          </w:p>
          <w:p w14:paraId="635208CD">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②运送物料的车辆应采取压实和覆盖措施，装载不宜过满，减少扬尘产生；临时</w:t>
            </w:r>
            <w:r>
              <w:rPr>
                <w:rFonts w:hint="eastAsia" w:ascii="Times New Roman" w:hAnsi="Times New Roman" w:eastAsia="宋体" w:cs="Times New Roman"/>
                <w:b w:val="0"/>
                <w:bCs w:val="0"/>
                <w:color w:val="auto"/>
                <w:spacing w:val="0"/>
                <w:sz w:val="24"/>
                <w:szCs w:val="24"/>
                <w:lang w:val="en-US" w:eastAsia="zh-CN"/>
              </w:rPr>
              <w:t>道路</w:t>
            </w:r>
            <w:r>
              <w:rPr>
                <w:rFonts w:hint="default" w:ascii="Times New Roman" w:hAnsi="Times New Roman" w:eastAsia="宋体" w:cs="Times New Roman"/>
                <w:b w:val="0"/>
                <w:bCs w:val="0"/>
                <w:color w:val="auto"/>
                <w:spacing w:val="0"/>
                <w:sz w:val="24"/>
                <w:szCs w:val="24"/>
              </w:rPr>
              <w:t>内运输通道应及时清扫，运输车辆进出</w:t>
            </w:r>
            <w:r>
              <w:rPr>
                <w:rFonts w:hint="eastAsia" w:ascii="Times New Roman" w:hAnsi="Times New Roman" w:eastAsia="宋体" w:cs="Times New Roman"/>
                <w:b w:val="0"/>
                <w:bCs w:val="0"/>
                <w:color w:val="auto"/>
                <w:spacing w:val="0"/>
                <w:sz w:val="24"/>
                <w:szCs w:val="24"/>
                <w:lang w:val="en-US" w:eastAsia="zh-CN"/>
              </w:rPr>
              <w:t>厂区</w:t>
            </w:r>
            <w:r>
              <w:rPr>
                <w:rFonts w:hint="default" w:ascii="Times New Roman" w:hAnsi="Times New Roman" w:eastAsia="宋体" w:cs="Times New Roman"/>
                <w:b w:val="0"/>
                <w:bCs w:val="0"/>
                <w:color w:val="auto"/>
                <w:spacing w:val="0"/>
                <w:sz w:val="24"/>
                <w:szCs w:val="24"/>
              </w:rPr>
              <w:t>时应低速行驶，以减少汽车行驶扬尘产生。</w:t>
            </w:r>
          </w:p>
          <w:p w14:paraId="10D10D7D">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③超过2天以上的渣土堆、裸地应使用防尘布覆盖或喷涂凝固剂等方式防尘，覆盖面积为大于渣土、裸地边缘2m长为宜，凝固剂的使用量以使渣土、裸地凝固为宜。所有粉料建材必须覆盖或使用料仓密闭存放。</w:t>
            </w:r>
          </w:p>
          <w:p w14:paraId="424978A1">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④整个施工期设置2名的专职保洁员。根据施工工期、阶段和进度控制施工扬尘。</w:t>
            </w:r>
          </w:p>
          <w:p w14:paraId="1D5C446E">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⑤</w:t>
            </w:r>
            <w:r>
              <w:rPr>
                <w:rFonts w:hint="eastAsia" w:ascii="Times New Roman" w:hAnsi="Times New Roman" w:eastAsia="宋体" w:cs="Times New Roman"/>
                <w:b w:val="0"/>
                <w:bCs w:val="0"/>
                <w:color w:val="auto"/>
                <w:spacing w:val="0"/>
                <w:sz w:val="24"/>
                <w:szCs w:val="24"/>
              </w:rPr>
              <w:t>运输车辆进入施工场地应低速行驶或限速行驶，减少扬尘产生；租赁运行良好的施工机械和运输车辆，设备和车辆应达到相应环保排放标准要求；采用优质轻柴油作为施工机械和运输车辆燃料，加强设备和车辆保养</w:t>
            </w:r>
            <w:r>
              <w:rPr>
                <w:rFonts w:hint="default" w:ascii="Times New Roman" w:hAnsi="Times New Roman" w:eastAsia="宋体" w:cs="Times New Roman"/>
                <w:b w:val="0"/>
                <w:bCs w:val="0"/>
                <w:color w:val="auto"/>
                <w:spacing w:val="0"/>
                <w:sz w:val="24"/>
                <w:szCs w:val="24"/>
              </w:rPr>
              <w:t>。</w:t>
            </w:r>
          </w:p>
          <w:p w14:paraId="687873D4">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⑥临时堆放场在敏感区域段应设围栏，减少扬尘的扩散及景观影响。临时性用地使用完毕后应恢复植被。</w:t>
            </w:r>
          </w:p>
          <w:p w14:paraId="7B300E3C">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⑦在土方开挖、运输过程中，应按需要进行排水、降水、土壁支撑工作。做好土石方平衡，综合利用废弃黏土层资源，土石方运输采用专用封闭式渣土运输车辆，并低速行驶，运至拟建场地备用的土石方和项目施工产生的土石方均应进行覆盖，防止风蚀扬尘</w:t>
            </w:r>
          </w:p>
          <w:p w14:paraId="7EF426EC">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⑧施工期要严格遵守《</w:t>
            </w:r>
            <w:r>
              <w:rPr>
                <w:rFonts w:hint="eastAsia" w:ascii="Times New Roman" w:hAnsi="Times New Roman" w:eastAsia="宋体" w:cs="Times New Roman"/>
                <w:b w:val="0"/>
                <w:bCs w:val="0"/>
                <w:color w:val="auto"/>
                <w:spacing w:val="0"/>
                <w:sz w:val="24"/>
                <w:szCs w:val="24"/>
                <w:lang w:eastAsia="zh-CN"/>
              </w:rPr>
              <w:t>湖南</w:t>
            </w:r>
            <w:r>
              <w:rPr>
                <w:rFonts w:hint="default" w:ascii="Times New Roman" w:hAnsi="Times New Roman" w:eastAsia="宋体" w:cs="Times New Roman"/>
                <w:b w:val="0"/>
                <w:bCs w:val="0"/>
                <w:color w:val="auto"/>
                <w:spacing w:val="0"/>
                <w:sz w:val="24"/>
                <w:szCs w:val="24"/>
              </w:rPr>
              <w:t>省大气污染防治条例》中的相关要求。根据《</w:t>
            </w:r>
            <w:r>
              <w:rPr>
                <w:rFonts w:hint="eastAsia" w:ascii="Times New Roman" w:hAnsi="Times New Roman" w:eastAsia="宋体" w:cs="Times New Roman"/>
                <w:b w:val="0"/>
                <w:bCs w:val="0"/>
                <w:color w:val="auto"/>
                <w:spacing w:val="0"/>
                <w:sz w:val="24"/>
                <w:szCs w:val="24"/>
                <w:lang w:eastAsia="zh-CN"/>
              </w:rPr>
              <w:t>湖南</w:t>
            </w:r>
            <w:r>
              <w:rPr>
                <w:rFonts w:hint="default" w:ascii="Times New Roman" w:hAnsi="Times New Roman" w:eastAsia="宋体" w:cs="Times New Roman"/>
                <w:b w:val="0"/>
                <w:bCs w:val="0"/>
                <w:color w:val="auto"/>
                <w:spacing w:val="0"/>
                <w:sz w:val="24"/>
                <w:szCs w:val="24"/>
              </w:rPr>
              <w:t>省大气污染防治条例》，深化面源污染治理，严格控制扬尘污染，强化施工和道路扬尘环境监管。建设单位应加强施工现场管理，将针对性围挡、堆土覆盖、洒水抑尘、使用高效洗轮机和防尘墩、料堆密闭等扬尘控制措施纳入建筑施工管理。推行绿色文明施工管理模式，建设单位、施工单位在合同中依法明确扬尘污染控制实施方案和责任，并将控制费用列入工程成本。推行道路机械化清扫等低尘作业方式，干旱季节强化道路洒水降尘措施，减少道路扬尘污染。各种料堆应实现封闭储存或建设防风抑尘设施</w:t>
            </w:r>
            <w:r>
              <w:rPr>
                <w:rFonts w:hint="default" w:ascii="Times New Roman" w:hAnsi="Times New Roman" w:eastAsia="宋体" w:cs="Times New Roman"/>
                <w:b w:val="0"/>
                <w:bCs w:val="0"/>
                <w:color w:val="auto"/>
                <w:spacing w:val="-4"/>
                <w:sz w:val="24"/>
                <w:szCs w:val="24"/>
              </w:rPr>
              <w:t>。</w:t>
            </w:r>
            <w:r>
              <w:rPr>
                <w:rFonts w:hint="default" w:ascii="Times New Roman" w:hAnsi="Times New Roman" w:eastAsia="宋体" w:cs="Times New Roman"/>
                <w:b w:val="0"/>
                <w:bCs w:val="0"/>
                <w:color w:val="auto"/>
                <w:spacing w:val="-1"/>
                <w:sz w:val="24"/>
                <w:szCs w:val="24"/>
              </w:rPr>
              <w:t>对施工现场进行合</w:t>
            </w:r>
            <w:r>
              <w:rPr>
                <w:rFonts w:hint="default" w:ascii="Times New Roman" w:hAnsi="Times New Roman" w:eastAsia="宋体" w:cs="Times New Roman"/>
                <w:b w:val="0"/>
                <w:bCs w:val="0"/>
                <w:color w:val="auto"/>
                <w:sz w:val="24"/>
                <w:szCs w:val="24"/>
              </w:rPr>
              <w:t>理布局，对堆放场地和工地道路要硬化，对易扬尘物料加盖</w:t>
            </w:r>
            <w:r>
              <w:rPr>
                <w:rFonts w:hint="default" w:ascii="Times New Roman" w:hAnsi="Times New Roman" w:eastAsia="宋体" w:cs="Times New Roman"/>
                <w:b w:val="0"/>
                <w:bCs w:val="0"/>
                <w:color w:val="auto"/>
                <w:spacing w:val="-20"/>
                <w:sz w:val="24"/>
                <w:szCs w:val="24"/>
              </w:rPr>
              <w:t>苫布</w:t>
            </w:r>
            <w:r>
              <w:rPr>
                <w:rFonts w:hint="default" w:ascii="Times New Roman" w:hAnsi="Times New Roman" w:eastAsia="宋体" w:cs="Times New Roman"/>
                <w:b w:val="0"/>
                <w:bCs w:val="0"/>
                <w:color w:val="auto"/>
                <w:spacing w:val="-16"/>
                <w:sz w:val="24"/>
                <w:szCs w:val="24"/>
              </w:rPr>
              <w:t>，</w:t>
            </w:r>
            <w:r>
              <w:rPr>
                <w:rFonts w:hint="default" w:ascii="Times New Roman" w:hAnsi="Times New Roman" w:eastAsia="宋体" w:cs="Times New Roman"/>
                <w:b w:val="0"/>
                <w:bCs w:val="0"/>
                <w:color w:val="auto"/>
                <w:spacing w:val="-10"/>
                <w:sz w:val="24"/>
                <w:szCs w:val="24"/>
              </w:rPr>
              <w:t>并及时洒水抑尘。临时堆放场必须</w:t>
            </w:r>
            <w:r>
              <w:rPr>
                <w:rFonts w:hint="default" w:ascii="Times New Roman" w:hAnsi="Times New Roman" w:eastAsia="宋体" w:cs="Times New Roman"/>
                <w:b w:val="0"/>
                <w:bCs w:val="0"/>
                <w:color w:val="auto"/>
                <w:spacing w:val="0"/>
                <w:sz w:val="24"/>
                <w:szCs w:val="24"/>
              </w:rPr>
              <w:t>采用篷布遮盖、表面潮湿处理、加强洒水。</w:t>
            </w:r>
          </w:p>
          <w:p w14:paraId="7FB303DE">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u w:val="none"/>
              </w:rPr>
            </w:pP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2</w:t>
            </w: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燃油废气防治措施</w:t>
            </w:r>
          </w:p>
          <w:p w14:paraId="1234CC5A">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①施工机械进入施工现场时，尽量确保正常运行时间，减少怠速、减速和加速的时间，以减少机动车尾气的排放。</w:t>
            </w:r>
          </w:p>
          <w:p w14:paraId="63DE0A42">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u w:val="none"/>
                <w:lang w:val="en-US" w:eastAsia="zh-CN"/>
              </w:rPr>
            </w:pPr>
            <w:r>
              <w:rPr>
                <w:rFonts w:hint="default" w:ascii="Times New Roman" w:hAnsi="Times New Roman" w:eastAsia="宋体" w:cs="Times New Roman"/>
                <w:b w:val="0"/>
                <w:bCs w:val="0"/>
                <w:color w:val="auto"/>
                <w:spacing w:val="0"/>
                <w:sz w:val="24"/>
                <w:szCs w:val="24"/>
                <w:u w:val="none"/>
              </w:rPr>
              <w:t>②加强对施工机械，运输车辆的维修保养，禁止施工机械超负荷工作和运输车辆超载，不得使用劣质燃料。</w:t>
            </w:r>
            <w:r>
              <w:rPr>
                <w:rFonts w:hint="eastAsia" w:ascii="Times New Roman" w:hAnsi="Times New Roman" w:eastAsia="宋体" w:cs="Times New Roman"/>
                <w:b w:val="0"/>
                <w:bCs w:val="0"/>
                <w:color w:val="auto"/>
                <w:spacing w:val="0"/>
                <w:sz w:val="24"/>
                <w:szCs w:val="24"/>
                <w:u w:val="none"/>
                <w:lang w:val="en-US" w:eastAsia="zh-CN"/>
              </w:rPr>
              <w:t>运输货车应配备尾气处理装置，减少尾气排放。</w:t>
            </w:r>
          </w:p>
          <w:p w14:paraId="4E64F7C3">
            <w:pPr>
              <w:adjustRightInd w:val="0"/>
              <w:snapToGrid w:val="0"/>
              <w:spacing w:line="360" w:lineRule="auto"/>
              <w:ind w:firstLine="480" w:firstLineChars="200"/>
              <w:jc w:val="left"/>
              <w:rPr>
                <w:color w:val="000000" w:themeColor="text1"/>
                <w:sz w:val="24"/>
                <w:u w:val="none"/>
                <w14:textFill>
                  <w14:solidFill>
                    <w14:schemeClr w14:val="tx1"/>
                  </w14:solidFill>
                </w14:textFill>
              </w:rPr>
            </w:pPr>
            <w:r>
              <w:rPr>
                <w:rFonts w:hint="default" w:ascii="Times New Roman" w:hAnsi="Times New Roman" w:eastAsia="宋体" w:cs="Times New Roman"/>
                <w:b w:val="0"/>
                <w:bCs w:val="0"/>
                <w:color w:val="auto"/>
                <w:spacing w:val="0"/>
                <w:sz w:val="24"/>
                <w:szCs w:val="24"/>
                <w:u w:val="none"/>
                <w:lang w:val="en-US" w:eastAsia="zh-CN"/>
              </w:rPr>
              <w:t>③</w:t>
            </w:r>
            <w:r>
              <w:rPr>
                <w:rFonts w:hint="eastAsia" w:ascii="Times New Roman" w:hAnsi="Times New Roman" w:eastAsia="宋体" w:cs="Times New Roman"/>
                <w:b w:val="0"/>
                <w:bCs w:val="0"/>
                <w:color w:val="auto"/>
                <w:spacing w:val="0"/>
                <w:sz w:val="24"/>
                <w:szCs w:val="24"/>
                <w:u w:val="none"/>
                <w:lang w:val="en-US" w:eastAsia="zh-CN"/>
              </w:rPr>
              <w:t>施工机械及车辆应选用符合国家道路机械和非道路移动机械设备烟气排放标准的设备、车辆，禁止使用淘汰、落后的设备、车辆</w:t>
            </w:r>
            <w:r>
              <w:rPr>
                <w:color w:val="000000" w:themeColor="text1"/>
                <w:sz w:val="24"/>
                <w:u w:val="none"/>
                <w14:textFill>
                  <w14:solidFill>
                    <w14:schemeClr w14:val="tx1"/>
                  </w14:solidFill>
                </w14:textFill>
              </w:rPr>
              <w:t>。</w:t>
            </w:r>
          </w:p>
          <w:p w14:paraId="2732B770">
            <w:pPr>
              <w:pStyle w:val="241"/>
              <w:ind w:firstLine="480"/>
              <w:rPr>
                <w:rFonts w:hint="eastAsia" w:eastAsia="宋体"/>
                <w:color w:val="000000" w:themeColor="text1"/>
                <w:sz w:val="24"/>
                <w:u w:val="none"/>
                <w:lang w:val="en-US" w:eastAsia="zh-CN"/>
                <w14:textFill>
                  <w14:solidFill>
                    <w14:schemeClr w14:val="tx1"/>
                  </w14:solidFill>
                </w14:textFill>
              </w:rPr>
            </w:pPr>
            <w:r>
              <w:rPr>
                <w:rFonts w:hint="eastAsia"/>
                <w:u w:val="none"/>
              </w:rPr>
              <w:t>采用上述处理措施后，施工</w:t>
            </w:r>
            <w:r>
              <w:rPr>
                <w:rFonts w:hint="eastAsia"/>
                <w:u w:val="none"/>
                <w:lang w:val="en-US" w:eastAsia="zh-CN"/>
              </w:rPr>
              <w:t>废水</w:t>
            </w:r>
            <w:r>
              <w:rPr>
                <w:rFonts w:hint="eastAsia"/>
                <w:u w:val="none"/>
              </w:rPr>
              <w:t>能得到有效控制。因此，本项目施工废气对周围环境的影响不大措施可行。</w:t>
            </w:r>
          </w:p>
          <w:p w14:paraId="5867E2D7">
            <w:pPr>
              <w:adjustRightInd w:val="0"/>
              <w:snapToGrid w:val="0"/>
              <w:spacing w:line="360" w:lineRule="auto"/>
              <w:ind w:firstLine="482" w:firstLineChars="200"/>
              <w:jc w:val="left"/>
              <w:rPr>
                <w:rFonts w:hint="eastAsia"/>
                <w:b/>
                <w:bCs/>
                <w:color w:val="000000" w:themeColor="text1"/>
                <w:sz w:val="24"/>
                <w:u w:val="none"/>
                <w14:textFill>
                  <w14:solidFill>
                    <w14:schemeClr w14:val="tx1"/>
                  </w14:solidFill>
                </w14:textFill>
              </w:rPr>
            </w:pPr>
            <w:r>
              <w:rPr>
                <w:rFonts w:hint="eastAsia"/>
                <w:b/>
                <w:bCs/>
                <w:color w:val="000000" w:themeColor="text1"/>
                <w:sz w:val="24"/>
                <w:u w:val="none"/>
                <w:lang w:val="en-US" w:eastAsia="zh-CN"/>
                <w14:textFill>
                  <w14:solidFill>
                    <w14:schemeClr w14:val="tx1"/>
                  </w14:solidFill>
                </w14:textFill>
              </w:rPr>
              <w:t>二</w:t>
            </w:r>
            <w:r>
              <w:rPr>
                <w:b/>
                <w:bCs/>
                <w:color w:val="000000" w:themeColor="text1"/>
                <w:sz w:val="24"/>
                <w:u w:val="none"/>
                <w14:textFill>
                  <w14:solidFill>
                    <w14:schemeClr w14:val="tx1"/>
                  </w14:solidFill>
                </w14:textFill>
              </w:rPr>
              <w:t>、</w:t>
            </w:r>
            <w:r>
              <w:rPr>
                <w:rFonts w:hint="eastAsia"/>
                <w:b/>
                <w:bCs/>
                <w:color w:val="000000" w:themeColor="text1"/>
                <w:sz w:val="24"/>
                <w:u w:val="none"/>
                <w14:textFill>
                  <w14:solidFill>
                    <w14:schemeClr w14:val="tx1"/>
                  </w14:solidFill>
                </w14:textFill>
              </w:rPr>
              <w:t>施工期地表水污染防控措施</w:t>
            </w:r>
          </w:p>
          <w:p w14:paraId="1334AFC0">
            <w:pPr>
              <w:keepNext w:val="0"/>
              <w:keepLines w:val="0"/>
              <w:pageBreakBefore w:val="0"/>
              <w:widowControl w:val="0"/>
              <w:kinsoku/>
              <w:wordWrap/>
              <w:overflowPunct/>
              <w:topLinePunct w:val="0"/>
              <w:autoSpaceDE/>
              <w:autoSpaceDN/>
              <w:bidi w:val="0"/>
              <w:adjustRightInd/>
              <w:snapToGrid/>
              <w:spacing w:line="360" w:lineRule="auto"/>
              <w:ind w:left="524"/>
              <w:textAlignment w:val="auto"/>
              <w:rPr>
                <w:rFonts w:hint="default" w:ascii="Times New Roman" w:hAnsi="Times New Roman" w:eastAsia="宋体" w:cs="Times New Roman"/>
                <w:b w:val="0"/>
                <w:bCs w:val="0"/>
                <w:color w:val="auto"/>
                <w:spacing w:val="0"/>
                <w:sz w:val="24"/>
                <w:szCs w:val="24"/>
                <w:u w:val="none"/>
              </w:rPr>
            </w:pP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Times New Roman" w:cs="Times New Roman"/>
                <w:b w:val="0"/>
                <w:bCs w:val="0"/>
                <w:color w:val="auto"/>
                <w:spacing w:val="0"/>
                <w:sz w:val="24"/>
                <w:szCs w:val="24"/>
                <w:u w:val="none"/>
              </w:rPr>
              <w:t>1</w:t>
            </w:r>
            <w:r>
              <w:rPr>
                <w:rFonts w:hint="eastAsia" w:ascii="Times New Roman" w:hAnsi="Times New Roman" w:eastAsia="宋体" w:cs="Times New Roman"/>
                <w:b w:val="0"/>
                <w:bCs w:val="0"/>
                <w:color w:val="auto"/>
                <w:spacing w:val="0"/>
                <w:sz w:val="24"/>
                <w:szCs w:val="24"/>
                <w:u w:val="none"/>
                <w:lang w:eastAsia="zh-CN"/>
              </w:rPr>
              <w:t>）</w:t>
            </w:r>
            <w:r>
              <w:rPr>
                <w:rFonts w:hint="default" w:ascii="Times New Roman" w:hAnsi="Times New Roman" w:eastAsia="宋体" w:cs="Times New Roman"/>
                <w:b w:val="0"/>
                <w:bCs w:val="0"/>
                <w:color w:val="auto"/>
                <w:spacing w:val="0"/>
                <w:sz w:val="24"/>
                <w:szCs w:val="24"/>
                <w:u w:val="none"/>
              </w:rPr>
              <w:t>施工废水、施工生活污水防治措施</w:t>
            </w:r>
          </w:p>
          <w:p w14:paraId="2832963F">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①加强施工期管理，对施工机械定期检修，以免油料泄漏；悬浮物含量高的施工</w:t>
            </w:r>
            <w:r>
              <w:rPr>
                <w:rFonts w:hint="eastAsia" w:ascii="Times New Roman" w:hAnsi="Times New Roman" w:eastAsia="宋体" w:cs="Times New Roman"/>
                <w:b w:val="0"/>
                <w:bCs w:val="0"/>
                <w:color w:val="auto"/>
                <w:spacing w:val="0"/>
                <w:sz w:val="24"/>
                <w:szCs w:val="24"/>
                <w:u w:val="none"/>
                <w:lang w:val="en-US" w:eastAsia="zh-CN"/>
              </w:rPr>
              <w:t>车辆冲洗</w:t>
            </w:r>
            <w:r>
              <w:rPr>
                <w:rFonts w:hint="default" w:ascii="Times New Roman" w:hAnsi="Times New Roman" w:eastAsia="宋体" w:cs="Times New Roman"/>
                <w:b w:val="0"/>
                <w:bCs w:val="0"/>
                <w:color w:val="auto"/>
                <w:spacing w:val="0"/>
                <w:sz w:val="24"/>
                <w:szCs w:val="24"/>
                <w:u w:val="none"/>
              </w:rPr>
              <w:t>废水</w:t>
            </w:r>
            <w:r>
              <w:rPr>
                <w:rFonts w:hint="eastAsia" w:ascii="Times New Roman" w:hAnsi="Times New Roman" w:eastAsia="宋体" w:cs="Times New Roman"/>
                <w:b w:val="0"/>
                <w:bCs w:val="0"/>
                <w:color w:val="auto"/>
                <w:spacing w:val="0"/>
                <w:sz w:val="24"/>
                <w:szCs w:val="24"/>
                <w:u w:val="none"/>
                <w:lang w:val="en-US" w:eastAsia="zh-CN"/>
              </w:rPr>
              <w:t>经</w:t>
            </w:r>
            <w:r>
              <w:rPr>
                <w:rFonts w:hint="default" w:ascii="Times New Roman" w:hAnsi="Times New Roman" w:eastAsia="宋体" w:cs="Times New Roman"/>
                <w:b w:val="0"/>
                <w:bCs w:val="0"/>
                <w:color w:val="auto"/>
                <w:spacing w:val="0"/>
                <w:sz w:val="24"/>
                <w:szCs w:val="24"/>
                <w:u w:val="none"/>
              </w:rPr>
              <w:t>沉淀</w:t>
            </w:r>
            <w:r>
              <w:rPr>
                <w:rFonts w:hint="eastAsia" w:ascii="Times New Roman" w:hAnsi="Times New Roman" w:eastAsia="宋体" w:cs="Times New Roman"/>
                <w:b w:val="0"/>
                <w:bCs w:val="0"/>
                <w:color w:val="auto"/>
                <w:spacing w:val="0"/>
                <w:sz w:val="24"/>
                <w:szCs w:val="24"/>
                <w:u w:val="none"/>
                <w:lang w:val="en-US" w:eastAsia="zh-CN"/>
              </w:rPr>
              <w:t>池</w:t>
            </w:r>
            <w:r>
              <w:rPr>
                <w:rFonts w:hint="default" w:ascii="Times New Roman" w:hAnsi="Times New Roman" w:eastAsia="宋体" w:cs="Times New Roman"/>
                <w:b w:val="0"/>
                <w:bCs w:val="0"/>
                <w:color w:val="auto"/>
                <w:spacing w:val="0"/>
                <w:sz w:val="24"/>
                <w:szCs w:val="24"/>
                <w:u w:val="none"/>
              </w:rPr>
              <w:t>澄清后回用于</w:t>
            </w:r>
            <w:r>
              <w:rPr>
                <w:rFonts w:hint="eastAsia" w:ascii="Times New Roman" w:hAnsi="Times New Roman" w:eastAsia="宋体" w:cs="Times New Roman"/>
                <w:b w:val="0"/>
                <w:bCs w:val="0"/>
                <w:color w:val="auto"/>
                <w:spacing w:val="0"/>
                <w:sz w:val="24"/>
                <w:szCs w:val="24"/>
                <w:u w:val="none"/>
                <w:lang w:val="en-US" w:eastAsia="zh-CN"/>
              </w:rPr>
              <w:t>车辆冲洗</w:t>
            </w:r>
            <w:r>
              <w:rPr>
                <w:rFonts w:hint="default" w:ascii="Times New Roman" w:hAnsi="Times New Roman" w:eastAsia="宋体" w:cs="Times New Roman"/>
                <w:b w:val="0"/>
                <w:bCs w:val="0"/>
                <w:color w:val="auto"/>
                <w:spacing w:val="0"/>
                <w:sz w:val="24"/>
                <w:szCs w:val="24"/>
                <w:u w:val="none"/>
              </w:rPr>
              <w:t>，不向外环境排放。</w:t>
            </w:r>
          </w:p>
          <w:p w14:paraId="6B704E5F">
            <w:pPr>
              <w:keepNext w:val="0"/>
              <w:keepLines w:val="0"/>
              <w:pageBreakBefore w:val="0"/>
              <w:widowControl w:val="0"/>
              <w:kinsoku/>
              <w:wordWrap/>
              <w:overflowPunct/>
              <w:topLinePunct w:val="0"/>
              <w:autoSpaceDE/>
              <w:autoSpaceDN/>
              <w:bidi w:val="0"/>
              <w:adjustRightInd/>
              <w:snapToGrid/>
              <w:spacing w:line="360" w:lineRule="auto"/>
              <w:ind w:left="37" w:right="30" w:firstLine="478"/>
              <w:textAlignment w:val="auto"/>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②施工材料、泥砂等堆放时应采取遮挡措施，防止降雨冲刷进入河道，对水体造成污染。</w:t>
            </w:r>
          </w:p>
          <w:p w14:paraId="1EC6CD34">
            <w:pPr>
              <w:keepNext w:val="0"/>
              <w:keepLines w:val="0"/>
              <w:pageBreakBefore w:val="0"/>
              <w:widowControl w:val="0"/>
              <w:kinsoku/>
              <w:wordWrap/>
              <w:overflowPunct/>
              <w:topLinePunct w:val="0"/>
              <w:autoSpaceDE/>
              <w:autoSpaceDN/>
              <w:bidi w:val="0"/>
              <w:adjustRightInd/>
              <w:snapToGrid/>
              <w:spacing w:line="360" w:lineRule="auto"/>
              <w:ind w:left="36" w:right="28" w:firstLine="479"/>
              <w:textAlignment w:val="auto"/>
              <w:rPr>
                <w:rFonts w:hint="default" w:ascii="Times New Roman" w:hAnsi="Times New Roman" w:eastAsia="宋体" w:cs="Times New Roman"/>
                <w:b w:val="0"/>
                <w:bCs w:val="0"/>
                <w:color w:val="auto"/>
                <w:spacing w:val="0"/>
                <w:sz w:val="24"/>
                <w:szCs w:val="24"/>
                <w:u w:val="none"/>
                <w:lang w:val="en-US" w:eastAsia="zh-CN"/>
              </w:rPr>
            </w:pPr>
            <w:r>
              <w:rPr>
                <w:rFonts w:hint="default" w:ascii="Times New Roman" w:hAnsi="Times New Roman" w:eastAsia="宋体" w:cs="Times New Roman"/>
                <w:b w:val="0"/>
                <w:bCs w:val="0"/>
                <w:color w:val="auto"/>
                <w:spacing w:val="0"/>
                <w:sz w:val="24"/>
                <w:szCs w:val="24"/>
                <w:u w:val="none"/>
              </w:rPr>
              <w:t>③施工生活污水主要来自施工人员办公、生活污水。</w:t>
            </w:r>
            <w:r>
              <w:rPr>
                <w:rFonts w:hint="default" w:ascii="Times New Roman" w:hAnsi="Times New Roman" w:eastAsia="宋体" w:cs="Times New Roman"/>
                <w:b w:val="0"/>
                <w:bCs w:val="0"/>
                <w:color w:val="auto"/>
                <w:spacing w:val="0"/>
                <w:sz w:val="24"/>
                <w:szCs w:val="24"/>
                <w:u w:val="none"/>
                <w:lang w:val="en-US" w:eastAsia="zh-CN"/>
              </w:rPr>
              <w:t>生活污水通过</w:t>
            </w:r>
            <w:r>
              <w:rPr>
                <w:rFonts w:hint="eastAsia" w:ascii="Times New Roman" w:hAnsi="Times New Roman" w:eastAsia="宋体" w:cs="Times New Roman"/>
                <w:b w:val="0"/>
                <w:bCs w:val="0"/>
                <w:color w:val="auto"/>
                <w:spacing w:val="0"/>
                <w:sz w:val="24"/>
                <w:szCs w:val="24"/>
                <w:u w:val="none"/>
                <w:lang w:eastAsia="zh-CN"/>
              </w:rPr>
              <w:t>就近民房化粪池处理后</w:t>
            </w:r>
            <w:r>
              <w:rPr>
                <w:rFonts w:hint="eastAsia" w:ascii="Times New Roman" w:hAnsi="Times New Roman" w:eastAsia="宋体" w:cs="Times New Roman"/>
                <w:b w:val="0"/>
                <w:bCs w:val="0"/>
                <w:color w:val="auto"/>
                <w:spacing w:val="0"/>
                <w:sz w:val="24"/>
                <w:szCs w:val="24"/>
                <w:u w:val="none"/>
                <w:lang w:val="en-US" w:eastAsia="zh-CN"/>
              </w:rPr>
              <w:t>用于农肥</w:t>
            </w:r>
            <w:r>
              <w:rPr>
                <w:rFonts w:hint="default" w:ascii="Times New Roman" w:hAnsi="Times New Roman" w:eastAsia="宋体" w:cs="Times New Roman"/>
                <w:b w:val="0"/>
                <w:bCs w:val="0"/>
                <w:color w:val="auto"/>
                <w:spacing w:val="0"/>
                <w:sz w:val="24"/>
                <w:szCs w:val="24"/>
                <w:u w:val="none"/>
              </w:rPr>
              <w:t>。</w:t>
            </w:r>
            <w:r>
              <w:rPr>
                <w:rFonts w:hint="eastAsia" w:ascii="Times New Roman" w:hAnsi="Times New Roman" w:eastAsia="宋体" w:cs="Times New Roman"/>
                <w:b w:val="0"/>
                <w:bCs w:val="0"/>
                <w:color w:val="auto"/>
                <w:spacing w:val="0"/>
                <w:sz w:val="24"/>
                <w:szCs w:val="24"/>
                <w:u w:val="none"/>
                <w:lang w:val="en-US" w:eastAsia="zh-CN"/>
              </w:rPr>
              <w:t>施工区周边存在大量农田种植农作物，可消纳施工人员产生的生活污水。</w:t>
            </w:r>
          </w:p>
          <w:p w14:paraId="436019E4">
            <w:pPr>
              <w:keepNext w:val="0"/>
              <w:keepLines w:val="0"/>
              <w:pageBreakBefore w:val="0"/>
              <w:widowControl w:val="0"/>
              <w:kinsoku/>
              <w:wordWrap/>
              <w:overflowPunct/>
              <w:topLinePunct w:val="0"/>
              <w:autoSpaceDE/>
              <w:autoSpaceDN/>
              <w:bidi w:val="0"/>
              <w:adjustRightInd/>
              <w:snapToGrid/>
              <w:spacing w:line="360" w:lineRule="auto"/>
              <w:ind w:left="38" w:right="26" w:firstLine="478"/>
              <w:textAlignment w:val="auto"/>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④施工场地导流及围堰施工后因降雨汇集的废水经围堰末端的临时沉淀池处理后回用于洒水抑尘及护坡养护，不外排。本工程</w:t>
            </w:r>
            <w:r>
              <w:rPr>
                <w:rFonts w:hint="eastAsia" w:ascii="Times New Roman" w:hAnsi="Times New Roman" w:eastAsia="宋体" w:cs="Times New Roman"/>
                <w:b w:val="0"/>
                <w:bCs w:val="0"/>
                <w:color w:val="auto"/>
                <w:spacing w:val="0"/>
                <w:sz w:val="24"/>
                <w:szCs w:val="24"/>
                <w:u w:val="none"/>
                <w:lang w:val="en-US" w:eastAsia="zh-CN"/>
              </w:rPr>
              <w:t>基坑</w:t>
            </w:r>
            <w:r>
              <w:rPr>
                <w:rFonts w:hint="default" w:ascii="Times New Roman" w:hAnsi="Times New Roman" w:eastAsia="宋体" w:cs="Times New Roman"/>
                <w:b w:val="0"/>
                <w:bCs w:val="0"/>
                <w:color w:val="auto"/>
                <w:spacing w:val="0"/>
                <w:sz w:val="24"/>
                <w:szCs w:val="24"/>
                <w:u w:val="none"/>
              </w:rPr>
              <w:t>经常性排水经沉淀处理后回用于车辆冲洗、场地洒水降尘等，</w:t>
            </w:r>
            <w:r>
              <w:rPr>
                <w:rFonts w:hint="eastAsia" w:ascii="Times New Roman" w:hAnsi="Times New Roman" w:eastAsia="宋体" w:cs="Times New Roman"/>
                <w:b w:val="0"/>
                <w:bCs w:val="0"/>
                <w:color w:val="auto"/>
                <w:spacing w:val="0"/>
                <w:sz w:val="24"/>
                <w:szCs w:val="24"/>
                <w:u w:val="none"/>
                <w:lang w:val="en-US" w:eastAsia="zh-CN"/>
              </w:rPr>
              <w:t>不</w:t>
            </w:r>
            <w:r>
              <w:rPr>
                <w:rFonts w:hint="default" w:ascii="Times New Roman" w:hAnsi="Times New Roman" w:eastAsia="宋体" w:cs="Times New Roman"/>
                <w:b w:val="0"/>
                <w:bCs w:val="0"/>
                <w:color w:val="auto"/>
                <w:spacing w:val="0"/>
                <w:sz w:val="24"/>
                <w:szCs w:val="24"/>
                <w:u w:val="none"/>
              </w:rPr>
              <w:t>外排。</w:t>
            </w:r>
          </w:p>
          <w:p w14:paraId="1ACCC9CF">
            <w:pPr>
              <w:keepNext w:val="0"/>
              <w:keepLines w:val="0"/>
              <w:pageBreakBefore w:val="0"/>
              <w:widowControl w:val="0"/>
              <w:kinsoku/>
              <w:wordWrap/>
              <w:overflowPunct/>
              <w:topLinePunct w:val="0"/>
              <w:autoSpaceDE/>
              <w:autoSpaceDN/>
              <w:bidi w:val="0"/>
              <w:adjustRightInd/>
              <w:snapToGrid/>
              <w:spacing w:line="360" w:lineRule="auto"/>
              <w:ind w:left="38" w:right="26" w:firstLine="478"/>
              <w:textAlignment w:val="auto"/>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⑤</w:t>
            </w:r>
            <w:r>
              <w:rPr>
                <w:rFonts w:hint="eastAsia" w:ascii="Times New Roman" w:hAnsi="Times New Roman" w:eastAsia="宋体" w:cs="Times New Roman"/>
                <w:b w:val="0"/>
                <w:bCs w:val="0"/>
                <w:color w:val="auto"/>
                <w:spacing w:val="0"/>
                <w:sz w:val="24"/>
                <w:szCs w:val="24"/>
                <w:u w:val="none"/>
                <w:lang w:eastAsia="zh-CN"/>
              </w:rPr>
              <w:t>临时堆放场</w:t>
            </w:r>
            <w:r>
              <w:rPr>
                <w:rFonts w:hint="default" w:ascii="Times New Roman" w:hAnsi="Times New Roman" w:eastAsia="宋体" w:cs="Times New Roman"/>
                <w:b w:val="0"/>
                <w:bCs w:val="0"/>
                <w:color w:val="auto"/>
                <w:spacing w:val="0"/>
                <w:sz w:val="24"/>
                <w:szCs w:val="24"/>
                <w:u w:val="none"/>
              </w:rPr>
              <w:t>地面采取硬化防渗措施，堆放场淋沥水经收集后排入三级沉淀水池用于</w:t>
            </w:r>
            <w:r>
              <w:rPr>
                <w:rFonts w:hint="eastAsia" w:ascii="Times New Roman" w:hAnsi="Times New Roman" w:eastAsia="宋体" w:cs="Times New Roman"/>
                <w:b w:val="0"/>
                <w:bCs w:val="0"/>
                <w:color w:val="auto"/>
                <w:spacing w:val="0"/>
                <w:sz w:val="24"/>
                <w:szCs w:val="24"/>
                <w:u w:val="none"/>
                <w:lang w:eastAsia="zh-CN"/>
              </w:rPr>
              <w:t>降尘</w:t>
            </w:r>
            <w:r>
              <w:rPr>
                <w:rFonts w:hint="default" w:ascii="Times New Roman" w:hAnsi="Times New Roman" w:eastAsia="宋体" w:cs="Times New Roman"/>
                <w:b w:val="0"/>
                <w:bCs w:val="0"/>
                <w:color w:val="auto"/>
                <w:spacing w:val="0"/>
                <w:sz w:val="24"/>
                <w:szCs w:val="24"/>
                <w:u w:val="none"/>
              </w:rPr>
              <w:t>用水。</w:t>
            </w:r>
          </w:p>
          <w:p w14:paraId="4FFBEF5A">
            <w:pPr>
              <w:keepNext w:val="0"/>
              <w:keepLines w:val="0"/>
              <w:pageBreakBefore w:val="0"/>
              <w:widowControl w:val="0"/>
              <w:kinsoku/>
              <w:wordWrap/>
              <w:overflowPunct/>
              <w:topLinePunct w:val="0"/>
              <w:autoSpaceDE/>
              <w:autoSpaceDN/>
              <w:bidi w:val="0"/>
              <w:adjustRightInd/>
              <w:snapToGrid/>
              <w:spacing w:line="360" w:lineRule="auto"/>
              <w:ind w:left="38" w:right="26" w:firstLine="478"/>
              <w:textAlignment w:val="auto"/>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⑥场地和废水池应当设有围堰，防治废水漫溢</w:t>
            </w:r>
            <w:r>
              <w:rPr>
                <w:rFonts w:hint="eastAsia" w:ascii="Times New Roman" w:hAnsi="Times New Roman" w:eastAsia="宋体" w:cs="Times New Roman"/>
                <w:b w:val="0"/>
                <w:bCs w:val="0"/>
                <w:color w:val="auto"/>
                <w:spacing w:val="0"/>
                <w:sz w:val="24"/>
                <w:szCs w:val="24"/>
                <w:u w:val="none"/>
                <w:lang w:val="en-US" w:eastAsia="zh-CN"/>
              </w:rPr>
              <w:t>至</w:t>
            </w:r>
            <w:r>
              <w:rPr>
                <w:rFonts w:hint="default" w:ascii="Times New Roman" w:hAnsi="Times New Roman" w:eastAsia="宋体" w:cs="Times New Roman"/>
                <w:b w:val="0"/>
                <w:bCs w:val="0"/>
                <w:color w:val="auto"/>
                <w:spacing w:val="0"/>
                <w:sz w:val="24"/>
                <w:szCs w:val="24"/>
                <w:u w:val="none"/>
              </w:rPr>
              <w:t>河道。</w:t>
            </w:r>
          </w:p>
          <w:p w14:paraId="16A07B77">
            <w:pPr>
              <w:keepNext w:val="0"/>
              <w:keepLines w:val="0"/>
              <w:pageBreakBefore w:val="0"/>
              <w:widowControl w:val="0"/>
              <w:kinsoku/>
              <w:wordWrap/>
              <w:overflowPunct/>
              <w:topLinePunct w:val="0"/>
              <w:autoSpaceDE/>
              <w:autoSpaceDN/>
              <w:bidi w:val="0"/>
              <w:adjustRightInd/>
              <w:snapToGrid/>
              <w:spacing w:line="360" w:lineRule="auto"/>
              <w:ind w:left="38" w:right="26" w:firstLine="478"/>
              <w:textAlignment w:val="auto"/>
              <w:rPr>
                <w:rFonts w:hint="default" w:ascii="Times New Roman" w:hAnsi="Times New Roman" w:eastAsia="宋体" w:cs="Times New Roman"/>
                <w:b w:val="0"/>
                <w:bCs w:val="0"/>
                <w:color w:val="auto"/>
                <w:spacing w:val="0"/>
                <w:sz w:val="24"/>
                <w:szCs w:val="24"/>
                <w:u w:val="none"/>
              </w:rPr>
            </w:pPr>
            <w:r>
              <w:rPr>
                <w:rFonts w:hint="eastAsia" w:ascii="Times New Roman" w:hAnsi="Times New Roman" w:eastAsia="宋体" w:cs="Times New Roman"/>
                <w:b w:val="0"/>
                <w:bCs w:val="0"/>
                <w:color w:val="auto"/>
                <w:spacing w:val="0"/>
                <w:sz w:val="24"/>
                <w:szCs w:val="24"/>
                <w:u w:val="none"/>
                <w:lang w:eastAsia="zh-CN"/>
              </w:rPr>
              <w:t>（</w:t>
            </w:r>
            <w:r>
              <w:rPr>
                <w:rFonts w:hint="eastAsia" w:ascii="Times New Roman" w:hAnsi="Times New Roman" w:eastAsia="宋体" w:cs="Times New Roman"/>
                <w:b w:val="0"/>
                <w:bCs w:val="0"/>
                <w:color w:val="auto"/>
                <w:spacing w:val="0"/>
                <w:sz w:val="24"/>
                <w:szCs w:val="24"/>
                <w:u w:val="none"/>
                <w:lang w:val="en-US" w:eastAsia="zh-CN"/>
              </w:rPr>
              <w:t>2</w:t>
            </w:r>
            <w:r>
              <w:rPr>
                <w:rFonts w:hint="eastAsia" w:ascii="Times New Roman" w:hAnsi="Times New Roman" w:eastAsia="宋体" w:cs="Times New Roman"/>
                <w:b w:val="0"/>
                <w:bCs w:val="0"/>
                <w:color w:val="auto"/>
                <w:spacing w:val="0"/>
                <w:sz w:val="24"/>
                <w:szCs w:val="24"/>
                <w:u w:val="none"/>
                <w:lang w:eastAsia="zh-CN"/>
              </w:rPr>
              <w:t>）</w:t>
            </w:r>
            <w:r>
              <w:rPr>
                <w:rFonts w:hint="eastAsia" w:ascii="Times New Roman" w:hAnsi="Times New Roman" w:eastAsia="宋体" w:cs="Times New Roman"/>
                <w:b w:val="0"/>
                <w:bCs w:val="0"/>
                <w:color w:val="auto"/>
                <w:spacing w:val="0"/>
                <w:sz w:val="24"/>
                <w:szCs w:val="24"/>
                <w:u w:val="none"/>
                <w:lang w:val="en-US" w:eastAsia="zh-CN"/>
              </w:rPr>
              <w:t xml:space="preserve">施工期围堰填筑拆除的悬沙控制措施 </w:t>
            </w:r>
          </w:p>
          <w:p w14:paraId="238C4E69">
            <w:pPr>
              <w:keepNext w:val="0"/>
              <w:keepLines w:val="0"/>
              <w:pageBreakBefore w:val="0"/>
              <w:widowControl w:val="0"/>
              <w:kinsoku/>
              <w:wordWrap/>
              <w:overflowPunct/>
              <w:topLinePunct w:val="0"/>
              <w:autoSpaceDE/>
              <w:autoSpaceDN/>
              <w:bidi w:val="0"/>
              <w:adjustRightInd/>
              <w:snapToGrid/>
              <w:spacing w:line="360" w:lineRule="auto"/>
              <w:ind w:left="38" w:right="26" w:firstLine="478"/>
              <w:textAlignment w:val="auto"/>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①</w:t>
            </w:r>
            <w:r>
              <w:rPr>
                <w:rFonts w:hint="eastAsia" w:ascii="Times New Roman" w:hAnsi="Times New Roman" w:eastAsia="宋体" w:cs="Times New Roman"/>
                <w:b w:val="0"/>
                <w:bCs w:val="0"/>
                <w:color w:val="auto"/>
                <w:spacing w:val="0"/>
                <w:sz w:val="24"/>
                <w:szCs w:val="24"/>
                <w:u w:val="none"/>
                <w:lang w:val="en-US" w:eastAsia="zh-CN"/>
              </w:rPr>
              <w:t xml:space="preserve">在拆除围堰的作业中，应密切注意雨情、水情，如发现情况异常，应停止施工，并采取相应的应急措施； </w:t>
            </w:r>
          </w:p>
          <w:p w14:paraId="43B6800A">
            <w:pPr>
              <w:keepNext w:val="0"/>
              <w:keepLines w:val="0"/>
              <w:pageBreakBefore w:val="0"/>
              <w:widowControl w:val="0"/>
              <w:kinsoku/>
              <w:wordWrap/>
              <w:overflowPunct/>
              <w:topLinePunct w:val="0"/>
              <w:autoSpaceDE/>
              <w:autoSpaceDN/>
              <w:bidi w:val="0"/>
              <w:adjustRightInd/>
              <w:snapToGrid/>
              <w:spacing w:line="360" w:lineRule="auto"/>
              <w:ind w:left="38" w:right="26" w:firstLine="478"/>
              <w:textAlignment w:val="auto"/>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②</w:t>
            </w:r>
            <w:r>
              <w:rPr>
                <w:rFonts w:hint="eastAsia" w:ascii="Times New Roman" w:hAnsi="Times New Roman" w:eastAsia="宋体" w:cs="Times New Roman"/>
                <w:b w:val="0"/>
                <w:bCs w:val="0"/>
                <w:color w:val="auto"/>
                <w:spacing w:val="0"/>
                <w:sz w:val="24"/>
                <w:szCs w:val="24"/>
                <w:u w:val="none"/>
                <w:lang w:val="en-US" w:eastAsia="zh-CN"/>
              </w:rPr>
              <w:t xml:space="preserve">围堰拆除应在该区施工结束后围堰内水体静置一段时间直至悬浮物已基本沉淀，确保围堰拆除时影响降至最小； </w:t>
            </w:r>
          </w:p>
          <w:p w14:paraId="72911261">
            <w:pPr>
              <w:keepNext w:val="0"/>
              <w:keepLines w:val="0"/>
              <w:pageBreakBefore w:val="0"/>
              <w:widowControl w:val="0"/>
              <w:kinsoku/>
              <w:wordWrap/>
              <w:overflowPunct/>
              <w:topLinePunct w:val="0"/>
              <w:autoSpaceDE/>
              <w:autoSpaceDN/>
              <w:bidi w:val="0"/>
              <w:adjustRightInd/>
              <w:snapToGrid/>
              <w:spacing w:line="360" w:lineRule="auto"/>
              <w:ind w:left="38" w:right="26" w:firstLine="478"/>
              <w:textAlignment w:val="auto"/>
              <w:rPr>
                <w:rFonts w:hint="default" w:ascii="Times New Roman" w:hAnsi="Times New Roman" w:eastAsia="宋体" w:cs="Times New Roman"/>
                <w:b w:val="0"/>
                <w:bCs w:val="0"/>
                <w:color w:val="auto"/>
                <w:spacing w:val="0"/>
                <w:sz w:val="24"/>
                <w:szCs w:val="24"/>
                <w:u w:val="none"/>
              </w:rPr>
            </w:pPr>
            <w:r>
              <w:rPr>
                <w:rFonts w:hint="default" w:ascii="Times New Roman" w:hAnsi="Times New Roman" w:eastAsia="宋体" w:cs="Times New Roman"/>
                <w:b w:val="0"/>
                <w:bCs w:val="0"/>
                <w:color w:val="auto"/>
                <w:spacing w:val="0"/>
                <w:sz w:val="24"/>
                <w:szCs w:val="24"/>
                <w:u w:val="none"/>
              </w:rPr>
              <w:t>③</w:t>
            </w:r>
            <w:r>
              <w:rPr>
                <w:rFonts w:hint="eastAsia" w:ascii="Times New Roman" w:hAnsi="Times New Roman" w:eastAsia="宋体" w:cs="Times New Roman"/>
                <w:b w:val="0"/>
                <w:bCs w:val="0"/>
                <w:color w:val="auto"/>
                <w:spacing w:val="0"/>
                <w:sz w:val="24"/>
                <w:szCs w:val="24"/>
                <w:u w:val="none"/>
                <w:lang w:val="en-US" w:eastAsia="zh-CN"/>
              </w:rPr>
              <w:t xml:space="preserve">做好施工设备的日常检查维修工作，合理安排施工进度，最大限度地控制水下施工作业对河床的搅动范围和强度，减少悬沙的产生量； </w:t>
            </w:r>
          </w:p>
          <w:p w14:paraId="5A4E3DC5">
            <w:pPr>
              <w:numPr>
                <w:ilvl w:val="0"/>
                <w:numId w:val="0"/>
              </w:numPr>
              <w:adjustRightInd w:val="0"/>
              <w:snapToGrid w:val="0"/>
              <w:spacing w:line="360" w:lineRule="auto"/>
              <w:ind w:firstLine="480" w:firstLineChars="200"/>
              <w:jc w:val="left"/>
              <w:rPr>
                <w:rFonts w:hint="eastAsia"/>
                <w:color w:val="000000" w:themeColor="text1"/>
                <w:sz w:val="24"/>
                <w:u w:val="single"/>
                <w:lang w:val="en-US" w:eastAsia="zh-CN"/>
                <w14:textFill>
                  <w14:solidFill>
                    <w14:schemeClr w14:val="tx1"/>
                  </w14:solidFill>
                </w14:textFill>
              </w:rPr>
            </w:pPr>
            <w:r>
              <w:rPr>
                <w:rFonts w:hint="default" w:ascii="Times New Roman" w:hAnsi="Times New Roman" w:eastAsia="宋体" w:cs="Times New Roman"/>
                <w:b w:val="0"/>
                <w:bCs w:val="0"/>
                <w:color w:val="auto"/>
                <w:spacing w:val="0"/>
                <w:sz w:val="24"/>
                <w:szCs w:val="24"/>
                <w:u w:val="none"/>
              </w:rPr>
              <w:t>④</w:t>
            </w:r>
            <w:r>
              <w:rPr>
                <w:rFonts w:hint="eastAsia" w:ascii="Times New Roman" w:hAnsi="Times New Roman" w:eastAsia="宋体" w:cs="Times New Roman"/>
                <w:b w:val="0"/>
                <w:bCs w:val="0"/>
                <w:color w:val="auto"/>
                <w:spacing w:val="0"/>
                <w:sz w:val="24"/>
                <w:szCs w:val="24"/>
                <w:u w:val="none"/>
                <w:lang w:val="en-US" w:eastAsia="zh-CN"/>
              </w:rPr>
              <w:t xml:space="preserve">开展跟踪监测：委托有资质单位在疏浚作业期间进行跟踪监测，主要监测项目为 </w:t>
            </w:r>
            <w:r>
              <w:rPr>
                <w:rFonts w:hint="default" w:ascii="Times New Roman" w:hAnsi="Times New Roman" w:eastAsia="宋体" w:cs="Times New Roman"/>
                <w:b w:val="0"/>
                <w:bCs w:val="0"/>
                <w:color w:val="auto"/>
                <w:spacing w:val="0"/>
                <w:sz w:val="24"/>
                <w:szCs w:val="24"/>
                <w:u w:val="none"/>
                <w:lang w:val="en-US" w:eastAsia="zh-CN"/>
              </w:rPr>
              <w:t>SS</w:t>
            </w:r>
            <w:r>
              <w:rPr>
                <w:rFonts w:hint="eastAsia" w:ascii="Times New Roman" w:hAnsi="Times New Roman" w:eastAsia="宋体" w:cs="Times New Roman"/>
                <w:b w:val="0"/>
                <w:bCs w:val="0"/>
                <w:color w:val="auto"/>
                <w:spacing w:val="0"/>
                <w:sz w:val="24"/>
                <w:szCs w:val="24"/>
                <w:u w:val="none"/>
                <w:lang w:val="en-US" w:eastAsia="zh-CN"/>
              </w:rPr>
              <w:t xml:space="preserve">，一旦发现 </w:t>
            </w:r>
            <w:r>
              <w:rPr>
                <w:rFonts w:hint="default" w:ascii="Times New Roman" w:hAnsi="Times New Roman" w:eastAsia="宋体" w:cs="Times New Roman"/>
                <w:b w:val="0"/>
                <w:bCs w:val="0"/>
                <w:color w:val="auto"/>
                <w:spacing w:val="0"/>
                <w:sz w:val="24"/>
                <w:szCs w:val="24"/>
                <w:u w:val="none"/>
                <w:lang w:val="en-US" w:eastAsia="zh-CN"/>
              </w:rPr>
              <w:t xml:space="preserve">SS </w:t>
            </w:r>
            <w:r>
              <w:rPr>
                <w:rFonts w:hint="eastAsia" w:ascii="Times New Roman" w:hAnsi="Times New Roman" w:eastAsia="宋体" w:cs="Times New Roman"/>
                <w:b w:val="0"/>
                <w:bCs w:val="0"/>
                <w:color w:val="auto"/>
                <w:spacing w:val="0"/>
                <w:sz w:val="24"/>
                <w:szCs w:val="24"/>
                <w:u w:val="none"/>
                <w:lang w:val="en-US" w:eastAsia="zh-CN"/>
              </w:rPr>
              <w:t>增量影响范围较大时，应控制水下施工作业强度</w:t>
            </w:r>
            <w:r>
              <w:rPr>
                <w:rFonts w:hint="eastAsia"/>
                <w:color w:val="000000" w:themeColor="text1"/>
                <w:sz w:val="24"/>
                <w:u w:val="none"/>
                <w:lang w:val="en-US" w:eastAsia="zh-CN"/>
                <w14:textFill>
                  <w14:solidFill>
                    <w14:schemeClr w14:val="tx1"/>
                  </w14:solidFill>
                </w14:textFill>
              </w:rPr>
              <w:t>。</w:t>
            </w:r>
          </w:p>
          <w:p w14:paraId="3D78A2F2">
            <w:pPr>
              <w:widowControl/>
              <w:adjustRightInd w:val="0"/>
              <w:snapToGrid w:val="0"/>
              <w:spacing w:line="360" w:lineRule="auto"/>
              <w:ind w:firstLine="482" w:firstLineChars="200"/>
              <w:rPr>
                <w:rFonts w:hint="eastAsia"/>
                <w:b/>
                <w:bCs/>
                <w:color w:val="000000" w:themeColor="text1"/>
                <w:kern w:val="0"/>
                <w:sz w:val="24"/>
                <w:u w:val="none"/>
                <w14:textFill>
                  <w14:solidFill>
                    <w14:schemeClr w14:val="tx1"/>
                  </w14:solidFill>
                </w14:textFill>
              </w:rPr>
            </w:pPr>
            <w:r>
              <w:rPr>
                <w:rFonts w:hint="eastAsia"/>
                <w:b/>
                <w:bCs/>
                <w:color w:val="000000" w:themeColor="text1"/>
                <w:kern w:val="0"/>
                <w:sz w:val="24"/>
                <w:u w:val="none"/>
                <w:lang w:val="en-US" w:eastAsia="zh-CN"/>
                <w14:textFill>
                  <w14:solidFill>
                    <w14:schemeClr w14:val="tx1"/>
                  </w14:solidFill>
                </w14:textFill>
              </w:rPr>
              <w:t>三、</w:t>
            </w:r>
            <w:r>
              <w:rPr>
                <w:rFonts w:hint="eastAsia"/>
                <w:b/>
                <w:bCs/>
                <w:color w:val="000000" w:themeColor="text1"/>
                <w:kern w:val="0"/>
                <w:sz w:val="24"/>
                <w:u w:val="none"/>
                <w14:textFill>
                  <w14:solidFill>
                    <w14:schemeClr w14:val="tx1"/>
                  </w14:solidFill>
                </w14:textFill>
              </w:rPr>
              <w:t>施工期噪声污染防控措施</w:t>
            </w:r>
          </w:p>
          <w:p w14:paraId="4B2CE3EB">
            <w:pPr>
              <w:widowControl/>
              <w:adjustRightInd w:val="0"/>
              <w:snapToGrid w:val="0"/>
              <w:spacing w:line="360" w:lineRule="auto"/>
              <w:ind w:firstLine="480" w:firstLineChars="200"/>
              <w:rPr>
                <w:rFonts w:hint="eastAsia"/>
                <w:color w:val="000000" w:themeColor="text1"/>
                <w:kern w:val="0"/>
                <w:sz w:val="24"/>
                <w:u w:val="none"/>
                <w14:textFill>
                  <w14:solidFill>
                    <w14:schemeClr w14:val="tx1"/>
                  </w14:solidFill>
                </w14:textFill>
              </w:rPr>
            </w:pPr>
            <w:r>
              <w:rPr>
                <w:rFonts w:hint="eastAsia"/>
                <w:color w:val="000000" w:themeColor="text1"/>
                <w:kern w:val="0"/>
                <w:sz w:val="24"/>
                <w:u w:val="none"/>
                <w14:textFill>
                  <w14:solidFill>
                    <w14:schemeClr w14:val="tx1"/>
                  </w14:solidFill>
                </w14:textFill>
              </w:rPr>
              <w:t>（1）施工单位必须选用符合国家有关标准的施工机械和运输车辆，尽量选用低噪声的施工机械和工艺，振动较大的固定机械设备应加装减振机座，固定强噪声源应考虑加装隔音罩，同时应加强各类施工设备的维护和保养，保持其良好的运转，以便从根本上降低噪声源强。</w:t>
            </w:r>
          </w:p>
          <w:p w14:paraId="037F5734">
            <w:pPr>
              <w:widowControl/>
              <w:adjustRightInd w:val="0"/>
              <w:snapToGrid w:val="0"/>
              <w:spacing w:line="360" w:lineRule="auto"/>
              <w:ind w:firstLine="480" w:firstLineChars="200"/>
              <w:rPr>
                <w:rFonts w:hint="eastAsia"/>
                <w:color w:val="000000" w:themeColor="text1"/>
                <w:kern w:val="0"/>
                <w:sz w:val="24"/>
                <w:u w:val="none"/>
                <w14:textFill>
                  <w14:solidFill>
                    <w14:schemeClr w14:val="tx1"/>
                  </w14:solidFill>
                </w14:textFill>
              </w:rPr>
            </w:pPr>
            <w:r>
              <w:rPr>
                <w:rFonts w:hint="eastAsia"/>
                <w:color w:val="000000" w:themeColor="text1"/>
                <w:kern w:val="0"/>
                <w:sz w:val="24"/>
                <w:u w:val="none"/>
                <w14:textFill>
                  <w14:solidFill>
                    <w14:schemeClr w14:val="tx1"/>
                  </w14:solidFill>
                </w14:textFill>
              </w:rPr>
              <w:t>（2）机械施工的噪声具有突发、无规则、不连续、高强度等特点。一般可采取施工方法变动措施加以缓解。因周边的居民点等敏感点距离本项目的距离较近，本项目机械设备的施工对其影响较大，本环评建议将此类噪声源强大的作业放在昼间（06:00~22:00）进行或对各种施工机械操作时间做适当调整。若夜间确需连续高噪声（高振动）作业的，应报当地主管部门批准，并公告居民最大限度地争取民众支持。必要时，可在施工场界安装2.5米高度的移动围挡，围挡可以起到声屏障的作用，保障昼间施工场界环境噪声达标。为减少施工期间的材料运输、敲击、人的喊叫等施工活动声源，要求承包商通过文明施工、加强有效管理加以缓解。</w:t>
            </w:r>
          </w:p>
          <w:p w14:paraId="6C5C256E">
            <w:pPr>
              <w:widowControl/>
              <w:adjustRightInd w:val="0"/>
              <w:snapToGrid w:val="0"/>
              <w:spacing w:line="360" w:lineRule="auto"/>
              <w:ind w:firstLine="480" w:firstLineChars="200"/>
              <w:rPr>
                <w:rFonts w:hint="eastAsia"/>
                <w:color w:val="000000" w:themeColor="text1"/>
                <w:kern w:val="0"/>
                <w:sz w:val="24"/>
                <w:u w:val="none"/>
                <w14:textFill>
                  <w14:solidFill>
                    <w14:schemeClr w14:val="tx1"/>
                  </w14:solidFill>
                </w14:textFill>
              </w:rPr>
            </w:pPr>
            <w:r>
              <w:rPr>
                <w:rFonts w:hint="eastAsia"/>
                <w:color w:val="000000" w:themeColor="text1"/>
                <w:kern w:val="0"/>
                <w:sz w:val="24"/>
                <w:u w:val="none"/>
                <w14:textFill>
                  <w14:solidFill>
                    <w14:schemeClr w14:val="tx1"/>
                  </w14:solidFill>
                </w14:textFill>
              </w:rPr>
              <w:t>（3）运输车辆采取减速缓行、禁止鸣笛等措施，以减少交通噪声对运输道路两侧居民的影响。</w:t>
            </w:r>
          </w:p>
          <w:p w14:paraId="700307D5">
            <w:pPr>
              <w:widowControl/>
              <w:adjustRightInd w:val="0"/>
              <w:snapToGrid w:val="0"/>
              <w:spacing w:line="360" w:lineRule="auto"/>
              <w:ind w:firstLine="480" w:firstLineChars="200"/>
              <w:rPr>
                <w:rFonts w:hint="eastAsia"/>
                <w:color w:val="000000" w:themeColor="text1"/>
                <w:kern w:val="0"/>
                <w:sz w:val="24"/>
                <w:u w:val="none"/>
                <w14:textFill>
                  <w14:solidFill>
                    <w14:schemeClr w14:val="tx1"/>
                  </w14:solidFill>
                </w14:textFill>
              </w:rPr>
            </w:pPr>
            <w:r>
              <w:rPr>
                <w:rFonts w:hint="eastAsia"/>
                <w:color w:val="000000" w:themeColor="text1"/>
                <w:kern w:val="0"/>
                <w:sz w:val="24"/>
                <w:u w:val="none"/>
                <w14:textFill>
                  <w14:solidFill>
                    <w14:schemeClr w14:val="tx1"/>
                  </w14:solidFill>
                </w14:textFill>
              </w:rPr>
              <w:t>（4）对于施工材料、渣土等运输道路应注意选线，避开居民集中区域，并控制运输时间，采取相应的降噪、减噪措施。</w:t>
            </w:r>
          </w:p>
          <w:p w14:paraId="2A756FF7">
            <w:pPr>
              <w:widowControl/>
              <w:adjustRightInd w:val="0"/>
              <w:snapToGrid w:val="0"/>
              <w:spacing w:line="360" w:lineRule="auto"/>
              <w:ind w:firstLine="480" w:firstLineChars="200"/>
              <w:rPr>
                <w:rFonts w:hint="eastAsia"/>
                <w:color w:val="000000" w:themeColor="text1"/>
                <w:kern w:val="0"/>
                <w:sz w:val="24"/>
                <w:u w:val="none"/>
                <w14:textFill>
                  <w14:solidFill>
                    <w14:schemeClr w14:val="tx1"/>
                  </w14:solidFill>
                </w14:textFill>
              </w:rPr>
            </w:pPr>
            <w:r>
              <w:rPr>
                <w:rFonts w:hint="eastAsia"/>
                <w:color w:val="000000" w:themeColor="text1"/>
                <w:kern w:val="0"/>
                <w:sz w:val="24"/>
                <w:u w:val="none"/>
                <w14:textFill>
                  <w14:solidFill>
                    <w14:schemeClr w14:val="tx1"/>
                  </w14:solidFill>
                </w14:textFill>
              </w:rPr>
              <w:t>（5）建设单位应责成施工单位在施工现场标明张布通告和投诉电话，建设单位在接到报案后应及时与当地环保部门取得联系，以便即时处理各种环境纠纷。</w:t>
            </w:r>
          </w:p>
          <w:p w14:paraId="468022B8">
            <w:pPr>
              <w:widowControl/>
              <w:adjustRightInd w:val="0"/>
              <w:snapToGrid w:val="0"/>
              <w:spacing w:line="360" w:lineRule="auto"/>
              <w:ind w:firstLine="480" w:firstLineChars="200"/>
              <w:rPr>
                <w:rFonts w:hint="eastAsia"/>
                <w:color w:val="000000" w:themeColor="text1"/>
                <w:kern w:val="0"/>
                <w:sz w:val="24"/>
                <w:u w:val="none"/>
                <w14:textFill>
                  <w14:solidFill>
                    <w14:schemeClr w14:val="tx1"/>
                  </w14:solidFill>
                </w14:textFill>
              </w:rPr>
            </w:pPr>
            <w:r>
              <w:rPr>
                <w:rFonts w:hint="eastAsia"/>
                <w:color w:val="000000" w:themeColor="text1"/>
                <w:kern w:val="0"/>
                <w:sz w:val="24"/>
                <w:u w:val="none"/>
                <w14:textFill>
                  <w14:solidFill>
                    <w14:schemeClr w14:val="tx1"/>
                  </w14:solidFill>
                </w14:textFill>
              </w:rPr>
              <w:t>（6）建设单位应与运输部门共同做好驾驶员的职业道德教育，按规定路线运输，按规定地点处置，并不定期地检查执行的情况。</w:t>
            </w:r>
          </w:p>
          <w:p w14:paraId="77B9B550">
            <w:pPr>
              <w:widowControl/>
              <w:adjustRightInd w:val="0"/>
              <w:snapToGrid w:val="0"/>
              <w:spacing w:line="360" w:lineRule="auto"/>
              <w:ind w:firstLine="480" w:firstLineChars="200"/>
              <w:rPr>
                <w:color w:val="000000" w:themeColor="text1"/>
                <w:kern w:val="0"/>
                <w:sz w:val="24"/>
                <w:u w:val="none"/>
                <w14:textFill>
                  <w14:solidFill>
                    <w14:schemeClr w14:val="tx1"/>
                  </w14:solidFill>
                </w14:textFill>
              </w:rPr>
            </w:pPr>
            <w:r>
              <w:rPr>
                <w:rFonts w:hint="eastAsia"/>
                <w:color w:val="000000" w:themeColor="text1"/>
                <w:kern w:val="0"/>
                <w:sz w:val="24"/>
                <w:u w:val="none"/>
                <w14:textFill>
                  <w14:solidFill>
                    <w14:schemeClr w14:val="tx1"/>
                  </w14:solidFill>
                </w14:textFill>
              </w:rPr>
              <w:t>施工噪声将对沿线声环境质量产生一定的影响，但这种影响是短期的、局部的，会随施工活动的结束而消失。建议施工期间合理选择施工机械并合理安排各种施工机械操作的时间。施工场地的布设应尽量避开居民区等，施工时段避开居民休息时间。施工期噪声污染源主要有施工作业噪声以及运输车辆交通噪声，在采取相应的工程及管理措施后，项目施工期对区域声环境的影响可得到较好控制，对各声环境敏感目标的影响可以接受</w:t>
            </w:r>
            <w:r>
              <w:rPr>
                <w:color w:val="000000" w:themeColor="text1"/>
                <w:kern w:val="0"/>
                <w:sz w:val="24"/>
                <w:u w:val="none"/>
                <w14:textFill>
                  <w14:solidFill>
                    <w14:schemeClr w14:val="tx1"/>
                  </w14:solidFill>
                </w14:textFill>
              </w:rPr>
              <w:t>。</w:t>
            </w:r>
          </w:p>
          <w:p w14:paraId="3813CA38">
            <w:pPr>
              <w:adjustRightInd w:val="0"/>
              <w:snapToGrid w:val="0"/>
              <w:spacing w:line="360" w:lineRule="auto"/>
              <w:ind w:firstLine="482" w:firstLineChars="200"/>
              <w:rPr>
                <w:rFonts w:hint="eastAsia"/>
                <w:b/>
                <w:bCs/>
                <w:color w:val="000000" w:themeColor="text1"/>
                <w:sz w:val="24"/>
                <w:u w:val="none"/>
                <w14:textFill>
                  <w14:solidFill>
                    <w14:schemeClr w14:val="tx1"/>
                  </w14:solidFill>
                </w14:textFill>
              </w:rPr>
            </w:pPr>
            <w:r>
              <w:rPr>
                <w:rFonts w:hint="eastAsia"/>
                <w:b/>
                <w:bCs/>
                <w:color w:val="000000" w:themeColor="text1"/>
                <w:sz w:val="24"/>
                <w:u w:val="none"/>
                <w:lang w:val="en-US" w:eastAsia="zh-CN"/>
                <w14:textFill>
                  <w14:solidFill>
                    <w14:schemeClr w14:val="tx1"/>
                  </w14:solidFill>
                </w14:textFill>
              </w:rPr>
              <w:t>四</w:t>
            </w:r>
            <w:r>
              <w:rPr>
                <w:b/>
                <w:bCs/>
                <w:color w:val="000000" w:themeColor="text1"/>
                <w:sz w:val="24"/>
                <w:u w:val="none"/>
                <w14:textFill>
                  <w14:solidFill>
                    <w14:schemeClr w14:val="tx1"/>
                  </w14:solidFill>
                </w14:textFill>
              </w:rPr>
              <w:t>、</w:t>
            </w:r>
            <w:r>
              <w:rPr>
                <w:rFonts w:hint="eastAsia"/>
                <w:b/>
                <w:bCs/>
                <w:color w:val="000000" w:themeColor="text1"/>
                <w:sz w:val="24"/>
                <w:u w:val="none"/>
                <w14:textFill>
                  <w14:solidFill>
                    <w14:schemeClr w14:val="tx1"/>
                  </w14:solidFill>
                </w14:textFill>
              </w:rPr>
              <w:t>施工期固体废物环境保护措施</w:t>
            </w:r>
          </w:p>
          <w:p w14:paraId="550657F9">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对本项目特点和区域特征，环评要求对施工固体废弃物采取以下治理措施：</w:t>
            </w:r>
          </w:p>
          <w:p w14:paraId="6E6FCC57">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①产生的弃土应集中运送至指定地点，运输弃土的车辆采取用帆布覆盖车厢，避免运输过程洒落或被风吹散，对运输沿线造成影响；</w:t>
            </w:r>
            <w:r>
              <w:rPr>
                <w:rFonts w:hint="eastAsia" w:ascii="Times New Roman" w:hAnsi="Times New Roman" w:eastAsia="宋体" w:cs="Times New Roman"/>
                <w:b w:val="0"/>
                <w:bCs w:val="0"/>
                <w:color w:val="auto"/>
                <w:spacing w:val="0"/>
                <w:sz w:val="24"/>
                <w:szCs w:val="24"/>
                <w:u w:val="none"/>
                <w:lang w:val="en-US" w:eastAsia="zh-CN"/>
              </w:rPr>
              <w:t>工程开挖的表土单独存放，施工期结束后用于场地复绿。</w:t>
            </w:r>
          </w:p>
          <w:p w14:paraId="12361F03">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②建筑垃圾能回收的尽量回收利用或买卖处理；不能利用或回收部分定点堆放，统一清运；</w:t>
            </w:r>
          </w:p>
          <w:p w14:paraId="11A98C16">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③生活垃圾分类集中收集后，交由当地环卫部门定期清运。</w:t>
            </w:r>
          </w:p>
          <w:p w14:paraId="52244324">
            <w:pPr>
              <w:numPr>
                <w:ilvl w:val="0"/>
                <w:numId w:val="0"/>
              </w:numPr>
              <w:adjustRightInd w:val="0"/>
              <w:snapToGrid w:val="0"/>
              <w:spacing w:line="360" w:lineRule="auto"/>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none"/>
                <w14:textFill>
                  <w14:solidFill>
                    <w14:schemeClr w14:val="tx1"/>
                  </w14:solidFill>
                </w14:textFill>
              </w:rPr>
              <w:t>项目固体废物经统一收集、及时清运后，对周边环境影响较小。</w:t>
            </w:r>
          </w:p>
          <w:p w14:paraId="2554AF48">
            <w:pPr>
              <w:adjustRightInd w:val="0"/>
              <w:snapToGrid w:val="0"/>
              <w:spacing w:line="360" w:lineRule="auto"/>
              <w:ind w:firstLine="482" w:firstLineChars="200"/>
              <w:rPr>
                <w:rFonts w:hint="eastAsia"/>
                <w:color w:val="000000" w:themeColor="text1"/>
                <w:sz w:val="24"/>
                <w:u w:val="none"/>
                <w14:textFill>
                  <w14:solidFill>
                    <w14:schemeClr w14:val="tx1"/>
                  </w14:solidFill>
                </w14:textFill>
              </w:rPr>
            </w:pPr>
            <w:r>
              <w:rPr>
                <w:rFonts w:hint="eastAsia"/>
                <w:b/>
                <w:bCs/>
                <w:color w:val="000000" w:themeColor="text1"/>
                <w:sz w:val="24"/>
                <w:u w:val="none"/>
                <w:lang w:val="en-US" w:eastAsia="zh-CN"/>
                <w14:textFill>
                  <w14:solidFill>
                    <w14:schemeClr w14:val="tx1"/>
                  </w14:solidFill>
                </w14:textFill>
              </w:rPr>
              <w:t>五、</w:t>
            </w:r>
            <w:r>
              <w:rPr>
                <w:rFonts w:hint="eastAsia"/>
                <w:b/>
                <w:bCs/>
                <w:color w:val="000000" w:themeColor="text1"/>
                <w:sz w:val="24"/>
                <w:u w:val="none"/>
                <w14:textFill>
                  <w14:solidFill>
                    <w14:schemeClr w14:val="tx1"/>
                  </w14:solidFill>
                </w14:textFill>
              </w:rPr>
              <w:t>施工期生态环境影响防控措施</w:t>
            </w:r>
          </w:p>
          <w:p w14:paraId="60372A23">
            <w:pPr>
              <w:adjustRightInd w:val="0"/>
              <w:snapToGrid w:val="0"/>
              <w:spacing w:line="360" w:lineRule="auto"/>
              <w:ind w:firstLine="482" w:firstLineChars="200"/>
              <w:rPr>
                <w:rFonts w:hint="eastAsia"/>
                <w:b/>
                <w:bCs/>
                <w:color w:val="auto"/>
                <w:sz w:val="24"/>
                <w:u w:val="none"/>
              </w:rPr>
            </w:pPr>
            <w:r>
              <w:rPr>
                <w:rFonts w:hint="eastAsia"/>
                <w:b/>
                <w:bCs/>
                <w:color w:val="auto"/>
                <w:sz w:val="24"/>
                <w:u w:val="none"/>
              </w:rPr>
              <w:t>1、避让措施</w:t>
            </w:r>
          </w:p>
          <w:p w14:paraId="665DE9EB">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①施工前对相关施工人员广泛宣传野生动植物保护的法律法规与政策，增强他们对野生动植物的保护意识。施工区域增加宣传牌，强调对野生动植物保护的重要性。加强对施工人员的教育和管理，通过制度化严禁施工人员猎捕蛙类、蛇类、兽类、鸟类（包括鸟蛋）等野生动物和从事其他有碍生态保护的活动，保护野生动物及生境。</w:t>
            </w:r>
          </w:p>
          <w:p w14:paraId="71128FE3">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②优化施工布置，减小施工地表扰动。在工程施工当中，应加强管理，限定施工区域，不准擅自扩大施工场地，减少人为对地表植被的破坏；优化施工时序，施工进场应控制在10~11月内，避开鸟类的繁殖期；明确施工工序，杜绝超挖、乱挖等不规范施工方式；施工期间，在施工人员活动较集中的施工营地、交通干道入口处等区域分别设置生态警示牌；避免车辆在运输过程中对当地植被的碾压，尽量减少对区域植被的破坏，同时要注意避免扬尘、施工废水及生活污水对区域土壤的污染，保证施工对区域植物生境的破坏最小化。</w:t>
            </w:r>
          </w:p>
          <w:p w14:paraId="09DB651C">
            <w:pPr>
              <w:adjustRightInd w:val="0"/>
              <w:snapToGrid w:val="0"/>
              <w:spacing w:line="360" w:lineRule="auto"/>
              <w:ind w:firstLine="482" w:firstLineChars="200"/>
              <w:rPr>
                <w:rFonts w:hint="eastAsia"/>
                <w:b/>
                <w:bCs/>
                <w:color w:val="000000" w:themeColor="text1"/>
                <w:sz w:val="24"/>
                <w:u w:val="none"/>
                <w14:textFill>
                  <w14:solidFill>
                    <w14:schemeClr w14:val="tx1"/>
                  </w14:solidFill>
                </w14:textFill>
              </w:rPr>
            </w:pPr>
            <w:r>
              <w:rPr>
                <w:rFonts w:hint="eastAsia"/>
                <w:b/>
                <w:bCs/>
                <w:color w:val="000000" w:themeColor="text1"/>
                <w:sz w:val="24"/>
                <w:u w:val="none"/>
                <w:lang w:val="en-US" w:eastAsia="zh-CN"/>
                <w14:textFill>
                  <w14:solidFill>
                    <w14:schemeClr w14:val="tx1"/>
                  </w14:solidFill>
                </w14:textFill>
              </w:rPr>
              <w:t>2、</w:t>
            </w:r>
            <w:r>
              <w:rPr>
                <w:rFonts w:hint="eastAsia"/>
                <w:b/>
                <w:bCs/>
                <w:color w:val="000000" w:themeColor="text1"/>
                <w:sz w:val="24"/>
                <w:u w:val="none"/>
                <w14:textFill>
                  <w14:solidFill>
                    <w14:schemeClr w14:val="tx1"/>
                  </w14:solidFill>
                </w14:textFill>
              </w:rPr>
              <w:t>陆生生态保护措施</w:t>
            </w:r>
          </w:p>
          <w:p w14:paraId="53B800DF">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lang w:eastAsia="zh-CN"/>
                <w14:textFill>
                  <w14:solidFill>
                    <w14:schemeClr w14:val="tx1"/>
                  </w14:solidFill>
                </w14:textFill>
              </w:rPr>
              <w:t>（</w:t>
            </w:r>
            <w:r>
              <w:rPr>
                <w:rFonts w:hint="eastAsia"/>
                <w:color w:val="000000" w:themeColor="text1"/>
                <w:sz w:val="24"/>
                <w:u w:val="none"/>
                <w:lang w:val="en-US" w:eastAsia="zh-CN"/>
                <w14:textFill>
                  <w14:solidFill>
                    <w14:schemeClr w14:val="tx1"/>
                  </w14:solidFill>
                </w14:textFill>
              </w:rPr>
              <w:t>1</w:t>
            </w:r>
            <w:r>
              <w:rPr>
                <w:rFonts w:hint="eastAsia"/>
                <w:color w:val="000000" w:themeColor="text1"/>
                <w:sz w:val="24"/>
                <w:u w:val="none"/>
                <w:lang w:eastAsia="zh-CN"/>
                <w14:textFill>
                  <w14:solidFill>
                    <w14:schemeClr w14:val="tx1"/>
                  </w14:solidFill>
                </w14:textFill>
              </w:rPr>
              <w:t>）</w:t>
            </w:r>
            <w:r>
              <w:rPr>
                <w:rFonts w:hint="eastAsia"/>
                <w:color w:val="000000" w:themeColor="text1"/>
                <w:sz w:val="24"/>
                <w:u w:val="none"/>
                <w14:textFill>
                  <w14:solidFill>
                    <w14:schemeClr w14:val="tx1"/>
                  </w14:solidFill>
                </w14:textFill>
              </w:rPr>
              <w:t>水土流失减缓措施</w:t>
            </w:r>
          </w:p>
          <w:p w14:paraId="1466CB78">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工程施工前对扰动范围内的耕地、草地等需剥离区域采取表土剥离措施，按照“三分一回填”要求，剥离表土临时堆至布设的临时堆土场内，并采取开挖排水沟、遮盖等临时防护措施避免水土流失，在工程施工结束后，将表土回覆用于植被绿化，并进行土地整治。</w:t>
            </w:r>
          </w:p>
          <w:p w14:paraId="07F93B14">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lang w:eastAsia="zh-CN"/>
                <w14:textFill>
                  <w14:solidFill>
                    <w14:schemeClr w14:val="tx1"/>
                  </w14:solidFill>
                </w14:textFill>
              </w:rPr>
              <w:t>（</w:t>
            </w:r>
            <w:r>
              <w:rPr>
                <w:rFonts w:hint="eastAsia"/>
                <w:color w:val="000000" w:themeColor="text1"/>
                <w:sz w:val="24"/>
                <w:u w:val="none"/>
                <w:lang w:val="en-US" w:eastAsia="zh-CN"/>
                <w14:textFill>
                  <w14:solidFill>
                    <w14:schemeClr w14:val="tx1"/>
                  </w14:solidFill>
                </w14:textFill>
              </w:rPr>
              <w:t>2</w:t>
            </w:r>
            <w:r>
              <w:rPr>
                <w:rFonts w:hint="eastAsia"/>
                <w:color w:val="000000" w:themeColor="text1"/>
                <w:sz w:val="24"/>
                <w:u w:val="none"/>
                <w:lang w:eastAsia="zh-CN"/>
                <w14:textFill>
                  <w14:solidFill>
                    <w14:schemeClr w14:val="tx1"/>
                  </w14:solidFill>
                </w14:textFill>
              </w:rPr>
              <w:t>）</w:t>
            </w:r>
            <w:r>
              <w:rPr>
                <w:rFonts w:hint="eastAsia"/>
                <w:color w:val="000000" w:themeColor="text1"/>
                <w:sz w:val="24"/>
                <w:u w:val="none"/>
                <w14:textFill>
                  <w14:solidFill>
                    <w14:schemeClr w14:val="tx1"/>
                  </w14:solidFill>
                </w14:textFill>
              </w:rPr>
              <w:t>野生植物保护措施</w:t>
            </w:r>
          </w:p>
          <w:p w14:paraId="56EBEDA4">
            <w:pPr>
              <w:keepNext w:val="0"/>
              <w:keepLines w:val="0"/>
              <w:pageBreakBefore w:val="0"/>
              <w:widowControl w:val="0"/>
              <w:kinsoku/>
              <w:wordWrap/>
              <w:overflowPunct/>
              <w:topLinePunct w:val="0"/>
              <w:autoSpaceDE/>
              <w:autoSpaceDN/>
              <w:bidi w:val="0"/>
              <w:adjustRightInd/>
              <w:snapToGrid/>
              <w:spacing w:line="360" w:lineRule="auto"/>
              <w:ind w:left="37" w:right="32" w:firstLine="487"/>
              <w:textAlignment w:val="auto"/>
              <w:outlineLvl w:val="9"/>
              <w:rPr>
                <w:rFonts w:hint="default" w:ascii="Times New Roman" w:hAnsi="Times New Roman" w:eastAsia="宋体" w:cs="Times New Roman"/>
                <w:b w:val="0"/>
                <w:bCs w:val="0"/>
                <w:color w:val="auto"/>
                <w:spacing w:val="0"/>
                <w:sz w:val="24"/>
                <w:szCs w:val="24"/>
              </w:rPr>
            </w:pPr>
            <w:r>
              <w:rPr>
                <w:rFonts w:hint="eastAsia"/>
                <w:color w:val="000000" w:themeColor="text1"/>
                <w:sz w:val="24"/>
                <w:u w:val="none"/>
                <w14:textFill>
                  <w14:solidFill>
                    <w14:schemeClr w14:val="tx1"/>
                  </w14:solidFill>
                </w14:textFill>
              </w:rPr>
              <w:t>①</w:t>
            </w:r>
            <w:r>
              <w:rPr>
                <w:rFonts w:hint="default" w:ascii="Times New Roman" w:hAnsi="Times New Roman" w:eastAsia="宋体" w:cs="Times New Roman"/>
                <w:b w:val="0"/>
                <w:bCs w:val="0"/>
                <w:color w:val="auto"/>
                <w:spacing w:val="0"/>
                <w:sz w:val="24"/>
                <w:szCs w:val="24"/>
              </w:rPr>
              <w:t>合理规划施工布置，优化施工占地和扰动范围，尽可能减免工程施工对工程区及影响区的陆生植物造成不利影响，施工布置尽量不占用林地</w:t>
            </w:r>
            <w:r>
              <w:rPr>
                <w:rFonts w:hint="eastAsia" w:ascii="Times New Roman" w:hAnsi="Times New Roman" w:eastAsia="宋体" w:cs="Times New Roman"/>
                <w:b w:val="0"/>
                <w:bCs w:val="0"/>
                <w:color w:val="auto"/>
                <w:spacing w:val="0"/>
                <w:sz w:val="24"/>
                <w:szCs w:val="24"/>
                <w:lang w:eastAsia="zh-CN"/>
              </w:rPr>
              <w:t>、</w:t>
            </w:r>
            <w:r>
              <w:rPr>
                <w:rFonts w:hint="eastAsia" w:ascii="Times New Roman" w:hAnsi="Times New Roman" w:eastAsia="宋体" w:cs="Times New Roman"/>
                <w:b w:val="0"/>
                <w:bCs w:val="0"/>
                <w:color w:val="auto"/>
                <w:spacing w:val="0"/>
                <w:sz w:val="24"/>
                <w:szCs w:val="24"/>
                <w:lang w:val="en-US" w:eastAsia="zh-CN"/>
              </w:rPr>
              <w:t>耕地</w:t>
            </w:r>
            <w:r>
              <w:rPr>
                <w:rFonts w:hint="default" w:ascii="Times New Roman" w:hAnsi="Times New Roman" w:eastAsia="宋体" w:cs="Times New Roman"/>
                <w:b w:val="0"/>
                <w:bCs w:val="0"/>
                <w:color w:val="auto"/>
                <w:spacing w:val="0"/>
                <w:sz w:val="24"/>
                <w:szCs w:val="24"/>
              </w:rPr>
              <w:t>。</w:t>
            </w:r>
          </w:p>
          <w:p w14:paraId="1C4F837A">
            <w:pPr>
              <w:keepNext w:val="0"/>
              <w:keepLines w:val="0"/>
              <w:pageBreakBefore w:val="0"/>
              <w:widowControl w:val="0"/>
              <w:kinsoku/>
              <w:wordWrap/>
              <w:overflowPunct/>
              <w:topLinePunct w:val="0"/>
              <w:autoSpaceDE/>
              <w:autoSpaceDN/>
              <w:bidi w:val="0"/>
              <w:adjustRightInd/>
              <w:snapToGrid/>
              <w:spacing w:line="360" w:lineRule="auto"/>
              <w:ind w:left="37" w:right="29" w:firstLine="487"/>
              <w:textAlignment w:val="auto"/>
              <w:outlineLvl w:val="9"/>
              <w:rPr>
                <w:rFonts w:hint="default" w:ascii="Times New Roman" w:hAnsi="Times New Roman" w:eastAsia="宋体" w:cs="Times New Roman"/>
                <w:b w:val="0"/>
                <w:bCs w:val="0"/>
                <w:color w:val="auto"/>
                <w:spacing w:val="0"/>
                <w:sz w:val="24"/>
                <w:szCs w:val="24"/>
              </w:rPr>
            </w:pPr>
            <w:r>
              <w:rPr>
                <w:rFonts w:hint="eastAsia"/>
                <w:color w:val="000000" w:themeColor="text1"/>
                <w:sz w:val="24"/>
                <w:u w:val="none"/>
                <w14:textFill>
                  <w14:solidFill>
                    <w14:schemeClr w14:val="tx1"/>
                  </w14:solidFill>
                </w14:textFill>
              </w:rPr>
              <w:t>②</w:t>
            </w:r>
            <w:r>
              <w:rPr>
                <w:rFonts w:hint="default" w:ascii="Times New Roman" w:hAnsi="Times New Roman" w:eastAsia="宋体" w:cs="Times New Roman"/>
                <w:b w:val="0"/>
                <w:bCs w:val="0"/>
                <w:color w:val="auto"/>
                <w:spacing w:val="0"/>
                <w:sz w:val="24"/>
                <w:szCs w:val="24"/>
              </w:rPr>
              <w:t>加强施工管理，在指定位置搭建临时堆放场，在工程施工区设置警示牌标明施工活动区，严禁施工人员到非施工区域活动，严禁施工车辆、机械到非施工区域停放，禁止破坏施工征地范围以外的植被，最大限度减免工程施工对陆生植物的破坏。</w:t>
            </w:r>
          </w:p>
          <w:p w14:paraId="64EAFA05">
            <w:pPr>
              <w:keepNext w:val="0"/>
              <w:keepLines w:val="0"/>
              <w:pageBreakBefore w:val="0"/>
              <w:widowControl w:val="0"/>
              <w:kinsoku/>
              <w:wordWrap/>
              <w:overflowPunct/>
              <w:topLinePunct w:val="0"/>
              <w:autoSpaceDE/>
              <w:autoSpaceDN/>
              <w:bidi w:val="0"/>
              <w:adjustRightInd/>
              <w:snapToGrid/>
              <w:spacing w:line="360" w:lineRule="auto"/>
              <w:ind w:left="40" w:right="29" w:firstLine="484"/>
              <w:textAlignment w:val="auto"/>
              <w:outlineLvl w:val="9"/>
              <w:rPr>
                <w:rFonts w:hint="default" w:ascii="Times New Roman" w:hAnsi="Times New Roman" w:eastAsia="宋体" w:cs="Times New Roman"/>
                <w:b w:val="0"/>
                <w:bCs w:val="0"/>
                <w:color w:val="auto"/>
                <w:spacing w:val="0"/>
                <w:sz w:val="24"/>
                <w:szCs w:val="24"/>
              </w:rPr>
            </w:pPr>
            <w:r>
              <w:rPr>
                <w:rFonts w:hint="eastAsia"/>
                <w:color w:val="000000" w:themeColor="text1"/>
                <w:sz w:val="24"/>
                <w:u w:val="none"/>
                <w14:textFill>
                  <w14:solidFill>
                    <w14:schemeClr w14:val="tx1"/>
                  </w14:solidFill>
                </w14:textFill>
              </w:rPr>
              <w:t>③</w:t>
            </w:r>
            <w:r>
              <w:rPr>
                <w:rFonts w:hint="default" w:ascii="Times New Roman" w:hAnsi="Times New Roman" w:eastAsia="宋体" w:cs="Times New Roman"/>
                <w:b w:val="0"/>
                <w:bCs w:val="0"/>
                <w:color w:val="auto"/>
                <w:spacing w:val="0"/>
                <w:sz w:val="24"/>
                <w:szCs w:val="24"/>
              </w:rPr>
              <w:t>采取施工扬尘控制措施，保护施工区周围的植物群落生境。配备洒水车定时洒水，抑制材料运输和场地开挖等施工活动产生的扬尘污染；减少施工扬尘的产生量，防止施工扬尘对周围植被生境和植物生长产生不利影响。</w:t>
            </w:r>
          </w:p>
          <w:p w14:paraId="1FDED746">
            <w:pPr>
              <w:adjustRightInd w:val="0"/>
              <w:snapToGrid w:val="0"/>
              <w:spacing w:line="360" w:lineRule="auto"/>
              <w:ind w:firstLine="480" w:firstLineChars="200"/>
              <w:rPr>
                <w:rFonts w:hint="eastAsia"/>
                <w:color w:val="000000" w:themeColor="text1"/>
                <w:sz w:val="24"/>
                <w:u w:val="single"/>
                <w14:textFill>
                  <w14:solidFill>
                    <w14:schemeClr w14:val="tx1"/>
                  </w14:solidFill>
                </w14:textFill>
              </w:rPr>
            </w:pPr>
            <w:r>
              <w:rPr>
                <w:rFonts w:hint="eastAsia" w:ascii="宋体" w:hAnsi="宋体" w:eastAsia="宋体" w:cs="宋体"/>
                <w:b w:val="0"/>
                <w:bCs w:val="0"/>
                <w:color w:val="auto"/>
                <w:spacing w:val="0"/>
                <w:sz w:val="24"/>
                <w:szCs w:val="24"/>
                <w:lang w:eastAsia="zh-CN"/>
              </w:rPr>
              <w:t>④</w:t>
            </w:r>
            <w:r>
              <w:rPr>
                <w:rFonts w:hint="default" w:ascii="Times New Roman" w:hAnsi="Times New Roman" w:eastAsia="宋体" w:cs="Times New Roman"/>
                <w:b w:val="0"/>
                <w:bCs w:val="0"/>
                <w:color w:val="auto"/>
                <w:spacing w:val="0"/>
                <w:sz w:val="24"/>
                <w:szCs w:val="24"/>
              </w:rPr>
              <w:t>在施工完成后，对施工区内临时占地破坏的植物物种进行恢复。施工迹地植被恢复采用当地树种、草种，可优先采用原自然植被的建群种；不可引进外来植物，以维护当地陆生生态安全</w:t>
            </w:r>
            <w:r>
              <w:rPr>
                <w:rFonts w:hint="eastAsia"/>
                <w:color w:val="000000" w:themeColor="text1"/>
                <w:sz w:val="24"/>
                <w:u w:val="none"/>
                <w14:textFill>
                  <w14:solidFill>
                    <w14:schemeClr w14:val="tx1"/>
                  </w14:solidFill>
                </w14:textFill>
              </w:rPr>
              <w:t>。</w:t>
            </w:r>
          </w:p>
          <w:p w14:paraId="33CBDE6D">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lang w:eastAsia="zh-CN"/>
                <w14:textFill>
                  <w14:solidFill>
                    <w14:schemeClr w14:val="tx1"/>
                  </w14:solidFill>
                </w14:textFill>
              </w:rPr>
              <w:t>（</w:t>
            </w:r>
            <w:r>
              <w:rPr>
                <w:rFonts w:hint="eastAsia"/>
                <w:color w:val="000000" w:themeColor="text1"/>
                <w:sz w:val="24"/>
                <w:u w:val="none"/>
                <w:lang w:val="en-US" w:eastAsia="zh-CN"/>
                <w14:textFill>
                  <w14:solidFill>
                    <w14:schemeClr w14:val="tx1"/>
                  </w14:solidFill>
                </w14:textFill>
              </w:rPr>
              <w:t>3</w:t>
            </w:r>
            <w:r>
              <w:rPr>
                <w:rFonts w:hint="eastAsia"/>
                <w:color w:val="000000" w:themeColor="text1"/>
                <w:sz w:val="24"/>
                <w:u w:val="none"/>
                <w:lang w:eastAsia="zh-CN"/>
                <w14:textFill>
                  <w14:solidFill>
                    <w14:schemeClr w14:val="tx1"/>
                  </w14:solidFill>
                </w14:textFill>
              </w:rPr>
              <w:t>）</w:t>
            </w:r>
            <w:r>
              <w:rPr>
                <w:rFonts w:hint="eastAsia"/>
                <w:color w:val="000000" w:themeColor="text1"/>
                <w:sz w:val="24"/>
                <w:u w:val="none"/>
                <w14:textFill>
                  <w14:solidFill>
                    <w14:schemeClr w14:val="tx1"/>
                  </w14:solidFill>
                </w14:textFill>
              </w:rPr>
              <w:t>陆生动物保护措施</w:t>
            </w:r>
          </w:p>
          <w:p w14:paraId="1A50943D">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①施工应尽量安排在白天进行，夜间（22:00～次日6:00）禁止施工，要使用低噪音设备，并采取临时隔音措施。工程建设设置的路灯应使用特殊装置避免灯光射出工地之外，以减少对野生动物的干扰；</w:t>
            </w:r>
          </w:p>
          <w:p w14:paraId="32AF1D89">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②施工前对施工区内野生动物进行驱赶，使其能够转移至相邻的生境，因爬行类和两栖类的活动能力差，必要时应进行人工捕捉，放生到适宜的环境中。如施工遇到野生动物巢穴，应通知当地野生动物行政主管部门，在其指导下进行保护和转移；发现受伤、病弱、饥饿、受困、迷途的国家和地方重点保护野生动物时，应当按照《中华人民共和国野生动物保护法》《中华人民共和国陆生野生动物保护实施条例》等相关法律法规及时报告当地野生动物行政主管部门，由其采取救护措施，也可以就近送具备救护条件的救护单位；</w:t>
            </w:r>
          </w:p>
          <w:p w14:paraId="2ABE739D">
            <w:pPr>
              <w:adjustRightInd w:val="0"/>
              <w:snapToGrid w:val="0"/>
              <w:spacing w:line="360" w:lineRule="auto"/>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③实施施工监理等管理措施。整个施工期内，可采用巡检监理的方式检查生态保护措施的落实及施工人员的生态保护行为。</w:t>
            </w:r>
          </w:p>
          <w:p w14:paraId="7DD9D748">
            <w:pPr>
              <w:adjustRightInd w:val="0"/>
              <w:snapToGrid w:val="0"/>
              <w:spacing w:line="480" w:lineRule="exact"/>
              <w:ind w:firstLine="482" w:firstLineChars="200"/>
              <w:rPr>
                <w:rFonts w:hint="eastAsia"/>
                <w:b/>
                <w:bCs/>
                <w:color w:val="000000" w:themeColor="text1"/>
                <w:sz w:val="24"/>
                <w:u w:val="none"/>
                <w14:textFill>
                  <w14:solidFill>
                    <w14:schemeClr w14:val="tx1"/>
                  </w14:solidFill>
                </w14:textFill>
              </w:rPr>
            </w:pPr>
            <w:r>
              <w:rPr>
                <w:rFonts w:hint="eastAsia"/>
                <w:b/>
                <w:bCs/>
                <w:color w:val="000000" w:themeColor="text1"/>
                <w:sz w:val="24"/>
                <w:u w:val="none"/>
                <w:lang w:val="en-US" w:eastAsia="zh-CN"/>
                <w14:textFill>
                  <w14:solidFill>
                    <w14:schemeClr w14:val="tx1"/>
                  </w14:solidFill>
                </w14:textFill>
              </w:rPr>
              <w:t>2、</w:t>
            </w:r>
            <w:r>
              <w:rPr>
                <w:rFonts w:hint="eastAsia"/>
                <w:b/>
                <w:bCs/>
                <w:color w:val="000000" w:themeColor="text1"/>
                <w:sz w:val="24"/>
                <w:u w:val="none"/>
                <w14:textFill>
                  <w14:solidFill>
                    <w14:schemeClr w14:val="tx1"/>
                  </w14:solidFill>
                </w14:textFill>
              </w:rPr>
              <w:t>施工期水生生态保护措施</w:t>
            </w:r>
          </w:p>
          <w:p w14:paraId="05D191E2">
            <w:pPr>
              <w:adjustRightInd w:val="0"/>
              <w:snapToGrid w:val="0"/>
              <w:spacing w:line="480" w:lineRule="exact"/>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①加强管理，保护水质。避免因污水的直接排放对水体产生污染而引起对水生生物的影响；</w:t>
            </w:r>
          </w:p>
          <w:p w14:paraId="3297021D">
            <w:pPr>
              <w:adjustRightInd w:val="0"/>
              <w:snapToGrid w:val="0"/>
              <w:spacing w:line="480" w:lineRule="exact"/>
              <w:ind w:firstLine="480" w:firstLineChars="200"/>
              <w:rPr>
                <w:rFonts w:hint="eastAsia" w:ascii="Times New Roman" w:hAnsi="Times New Roman" w:eastAsia="宋体" w:cs="Times New Roman"/>
                <w:b w:val="0"/>
                <w:bCs w:val="0"/>
                <w:color w:val="000000" w:themeColor="text1"/>
                <w:sz w:val="24"/>
                <w:u w:val="none"/>
                <w:lang w:val="en-US" w:eastAsia="zh-CN"/>
                <w14:textFill>
                  <w14:solidFill>
                    <w14:schemeClr w14:val="tx1"/>
                  </w14:solidFill>
                </w14:textFill>
              </w:rPr>
            </w:pPr>
            <w:r>
              <w:rPr>
                <w:rFonts w:hint="eastAsia"/>
                <w:color w:val="000000" w:themeColor="text1"/>
                <w:sz w:val="24"/>
                <w:u w:val="none"/>
                <w14:textFill>
                  <w14:solidFill>
                    <w14:schemeClr w14:val="tx1"/>
                  </w14:solidFill>
                </w14:textFill>
              </w:rPr>
              <w:t>②建设单位应在施工过程中加强施工管理，严格执行施工操作规程，弃土务必运至指定地点。合理安排施工周期，在发生大暴雨时应停止施工，并采取短期覆盖措施，减</w:t>
            </w:r>
            <w:r>
              <w:rPr>
                <w:rFonts w:hint="eastAsia"/>
                <w:b w:val="0"/>
                <w:bCs w:val="0"/>
                <w:color w:val="000000" w:themeColor="text1"/>
                <w:sz w:val="24"/>
                <w:u w:val="none"/>
                <w14:textFill>
                  <w14:solidFill>
                    <w14:schemeClr w14:val="tx1"/>
                  </w14:solidFill>
                </w14:textFill>
              </w:rPr>
              <w:t>少</w:t>
            </w:r>
            <w:r>
              <w:rPr>
                <w:rFonts w:hint="eastAsia" w:ascii="Times New Roman" w:hAnsi="Times New Roman" w:eastAsia="宋体" w:cs="Times New Roman"/>
                <w:b w:val="0"/>
                <w:bCs w:val="0"/>
                <w:color w:val="000000" w:themeColor="text1"/>
                <w:sz w:val="24"/>
                <w:u w:val="none"/>
                <w:lang w:val="en-US" w:eastAsia="zh-CN"/>
                <w14:textFill>
                  <w14:solidFill>
                    <w14:schemeClr w14:val="tx1"/>
                  </w14:solidFill>
                </w14:textFill>
              </w:rPr>
              <w:t>水土流失。</w:t>
            </w:r>
          </w:p>
          <w:p w14:paraId="2CAFEB37">
            <w:pPr>
              <w:adjustRightInd w:val="0"/>
              <w:snapToGrid w:val="0"/>
              <w:spacing w:line="480" w:lineRule="exact"/>
              <w:ind w:firstLine="480" w:firstLineChars="200"/>
              <w:rPr>
                <w:rFonts w:hint="eastAsia" w:ascii="Times New Roman" w:hAnsi="Times New Roman" w:eastAsia="宋体" w:cs="Times New Roman"/>
                <w:b w:val="0"/>
                <w:bCs w:val="0"/>
                <w:color w:val="000000" w:themeColor="text1"/>
                <w:sz w:val="24"/>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u w:val="none"/>
                <w:lang w:val="en-US" w:eastAsia="zh-CN"/>
                <w14:textFill>
                  <w14:solidFill>
                    <w14:schemeClr w14:val="tx1"/>
                  </w14:solidFill>
                </w14:textFill>
              </w:rPr>
              <w:t>③</w:t>
            </w:r>
            <w:r>
              <w:rPr>
                <w:rFonts w:hint="eastAsia" w:ascii="Times New Roman" w:hAnsi="Times New Roman" w:eastAsia="宋体" w:cs="Times New Roman"/>
                <w:b w:val="0"/>
                <w:bCs w:val="0"/>
                <w:color w:val="000000" w:themeColor="text1"/>
                <w:sz w:val="24"/>
                <w:u w:val="none"/>
                <w:lang w:val="en-US" w:eastAsia="zh-CN"/>
                <w14:textFill>
                  <w14:solidFill>
                    <w14:schemeClr w14:val="tx1"/>
                  </w14:solidFill>
                </w14:textFill>
              </w:rPr>
              <w:t>加强施工活动管理，优化涉水施工工序和施工工艺，合理安排施工时间，避免在雨季或水体敏感期进行大量土方开挖等可能产生大量悬浮物的施工活动，采取设置围堰、施工挡板等措施，可减少施工活动对水体造成的直接冲击和污染。</w:t>
            </w:r>
          </w:p>
          <w:p w14:paraId="317B81A6">
            <w:pPr>
              <w:adjustRightInd w:val="0"/>
              <w:snapToGrid w:val="0"/>
              <w:spacing w:line="480" w:lineRule="exact"/>
              <w:ind w:firstLine="480" w:firstLineChars="200"/>
              <w:rPr>
                <w:rFonts w:hint="eastAsia" w:ascii="Times New Roman" w:hAnsi="Times New Roman" w:eastAsia="宋体" w:cs="Times New Roman"/>
                <w:b w:val="0"/>
                <w:bCs w:val="0"/>
                <w:color w:val="000000" w:themeColor="text1"/>
                <w:sz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u w:val="none"/>
                <w:lang w:val="en-US" w:eastAsia="zh-CN"/>
                <w14:textFill>
                  <w14:solidFill>
                    <w14:schemeClr w14:val="tx1"/>
                  </w14:solidFill>
                </w14:textFill>
              </w:rPr>
              <w:t>④</w:t>
            </w:r>
            <w:r>
              <w:rPr>
                <w:rFonts w:hint="eastAsia" w:ascii="Times New Roman" w:hAnsi="Times New Roman" w:eastAsia="宋体" w:cs="Times New Roman"/>
                <w:b w:val="0"/>
                <w:bCs w:val="0"/>
                <w:color w:val="000000" w:themeColor="text1"/>
                <w:sz w:val="24"/>
                <w:u w:val="none"/>
                <w:lang w:val="en-US" w:eastAsia="zh-CN"/>
                <w14:textFill>
                  <w14:solidFill>
                    <w14:schemeClr w14:val="tx1"/>
                  </w14:solidFill>
                </w14:textFill>
              </w:rPr>
              <w:t>建立应急联动机制，及时应对可能出现的突发水污染事件。加强施工人员的环保意识培训，禁止废水、固废入河，提升全体施工人员的环保意识，确保各项环保措施得到有效执行。</w:t>
            </w:r>
          </w:p>
          <w:p w14:paraId="70F897DF">
            <w:pPr>
              <w:adjustRightInd w:val="0"/>
              <w:snapToGrid w:val="0"/>
              <w:spacing w:line="480" w:lineRule="exact"/>
              <w:ind w:firstLine="482" w:firstLineChars="200"/>
              <w:rPr>
                <w:rFonts w:hint="eastAsia"/>
                <w:b/>
                <w:bCs/>
                <w:color w:val="000000" w:themeColor="text1"/>
                <w:sz w:val="24"/>
                <w:u w:val="none"/>
                <w14:textFill>
                  <w14:solidFill>
                    <w14:schemeClr w14:val="tx1"/>
                  </w14:solidFill>
                </w14:textFill>
              </w:rPr>
            </w:pPr>
            <w:r>
              <w:rPr>
                <w:rFonts w:hint="eastAsia"/>
                <w:b/>
                <w:bCs/>
                <w:color w:val="000000" w:themeColor="text1"/>
                <w:sz w:val="24"/>
                <w:u w:val="none"/>
                <w:lang w:val="en-US" w:eastAsia="zh-CN"/>
                <w14:textFill>
                  <w14:solidFill>
                    <w14:schemeClr w14:val="tx1"/>
                  </w14:solidFill>
                </w14:textFill>
              </w:rPr>
              <w:t>3、施工期</w:t>
            </w:r>
            <w:r>
              <w:rPr>
                <w:rFonts w:hint="eastAsia"/>
                <w:b/>
                <w:bCs/>
                <w:color w:val="000000" w:themeColor="text1"/>
                <w:sz w:val="24"/>
                <w:u w:val="none"/>
                <w14:textFill>
                  <w14:solidFill>
                    <w14:schemeClr w14:val="tx1"/>
                  </w14:solidFill>
                </w14:textFill>
              </w:rPr>
              <w:t>景观保护措施</w:t>
            </w:r>
          </w:p>
          <w:p w14:paraId="1C08DEDD">
            <w:pPr>
              <w:adjustRightInd w:val="0"/>
              <w:snapToGrid w:val="0"/>
              <w:spacing w:line="480" w:lineRule="exact"/>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①施工工地必须封闭，进行文明施工，施工围墙可以加以景观修饰，起到美化的效果，减少由杂乱的施工场地引起的视觉冲击。</w:t>
            </w:r>
          </w:p>
          <w:p w14:paraId="6213CA9B">
            <w:pPr>
              <w:adjustRightInd w:val="0"/>
              <w:snapToGrid w:val="0"/>
              <w:spacing w:line="480" w:lineRule="exact"/>
              <w:ind w:firstLine="480" w:firstLineChars="200"/>
              <w:rPr>
                <w:rFonts w:hint="eastAsia" w:ascii="Times New Roman" w:hAnsi="Times New Roman" w:eastAsia="宋体" w:cs="Times New Roman"/>
                <w:b w:val="0"/>
                <w:bCs w:val="0"/>
                <w:color w:val="000000" w:themeColor="text1"/>
                <w:sz w:val="24"/>
                <w:u w:val="none"/>
                <w:lang w:val="en-US" w:eastAsia="zh-CN"/>
                <w14:textFill>
                  <w14:solidFill>
                    <w14:schemeClr w14:val="tx1"/>
                  </w14:solidFill>
                </w14:textFill>
              </w:rPr>
            </w:pPr>
            <w:r>
              <w:rPr>
                <w:rFonts w:hint="eastAsia"/>
                <w:color w:val="000000" w:themeColor="text1"/>
                <w:sz w:val="24"/>
                <w:u w:val="none"/>
                <w14:textFill>
                  <w14:solidFill>
                    <w14:schemeClr w14:val="tx1"/>
                  </w14:solidFill>
                </w14:textFill>
              </w:rPr>
              <w:t>②施工现场做好排水</w:t>
            </w:r>
            <w:r>
              <w:rPr>
                <w:rFonts w:hint="eastAsia" w:ascii="Times New Roman" w:hAnsi="Times New Roman" w:eastAsia="宋体" w:cs="Times New Roman"/>
                <w:b w:val="0"/>
                <w:bCs w:val="0"/>
                <w:color w:val="000000" w:themeColor="text1"/>
                <w:sz w:val="24"/>
                <w:u w:val="none"/>
                <w:lang w:val="en-US" w:eastAsia="zh-CN"/>
                <w14:textFill>
                  <w14:solidFill>
                    <w14:schemeClr w14:val="tx1"/>
                  </w14:solidFill>
                </w14:textFill>
              </w:rPr>
              <w:t>沟渠，避免雨季产生大量高浊度废水无序排放。</w:t>
            </w:r>
          </w:p>
          <w:p w14:paraId="1BA5295A">
            <w:pPr>
              <w:adjustRightInd w:val="0"/>
              <w:snapToGrid w:val="0"/>
              <w:spacing w:line="480" w:lineRule="exact"/>
              <w:ind w:firstLine="480" w:firstLineChars="200"/>
              <w:rPr>
                <w:rFonts w:hint="eastAsia" w:ascii="Times New Roman" w:hAnsi="Times New Roman" w:eastAsia="宋体" w:cs="Times New Roman"/>
                <w:b w:val="0"/>
                <w:bCs w:val="0"/>
                <w:color w:val="000000" w:themeColor="text1"/>
                <w:sz w:val="24"/>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u w:val="none"/>
                <w:lang w:val="en-US" w:eastAsia="zh-CN"/>
                <w14:textFill>
                  <w14:solidFill>
                    <w14:schemeClr w14:val="tx1"/>
                  </w14:solidFill>
                </w14:textFill>
              </w:rPr>
              <w:t>③施工完成后及时进行生态修复。</w:t>
            </w:r>
          </w:p>
          <w:p w14:paraId="414A94C9">
            <w:pPr>
              <w:adjustRightInd w:val="0"/>
              <w:snapToGrid w:val="0"/>
              <w:spacing w:line="480" w:lineRule="exact"/>
              <w:ind w:firstLine="480" w:firstLineChars="200"/>
              <w:rPr>
                <w:rFonts w:hint="eastAsia" w:ascii="Times New Roman" w:hAnsi="Times New Roman" w:eastAsia="宋体" w:cs="Times New Roman"/>
                <w:b w:val="0"/>
                <w:bCs w:val="0"/>
                <w:color w:val="000000" w:themeColor="text1"/>
                <w:sz w:val="24"/>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u w:val="none"/>
                <w:lang w:val="en-US" w:eastAsia="zh-CN"/>
                <w14:textFill>
                  <w14:solidFill>
                    <w14:schemeClr w14:val="tx1"/>
                  </w14:solidFill>
                </w14:textFill>
              </w:rPr>
              <w:t>综上所述，施工期环境影响为短期影响，施工结束后即可消除。但考虑施工期对周围环境的影响，要求建设单位在建设过程中必须认真遵守各项管理制度，落实本报告提出的防治措施及建议，做到文明施工、严格管理、缩短工期，力争将项目建设过程中对周围环境产生的影响降到最低限度。</w:t>
            </w:r>
          </w:p>
          <w:p w14:paraId="2CE8B398">
            <w:pPr>
              <w:adjustRightInd w:val="0"/>
              <w:snapToGrid w:val="0"/>
              <w:spacing w:line="480" w:lineRule="exact"/>
              <w:ind w:firstLine="482" w:firstLineChars="200"/>
              <w:rPr>
                <w:rFonts w:hint="eastAsia"/>
                <w:b/>
                <w:bCs/>
                <w:color w:val="000000" w:themeColor="text1"/>
                <w:sz w:val="24"/>
                <w:u w:val="none"/>
                <w:lang w:val="en-US" w:eastAsia="zh-CN"/>
                <w14:textFill>
                  <w14:solidFill>
                    <w14:schemeClr w14:val="tx1"/>
                  </w14:solidFill>
                </w14:textFill>
              </w:rPr>
            </w:pPr>
            <w:r>
              <w:rPr>
                <w:rFonts w:hint="eastAsia"/>
                <w:b/>
                <w:bCs/>
                <w:color w:val="000000" w:themeColor="text1"/>
                <w:sz w:val="24"/>
                <w:u w:val="none"/>
                <w:lang w:val="en-US" w:eastAsia="zh-CN"/>
                <w14:textFill>
                  <w14:solidFill>
                    <w14:schemeClr w14:val="tx1"/>
                  </w14:solidFill>
                </w14:textFill>
              </w:rPr>
              <w:t>六、风险防范应急措施</w:t>
            </w:r>
          </w:p>
          <w:p w14:paraId="5240F693">
            <w:pPr>
              <w:adjustRightInd w:val="0"/>
              <w:snapToGrid w:val="0"/>
              <w:spacing w:line="480" w:lineRule="exact"/>
              <w:ind w:firstLine="480" w:firstLineChars="200"/>
              <w:rPr>
                <w:rFonts w:hint="eastAsia"/>
                <w:color w:val="000000" w:themeColor="text1"/>
                <w:sz w:val="24"/>
                <w:u w:val="none"/>
                <w:lang w:val="en-US" w:eastAsia="zh-CN"/>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（1）施工单位在施工组织安排时应详细考虑施工过程对过往车辆可能造成的影响，制定周密的施工计划，尽量减少不利影响。</w:t>
            </w:r>
          </w:p>
          <w:p w14:paraId="129B3329">
            <w:pPr>
              <w:adjustRightInd w:val="0"/>
              <w:snapToGrid w:val="0"/>
              <w:spacing w:line="480" w:lineRule="exact"/>
              <w:ind w:firstLine="480" w:firstLineChars="200"/>
              <w:rPr>
                <w:rFonts w:hint="eastAsia"/>
                <w:color w:val="000000" w:themeColor="text1"/>
                <w:sz w:val="24"/>
                <w:u w:val="none"/>
                <w:lang w:val="en-US" w:eastAsia="zh-CN"/>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（2）施工过程中，施工单位应加强内部管理，严格将施工范围限制在划定的施工作业区内。与施工作业无关的车辆、设施不得进入施工安全作业区。施工单位不得擅自扩大施工安全作业区的范围。</w:t>
            </w:r>
          </w:p>
          <w:p w14:paraId="4AD74DF1">
            <w:pPr>
              <w:adjustRightInd w:val="0"/>
              <w:snapToGrid w:val="0"/>
              <w:spacing w:line="480" w:lineRule="exact"/>
              <w:ind w:firstLine="480" w:firstLineChars="200"/>
              <w:rPr>
                <w:rFonts w:hint="eastAsia" w:eastAsia="宋体"/>
                <w:color w:val="000000" w:themeColor="text1"/>
                <w:sz w:val="24"/>
                <w:u w:val="none"/>
                <w:lang w:val="en-US" w:eastAsia="zh-CN"/>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（3）施工区、堆土场等四周设置围挡，防止废水泄露或溢流事故发生，避免废水</w:t>
            </w:r>
            <w:r>
              <w:rPr>
                <w:rFonts w:hint="eastAsia" w:eastAsia="宋体"/>
                <w:color w:val="000000" w:themeColor="text1"/>
                <w:sz w:val="24"/>
                <w:u w:val="none"/>
                <w:lang w:val="en-US" w:eastAsia="zh-CN"/>
                <w14:textFill>
                  <w14:solidFill>
                    <w14:schemeClr w14:val="tx1"/>
                  </w14:solidFill>
                </w14:textFill>
              </w:rPr>
              <w:t>通过雨水管网流至湘江饮用水源保护区，造成水质下降。</w:t>
            </w:r>
          </w:p>
          <w:p w14:paraId="046F7798">
            <w:pPr>
              <w:adjustRightInd w:val="0"/>
              <w:snapToGrid w:val="0"/>
              <w:spacing w:line="480" w:lineRule="exact"/>
              <w:ind w:firstLine="480" w:firstLineChars="200"/>
              <w:rPr>
                <w:rFonts w:hint="default" w:eastAsia="宋体"/>
                <w:color w:val="000000" w:themeColor="text1"/>
                <w:sz w:val="24"/>
                <w:u w:val="none"/>
                <w:lang w:val="en-US" w:eastAsia="zh-CN"/>
                <w14:textFill>
                  <w14:solidFill>
                    <w14:schemeClr w14:val="tx1"/>
                  </w14:solidFill>
                </w14:textFill>
              </w:rPr>
            </w:pPr>
            <w:r>
              <w:rPr>
                <w:rFonts w:hint="eastAsia" w:eastAsia="宋体"/>
                <w:color w:val="000000" w:themeColor="text1"/>
                <w:sz w:val="24"/>
                <w:u w:val="none"/>
                <w:lang w:val="en-US" w:eastAsia="zh-CN"/>
                <w14:textFill>
                  <w14:solidFill>
                    <w14:schemeClr w14:val="tx1"/>
                  </w14:solidFill>
                </w14:textFill>
              </w:rPr>
              <w:t>（4）经常检查施工机械及车辆油箱的质量是否良好，对不符合要求的油箱应及时予以更换</w:t>
            </w:r>
            <w:r>
              <w:rPr>
                <w:rFonts w:hint="default" w:eastAsia="宋体"/>
                <w:color w:val="000000" w:themeColor="text1"/>
                <w:sz w:val="24"/>
                <w:u w:val="none"/>
                <w:lang w:val="en-US" w:eastAsia="zh-CN"/>
                <w14:textFill>
                  <w14:solidFill>
                    <w14:schemeClr w14:val="tx1"/>
                  </w14:solidFill>
                </w14:textFill>
              </w:rPr>
              <w:t>。</w:t>
            </w:r>
          </w:p>
          <w:p w14:paraId="197A5BBE">
            <w:pPr>
              <w:adjustRightInd w:val="0"/>
              <w:snapToGrid w:val="0"/>
              <w:spacing w:line="480" w:lineRule="exact"/>
              <w:ind w:firstLine="480" w:firstLineChars="200"/>
              <w:rPr>
                <w:rFonts w:hint="eastAsia" w:eastAsia="宋体"/>
                <w:color w:val="000000" w:themeColor="text1"/>
                <w:sz w:val="24"/>
                <w:u w:val="none"/>
                <w:lang w:val="en-US" w:eastAsia="zh-CN"/>
                <w14:textFill>
                  <w14:solidFill>
                    <w14:schemeClr w14:val="tx1"/>
                  </w14:solidFill>
                </w14:textFill>
              </w:rPr>
            </w:pPr>
            <w:r>
              <w:rPr>
                <w:rFonts w:hint="eastAsia" w:eastAsia="宋体"/>
                <w:color w:val="000000" w:themeColor="text1"/>
                <w:sz w:val="24"/>
                <w:u w:val="none"/>
                <w:lang w:val="en-US" w:eastAsia="zh-CN"/>
                <w14:textFill>
                  <w14:solidFill>
                    <w14:schemeClr w14:val="tx1"/>
                  </w14:solidFill>
                </w14:textFill>
              </w:rPr>
              <w:t>（5）严格遵守施工消防安全培训、操作、维护规程，防止静电火花的产生</w:t>
            </w:r>
            <w:r>
              <w:rPr>
                <w:rFonts w:hint="default" w:eastAsia="宋体"/>
                <w:color w:val="000000" w:themeColor="text1"/>
                <w:sz w:val="24"/>
                <w:u w:val="none"/>
                <w:lang w:val="en-US" w:eastAsia="zh-CN"/>
                <w14:textFill>
                  <w14:solidFill>
                    <w14:schemeClr w14:val="tx1"/>
                  </w14:solidFill>
                </w14:textFill>
              </w:rPr>
              <w:t>。</w:t>
            </w:r>
          </w:p>
          <w:p w14:paraId="4B2A2DC8">
            <w:pPr>
              <w:adjustRightInd w:val="0"/>
              <w:snapToGrid w:val="0"/>
              <w:spacing w:line="480" w:lineRule="exact"/>
              <w:ind w:firstLine="480" w:firstLineChars="200"/>
              <w:rPr>
                <w:rFonts w:hint="eastAsia"/>
                <w:color w:val="000000" w:themeColor="text1"/>
                <w:sz w:val="24"/>
                <w:u w:val="none"/>
                <w:lang w:val="en-US" w:eastAsia="zh-CN"/>
                <w14:textFill>
                  <w14:solidFill>
                    <w14:schemeClr w14:val="tx1"/>
                  </w14:solidFill>
                </w14:textFill>
              </w:rPr>
            </w:pPr>
            <w:r>
              <w:rPr>
                <w:rFonts w:hint="eastAsia" w:eastAsia="宋体"/>
                <w:color w:val="000000" w:themeColor="text1"/>
                <w:sz w:val="24"/>
                <w:u w:val="none"/>
                <w:lang w:val="en-US" w:eastAsia="zh-CN"/>
                <w14:textFill>
                  <w14:solidFill>
                    <w14:schemeClr w14:val="tx1"/>
                  </w14:solidFill>
                </w14:textFill>
              </w:rPr>
              <w:t>（6）需</w:t>
            </w:r>
            <w:r>
              <w:rPr>
                <w:rFonts w:hint="eastAsia"/>
                <w:color w:val="000000" w:themeColor="text1"/>
                <w:sz w:val="24"/>
                <w:u w:val="none"/>
                <w:lang w:val="en-US" w:eastAsia="zh-CN"/>
                <w14:textFill>
                  <w14:solidFill>
                    <w14:schemeClr w14:val="tx1"/>
                  </w14:solidFill>
                </w14:textFill>
              </w:rPr>
              <w:t>配备必要溢油应急设备如围油栏、吸油毡等。溢油事故一旦发生，最早发现者应切断事故源，部门自救。立即启用应急预案，泄漏事故发生后，应在事故发生点周围布设围油栏，将溢油事故污染控制在围油栏包围的水域范围内，通知生态环境主管部门要求启动区域地方政府突发环境事件应急预案，积极配合采取必要的应急措施回收、消除溢液等措施减轻对祁水水质的影响，事后做好生态赔偿及恢复。</w:t>
            </w:r>
          </w:p>
          <w:p w14:paraId="60AE3740">
            <w:pPr>
              <w:adjustRightInd w:val="0"/>
              <w:snapToGrid w:val="0"/>
              <w:spacing w:line="480" w:lineRule="exact"/>
              <w:ind w:firstLine="482" w:firstLineChars="200"/>
              <w:rPr>
                <w:rFonts w:hint="eastAsia"/>
                <w:b/>
                <w:bCs/>
                <w:color w:val="000000" w:themeColor="text1"/>
                <w:sz w:val="24"/>
                <w:u w:val="none"/>
                <w14:textFill>
                  <w14:solidFill>
                    <w14:schemeClr w14:val="tx1"/>
                  </w14:solidFill>
                </w14:textFill>
              </w:rPr>
            </w:pPr>
            <w:r>
              <w:rPr>
                <w:rFonts w:hint="eastAsia"/>
                <w:b/>
                <w:bCs/>
                <w:color w:val="000000" w:themeColor="text1"/>
                <w:sz w:val="24"/>
                <w:u w:val="none"/>
                <w:lang w:val="en-US" w:eastAsia="zh-CN"/>
                <w14:textFill>
                  <w14:solidFill>
                    <w14:schemeClr w14:val="tx1"/>
                  </w14:solidFill>
                </w14:textFill>
              </w:rPr>
              <w:t>七、</w:t>
            </w:r>
            <w:r>
              <w:rPr>
                <w:rFonts w:hint="eastAsia"/>
                <w:b/>
                <w:bCs/>
                <w:color w:val="000000" w:themeColor="text1"/>
                <w:sz w:val="24"/>
                <w:u w:val="none"/>
                <w14:textFill>
                  <w14:solidFill>
                    <w14:schemeClr w14:val="tx1"/>
                  </w14:solidFill>
                </w14:textFill>
              </w:rPr>
              <w:t>施工期环境管理</w:t>
            </w:r>
          </w:p>
          <w:p w14:paraId="102408EC">
            <w:pPr>
              <w:adjustRightInd w:val="0"/>
              <w:snapToGrid w:val="0"/>
              <w:spacing w:line="480" w:lineRule="exact"/>
              <w:ind w:firstLine="480" w:firstLineChars="200"/>
              <w:rPr>
                <w:rFonts w:hint="eastAsia"/>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为了更好地对本项目在施工期的环境保护进行监督和管理，应建立相应的环境监理小组，制定相应的环境保护管理制度，全面管理本项目的有关环境问题，以满足区域环境保护的要求，并不断改善自身环境，达到发展经济、保护环境的目的。</w:t>
            </w:r>
          </w:p>
          <w:p w14:paraId="440A73E1">
            <w:pPr>
              <w:adjustRightInd w:val="0"/>
              <w:snapToGrid w:val="0"/>
              <w:spacing w:line="480" w:lineRule="exact"/>
              <w:ind w:firstLine="480" w:firstLineChars="200"/>
            </w:pPr>
            <w:r>
              <w:rPr>
                <w:rFonts w:hint="eastAsia"/>
                <w:color w:val="000000" w:themeColor="text1"/>
                <w:sz w:val="24"/>
                <w:u w:val="none"/>
                <w14:textFill>
                  <w14:solidFill>
                    <w14:schemeClr w14:val="tx1"/>
                  </w14:solidFill>
                </w14:textFill>
              </w:rPr>
              <w:t>为减少项目建设过程对环境的影响，建设单位不但要采取有效的防治措施，而且还应加强施工期的环境管理，确保施工对环境的影响降到最低，施工承包商在进行工程承包时，应将施工期的环境污染控制列入承包内容，包括有关的环境保护条款、施工机械、施工方法、施工进度中的环境保护要求等；对施工人员进行环保职责管理，并在工程开工前和施工过程中制定相应的环保防治措施和工程计划，包括施工过程中扬尘、噪声等排放强度等的限制。施工时还应向当地环保行政主管部门和建设主管部门进行申报，设立专人负责管理，培训工作人员。</w:t>
            </w:r>
          </w:p>
        </w:tc>
      </w:tr>
      <w:tr w14:paraId="41202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51493A68">
            <w:pPr>
              <w:jc w:val="center"/>
              <w:rPr>
                <w:color w:val="000000"/>
                <w:sz w:val="24"/>
              </w:rPr>
            </w:pPr>
            <w:r>
              <w:rPr>
                <w:rFonts w:hint="eastAsia"/>
                <w:color w:val="000000"/>
                <w:sz w:val="24"/>
              </w:rPr>
              <w:t>运营期生态环境保护措施</w:t>
            </w:r>
          </w:p>
        </w:tc>
        <w:tc>
          <w:tcPr>
            <w:tcW w:w="8557" w:type="dxa"/>
          </w:tcPr>
          <w:p w14:paraId="3EA73348">
            <w:pPr>
              <w:adjustRightInd w:val="0"/>
              <w:snapToGrid w:val="0"/>
              <w:spacing w:line="360" w:lineRule="auto"/>
              <w:ind w:firstLine="482" w:firstLineChars="200"/>
              <w:rPr>
                <w:rFonts w:hint="eastAsia"/>
                <w:b/>
                <w:color w:val="000000"/>
                <w:sz w:val="24"/>
              </w:rPr>
            </w:pPr>
            <w:r>
              <w:rPr>
                <w:rFonts w:hint="eastAsia"/>
                <w:b/>
                <w:color w:val="000000"/>
                <w:sz w:val="24"/>
                <w:lang w:val="en-US" w:eastAsia="zh-CN"/>
              </w:rPr>
              <w:t>一</w:t>
            </w:r>
            <w:r>
              <w:rPr>
                <w:rFonts w:hint="eastAsia"/>
                <w:b/>
                <w:color w:val="000000"/>
                <w:sz w:val="24"/>
              </w:rPr>
              <w:t>、运营期大气污染防控措施</w:t>
            </w:r>
          </w:p>
          <w:p w14:paraId="268F80E5">
            <w:pPr>
              <w:adjustRightInd w:val="0"/>
              <w:snapToGrid w:val="0"/>
              <w:spacing w:line="360" w:lineRule="auto"/>
              <w:ind w:firstLine="480" w:firstLineChars="200"/>
              <w:rPr>
                <w:rFonts w:hint="eastAsia"/>
                <w:color w:val="000000"/>
                <w:sz w:val="24"/>
              </w:rPr>
            </w:pPr>
            <w:r>
              <w:rPr>
                <w:rFonts w:hint="eastAsia"/>
                <w:color w:val="000000"/>
                <w:sz w:val="24"/>
              </w:rPr>
              <w:t>本项目运营期</w:t>
            </w:r>
            <w:r>
              <w:rPr>
                <w:rFonts w:hint="eastAsia"/>
                <w:color w:val="000000"/>
                <w:sz w:val="24"/>
                <w:lang w:val="en-US" w:eastAsia="zh-CN"/>
              </w:rPr>
              <w:t>无生产废气</w:t>
            </w:r>
            <w:r>
              <w:rPr>
                <w:rFonts w:hint="eastAsia"/>
                <w:color w:val="000000"/>
                <w:sz w:val="24"/>
              </w:rPr>
              <w:t>排放。</w:t>
            </w:r>
          </w:p>
          <w:p w14:paraId="5C570920">
            <w:pPr>
              <w:adjustRightInd w:val="0"/>
              <w:snapToGrid w:val="0"/>
              <w:spacing w:line="360" w:lineRule="auto"/>
              <w:ind w:firstLine="482" w:firstLineChars="200"/>
              <w:rPr>
                <w:rFonts w:hint="eastAsia"/>
                <w:b/>
                <w:bCs/>
                <w:color w:val="000000"/>
                <w:sz w:val="24"/>
              </w:rPr>
            </w:pPr>
            <w:r>
              <w:rPr>
                <w:rFonts w:hint="eastAsia"/>
                <w:b/>
                <w:bCs/>
                <w:color w:val="000000"/>
                <w:sz w:val="24"/>
                <w:lang w:val="en-US" w:eastAsia="zh-CN"/>
              </w:rPr>
              <w:t>二、</w:t>
            </w:r>
            <w:r>
              <w:rPr>
                <w:rFonts w:hint="eastAsia"/>
                <w:b/>
                <w:bCs/>
                <w:color w:val="000000"/>
                <w:sz w:val="24"/>
              </w:rPr>
              <w:t xml:space="preserve"> 运营期水污染防控措施</w:t>
            </w:r>
          </w:p>
          <w:p w14:paraId="373B91F7">
            <w:pPr>
              <w:adjustRightInd w:val="0"/>
              <w:snapToGrid w:val="0"/>
              <w:spacing w:line="360" w:lineRule="auto"/>
              <w:ind w:firstLine="480" w:firstLineChars="200"/>
              <w:rPr>
                <w:rFonts w:hint="eastAsia"/>
                <w:color w:val="000000"/>
                <w:sz w:val="24"/>
              </w:rPr>
            </w:pPr>
            <w:r>
              <w:rPr>
                <w:rFonts w:hint="eastAsia"/>
                <w:color w:val="000000"/>
                <w:sz w:val="24"/>
              </w:rPr>
              <w:t>本项目运营期</w:t>
            </w:r>
            <w:r>
              <w:rPr>
                <w:rFonts w:hint="eastAsia" w:cs="Times New Roman"/>
                <w:color w:val="000000" w:themeColor="text1"/>
                <w:sz w:val="24"/>
                <w:lang w:val="en-US" w:eastAsia="zh-CN"/>
                <w14:textFill>
                  <w14:solidFill>
                    <w14:schemeClr w14:val="tx1"/>
                  </w14:solidFill>
                </w14:textFill>
              </w:rPr>
              <w:t>生活废水收集经化粪池处理后用于农肥，不外排</w:t>
            </w:r>
            <w:r>
              <w:rPr>
                <w:rFonts w:hint="eastAsia"/>
                <w:color w:val="000000"/>
                <w:sz w:val="24"/>
              </w:rPr>
              <w:t>。</w:t>
            </w:r>
          </w:p>
          <w:p w14:paraId="3F646CA9">
            <w:pPr>
              <w:adjustRightInd w:val="0"/>
              <w:snapToGrid w:val="0"/>
              <w:spacing w:line="360" w:lineRule="auto"/>
              <w:ind w:firstLine="482" w:firstLineChars="200"/>
              <w:rPr>
                <w:rFonts w:hint="eastAsia"/>
                <w:b/>
                <w:bCs/>
                <w:color w:val="000000"/>
                <w:sz w:val="24"/>
              </w:rPr>
            </w:pPr>
            <w:r>
              <w:rPr>
                <w:rFonts w:hint="eastAsia"/>
                <w:b/>
                <w:bCs/>
                <w:color w:val="000000"/>
                <w:sz w:val="24"/>
                <w:lang w:val="en-US" w:eastAsia="zh-CN"/>
              </w:rPr>
              <w:t>三、</w:t>
            </w:r>
            <w:r>
              <w:rPr>
                <w:rFonts w:hint="eastAsia"/>
                <w:b/>
                <w:bCs/>
                <w:color w:val="000000"/>
                <w:sz w:val="24"/>
              </w:rPr>
              <w:t>运营期噪声污染防控措施</w:t>
            </w:r>
          </w:p>
          <w:p w14:paraId="1F870053">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（1）对闸门启闭机及水泵基础采取相应的减振降噪处理，可采用在水泵进出口两端安装挠性橡皮接头、闸门启闭机及水泵基础安装防振垫等措施。</w:t>
            </w:r>
          </w:p>
          <w:p w14:paraId="66E9F9A1">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2）将闸门启闭机及水泵设于室内，并对闸门启闭机房及水泵机房等进行隔声处理，可采用安装隔声门窗、机房墙壁及顶部的内表面、竖井壁面贴吸声板或者吸声材料制作的贴面、地面铺设吸声瓷砖等措施，有效减少噪声外溢。</w:t>
            </w:r>
          </w:p>
          <w:p w14:paraId="707ABBBD">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3）加强对闸门及水泵等设备的维护和管理等，减少设备非正常运行所产生的噪声对周边居民的影响。同时加强对闸门及泵站工作人员的技术培训，避免因工作人员操作不当或者对某些故障的处理不当而导致设备噪声提高。</w:t>
            </w:r>
          </w:p>
          <w:p w14:paraId="2C463BEE">
            <w:pPr>
              <w:keepNext w:val="0"/>
              <w:keepLines w:val="0"/>
              <w:pageBreakBefore w:val="0"/>
              <w:widowControl w:val="0"/>
              <w:kinsoku/>
              <w:wordWrap/>
              <w:overflowPunct/>
              <w:topLinePunct w:val="0"/>
              <w:autoSpaceDE/>
              <w:autoSpaceDN/>
              <w:bidi w:val="0"/>
              <w:adjustRightInd/>
              <w:snapToGrid/>
              <w:spacing w:line="360" w:lineRule="auto"/>
              <w:ind w:left="38" w:right="30" w:firstLine="478"/>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（4）在闸门启闭机房附近，进行绿化种植，尤其应在面向敏感目标的方向密植高大乔木。</w:t>
            </w:r>
          </w:p>
          <w:p w14:paraId="198F117B">
            <w:pPr>
              <w:adjustRightInd w:val="0"/>
              <w:snapToGrid w:val="0"/>
              <w:spacing w:line="360" w:lineRule="auto"/>
              <w:ind w:firstLine="480" w:firstLineChars="200"/>
              <w:rPr>
                <w:rFonts w:hint="eastAsia"/>
                <w:color w:val="000000"/>
                <w:sz w:val="24"/>
              </w:rPr>
            </w:pPr>
            <w:r>
              <w:rPr>
                <w:rFonts w:hint="default" w:ascii="Times New Roman" w:hAnsi="Times New Roman" w:eastAsia="宋体" w:cs="Times New Roman"/>
                <w:b w:val="0"/>
                <w:bCs w:val="0"/>
                <w:color w:val="auto"/>
                <w:spacing w:val="0"/>
                <w:sz w:val="24"/>
                <w:szCs w:val="24"/>
              </w:rPr>
              <w:t>在采取以上噪声防治措施的情况下，本项目运营期产生的噪声将会被大幅削减，对周围环境敏感点的影响也会大大降低</w:t>
            </w:r>
            <w:r>
              <w:rPr>
                <w:rFonts w:hint="eastAsia"/>
                <w:color w:val="000000"/>
                <w:sz w:val="24"/>
              </w:rPr>
              <w:t>。</w:t>
            </w:r>
          </w:p>
          <w:p w14:paraId="3C34FAD3">
            <w:pPr>
              <w:adjustRightInd w:val="0"/>
              <w:snapToGrid w:val="0"/>
              <w:spacing w:line="480" w:lineRule="exact"/>
              <w:ind w:firstLine="482" w:firstLineChars="200"/>
              <w:rPr>
                <w:rFonts w:hint="eastAsia"/>
                <w:color w:val="000000"/>
                <w:sz w:val="24"/>
              </w:rPr>
            </w:pPr>
            <w:r>
              <w:rPr>
                <w:rFonts w:hint="eastAsia"/>
                <w:b/>
                <w:bCs/>
                <w:color w:val="000000"/>
                <w:sz w:val="24"/>
                <w:lang w:val="en-US" w:eastAsia="zh-CN"/>
              </w:rPr>
              <w:t>四、</w:t>
            </w:r>
            <w:r>
              <w:rPr>
                <w:rFonts w:hint="eastAsia"/>
                <w:b/>
                <w:bCs/>
                <w:color w:val="000000"/>
                <w:sz w:val="24"/>
              </w:rPr>
              <w:t xml:space="preserve"> 运营期固体废物环境保护措施</w:t>
            </w:r>
          </w:p>
          <w:p w14:paraId="65A988D1">
            <w:pPr>
              <w:adjustRightInd w:val="0"/>
              <w:snapToGrid w:val="0"/>
              <w:spacing w:line="480" w:lineRule="exact"/>
              <w:ind w:firstLine="480" w:firstLineChars="200"/>
              <w:rPr>
                <w:rFonts w:hint="eastAsia" w:eastAsia="宋体"/>
                <w:color w:val="000000"/>
                <w:sz w:val="24"/>
                <w:lang w:eastAsia="zh-CN"/>
              </w:rPr>
            </w:pPr>
            <w:r>
              <w:rPr>
                <w:rFonts w:hint="eastAsia" w:ascii="Times New Roman" w:hAnsi="Times New Roman" w:eastAsia="宋体" w:cs="Times New Roman"/>
                <w:kern w:val="0"/>
                <w:sz w:val="24"/>
                <w:szCs w:val="21"/>
                <w:lang w:val="en-US" w:eastAsia="zh-CN" w:bidi="ar-SA"/>
              </w:rPr>
              <w:t>运营期固体废物主要为管理人员产生的生活垃圾，产生的生活垃圾集中收集交由环卫部门统一清运处理。因此，本项目运营期固体废物对环境产生的影响较小</w:t>
            </w:r>
            <w:r>
              <w:rPr>
                <w:rFonts w:hint="eastAsia"/>
                <w:color w:val="000000"/>
                <w:sz w:val="24"/>
                <w:lang w:eastAsia="zh-CN"/>
              </w:rPr>
              <w:t>。</w:t>
            </w:r>
          </w:p>
          <w:p w14:paraId="476F2C19">
            <w:pPr>
              <w:adjustRightInd w:val="0"/>
              <w:snapToGrid w:val="0"/>
              <w:spacing w:line="480" w:lineRule="exact"/>
              <w:ind w:firstLine="482" w:firstLineChars="200"/>
              <w:rPr>
                <w:b/>
                <w:color w:val="000000"/>
                <w:sz w:val="24"/>
              </w:rPr>
            </w:pPr>
            <w:r>
              <w:rPr>
                <w:rFonts w:hint="eastAsia"/>
                <w:b/>
                <w:color w:val="000000"/>
                <w:sz w:val="24"/>
                <w:lang w:val="en-US" w:eastAsia="zh-CN"/>
              </w:rPr>
              <w:t>五</w:t>
            </w:r>
            <w:r>
              <w:rPr>
                <w:rFonts w:hint="eastAsia"/>
                <w:b/>
                <w:color w:val="000000"/>
                <w:sz w:val="24"/>
              </w:rPr>
              <w:t>、运营期生态环境保护措施</w:t>
            </w:r>
          </w:p>
          <w:p w14:paraId="62AA5142">
            <w:pPr>
              <w:adjustRightInd w:val="0"/>
              <w:snapToGrid w:val="0"/>
              <w:spacing w:line="480" w:lineRule="exact"/>
              <w:ind w:firstLine="480" w:firstLineChars="200"/>
              <w:rPr>
                <w:color w:val="000000"/>
                <w:sz w:val="24"/>
              </w:rPr>
            </w:pPr>
            <w:r>
              <w:rPr>
                <w:rFonts w:hint="eastAsia"/>
                <w:color w:val="000000"/>
                <w:sz w:val="24"/>
              </w:rPr>
              <w:t>本项目运营期的生态影响主要体现在工程施工期对生态破坏的延续，项目建成后，通过植被恢复等措施控制水土流失，对施工期间对植被造成的破坏进行恢复，不改变区域原有生态系统和生态环境。特别管理覆土植被，对其进行施肥和灌溉。</w:t>
            </w:r>
          </w:p>
        </w:tc>
      </w:tr>
      <w:tr w14:paraId="60EA4D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5162F46E">
            <w:pPr>
              <w:jc w:val="center"/>
              <w:rPr>
                <w:color w:val="000000"/>
                <w:sz w:val="24"/>
              </w:rPr>
            </w:pPr>
            <w:r>
              <w:rPr>
                <w:rFonts w:hint="eastAsia"/>
                <w:color w:val="000000"/>
                <w:sz w:val="24"/>
              </w:rPr>
              <w:t>其他</w:t>
            </w:r>
          </w:p>
        </w:tc>
        <w:tc>
          <w:tcPr>
            <w:tcW w:w="8557" w:type="dxa"/>
            <w:vAlign w:val="center"/>
          </w:tcPr>
          <w:p w14:paraId="2CCBFCC2">
            <w:pPr>
              <w:adjustRightInd w:val="0"/>
              <w:snapToGrid w:val="0"/>
              <w:spacing w:line="480" w:lineRule="exact"/>
              <w:jc w:val="center"/>
              <w:rPr>
                <w:rFonts w:hint="default" w:eastAsia="宋体"/>
                <w:color w:val="000000"/>
                <w:sz w:val="24"/>
                <w:lang w:val="en-US" w:eastAsia="zh-CN"/>
              </w:rPr>
            </w:pPr>
            <w:r>
              <w:rPr>
                <w:rFonts w:hint="eastAsia"/>
                <w:color w:val="000000"/>
                <w:sz w:val="24"/>
                <w:lang w:val="en-US" w:eastAsia="zh-CN"/>
              </w:rPr>
              <w:t>无</w:t>
            </w:r>
          </w:p>
        </w:tc>
      </w:tr>
      <w:tr w14:paraId="08305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53318827">
            <w:pPr>
              <w:jc w:val="center"/>
              <w:rPr>
                <w:color w:val="000000"/>
                <w:sz w:val="24"/>
              </w:rPr>
            </w:pPr>
            <w:r>
              <w:rPr>
                <w:rFonts w:hint="eastAsia"/>
                <w:color w:val="000000"/>
                <w:sz w:val="24"/>
              </w:rPr>
              <w:t>环保投资</w:t>
            </w:r>
          </w:p>
        </w:tc>
        <w:tc>
          <w:tcPr>
            <w:tcW w:w="8557" w:type="dxa"/>
          </w:tcPr>
          <w:p w14:paraId="6BC03FE9">
            <w:pPr>
              <w:spacing w:line="360" w:lineRule="auto"/>
              <w:ind w:firstLine="480" w:firstLineChars="200"/>
              <w:rPr>
                <w:color w:val="000000"/>
                <w:sz w:val="24"/>
                <w:u w:val="none"/>
              </w:rPr>
            </w:pPr>
            <w:r>
              <w:rPr>
                <w:color w:val="000000"/>
                <w:sz w:val="24"/>
                <w:u w:val="none"/>
              </w:rPr>
              <w:t>本项目环保投资估算见下表。</w:t>
            </w:r>
          </w:p>
          <w:p w14:paraId="36AC3ACD">
            <w:pPr>
              <w:widowControl/>
              <w:adjustRightInd w:val="0"/>
              <w:snapToGrid w:val="0"/>
              <w:jc w:val="center"/>
              <w:rPr>
                <w:rFonts w:ascii="Calibri" w:hAnsi="Calibri"/>
                <w:b/>
                <w:color w:val="000000"/>
                <w:szCs w:val="21"/>
                <w:u w:val="none"/>
              </w:rPr>
            </w:pPr>
            <w:r>
              <w:rPr>
                <w:rFonts w:ascii="Calibri" w:hAnsi="Calibri"/>
                <w:b/>
                <w:color w:val="000000"/>
                <w:szCs w:val="21"/>
                <w:u w:val="none"/>
              </w:rPr>
              <w:t>表</w:t>
            </w:r>
            <w:r>
              <w:rPr>
                <w:b/>
                <w:color w:val="000000"/>
                <w:szCs w:val="21"/>
                <w:u w:val="none"/>
              </w:rPr>
              <w:t>5</w:t>
            </w:r>
            <w:r>
              <w:rPr>
                <w:rFonts w:hint="eastAsia"/>
                <w:b/>
                <w:color w:val="000000"/>
                <w:szCs w:val="21"/>
                <w:u w:val="none"/>
                <w:lang w:val="en-US" w:eastAsia="zh-CN"/>
              </w:rPr>
              <w:t>-1</w:t>
            </w:r>
            <w:r>
              <w:rPr>
                <w:b/>
                <w:color w:val="000000"/>
                <w:szCs w:val="21"/>
                <w:u w:val="none"/>
              </w:rPr>
              <w:t xml:space="preserve">  </w:t>
            </w:r>
            <w:r>
              <w:rPr>
                <w:rFonts w:ascii="Calibri" w:hAnsi="Calibri"/>
                <w:b/>
                <w:color w:val="000000"/>
                <w:szCs w:val="21"/>
                <w:u w:val="none"/>
              </w:rPr>
              <w:t>项目环保措施</w:t>
            </w:r>
            <w:r>
              <w:rPr>
                <w:rFonts w:hint="eastAsia" w:ascii="Calibri" w:hAnsi="Calibri"/>
                <w:b/>
                <w:color w:val="000000"/>
                <w:szCs w:val="21"/>
                <w:u w:val="none"/>
              </w:rPr>
              <w:t>及投资</w:t>
            </w:r>
            <w:r>
              <w:rPr>
                <w:rFonts w:ascii="Calibri" w:hAnsi="Calibri"/>
                <w:b/>
                <w:color w:val="000000"/>
                <w:szCs w:val="21"/>
                <w:u w:val="none"/>
              </w:rPr>
              <w:t>一览表</w:t>
            </w:r>
          </w:p>
          <w:tbl>
            <w:tblPr>
              <w:tblStyle w:val="4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3111"/>
              <w:gridCol w:w="1017"/>
              <w:gridCol w:w="3534"/>
            </w:tblGrid>
            <w:tr w14:paraId="1D31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Align w:val="center"/>
                </w:tcPr>
                <w:p w14:paraId="5CE4CB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类别</w:t>
                  </w:r>
                </w:p>
              </w:tc>
              <w:tc>
                <w:tcPr>
                  <w:tcW w:w="1867" w:type="pct"/>
                  <w:vAlign w:val="center"/>
                </w:tcPr>
                <w:p w14:paraId="5A660E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投资项目</w:t>
                  </w:r>
                </w:p>
              </w:tc>
              <w:tc>
                <w:tcPr>
                  <w:tcW w:w="610" w:type="pct"/>
                  <w:vAlign w:val="center"/>
                </w:tcPr>
                <w:p w14:paraId="76064E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环保</w:t>
                  </w:r>
                </w:p>
                <w:p w14:paraId="5A1962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投资</w:t>
                  </w:r>
                </w:p>
              </w:tc>
              <w:tc>
                <w:tcPr>
                  <w:tcW w:w="2121" w:type="pct"/>
                  <w:vAlign w:val="center"/>
                </w:tcPr>
                <w:p w14:paraId="1DAC0C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作用与效果</w:t>
                  </w:r>
                </w:p>
              </w:tc>
            </w:tr>
            <w:tr w14:paraId="7FF7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restart"/>
                  <w:vAlign w:val="center"/>
                </w:tcPr>
                <w:p w14:paraId="18C750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水环境</w:t>
                  </w:r>
                </w:p>
              </w:tc>
              <w:tc>
                <w:tcPr>
                  <w:tcW w:w="1867" w:type="pct"/>
                  <w:vAlign w:val="center"/>
                </w:tcPr>
                <w:p w14:paraId="18CBBF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eastAsia" w:ascii="Times New Roman" w:hAnsi="Times New Roman" w:eastAsia="宋体" w:cs="Times New Roman"/>
                      <w:b w:val="0"/>
                      <w:bCs w:val="0"/>
                      <w:i w:val="0"/>
                      <w:iCs w:val="0"/>
                      <w:color w:val="auto"/>
                      <w:kern w:val="0"/>
                      <w:sz w:val="21"/>
                      <w:szCs w:val="21"/>
                      <w:u w:val="none"/>
                      <w:lang w:val="en-US" w:eastAsia="zh-CN" w:bidi="ar"/>
                    </w:rPr>
                    <w:t>冲洗废水隔油</w:t>
                  </w:r>
                  <w:r>
                    <w:rPr>
                      <w:rFonts w:hint="default" w:ascii="Times New Roman" w:hAnsi="Times New Roman" w:eastAsia="宋体" w:cs="Times New Roman"/>
                      <w:b w:val="0"/>
                      <w:bCs w:val="0"/>
                      <w:i w:val="0"/>
                      <w:iCs w:val="0"/>
                      <w:color w:val="auto"/>
                      <w:kern w:val="0"/>
                      <w:sz w:val="21"/>
                      <w:szCs w:val="21"/>
                      <w:u w:val="none"/>
                      <w:lang w:val="en-US" w:eastAsia="zh-CN" w:bidi="ar"/>
                    </w:rPr>
                    <w:t>沉淀池</w:t>
                  </w:r>
                  <w:r>
                    <w:rPr>
                      <w:rFonts w:hint="eastAsia" w:ascii="Times New Roman" w:hAnsi="Times New Roman" w:eastAsia="宋体" w:cs="Times New Roman"/>
                      <w:b w:val="0"/>
                      <w:bCs w:val="0"/>
                      <w:i w:val="0"/>
                      <w:iCs w:val="0"/>
                      <w:color w:val="auto"/>
                      <w:kern w:val="0"/>
                      <w:sz w:val="21"/>
                      <w:szCs w:val="21"/>
                      <w:u w:val="none"/>
                      <w:lang w:val="en-US" w:eastAsia="zh-CN" w:bidi="ar"/>
                    </w:rPr>
                    <w:t>（1m</w:t>
                  </w:r>
                  <w:r>
                    <w:rPr>
                      <w:rFonts w:hint="eastAsia" w:ascii="Times New Roman" w:hAnsi="Times New Roman" w:eastAsia="宋体" w:cs="Times New Roman"/>
                      <w:b w:val="0"/>
                      <w:bCs w:val="0"/>
                      <w:i w:val="0"/>
                      <w:iCs w:val="0"/>
                      <w:color w:val="auto"/>
                      <w:kern w:val="0"/>
                      <w:sz w:val="21"/>
                      <w:szCs w:val="21"/>
                      <w:u w:val="none"/>
                      <w:vertAlign w:val="superscript"/>
                      <w:lang w:val="en-US" w:eastAsia="zh-CN" w:bidi="ar"/>
                    </w:rPr>
                    <w:t>3</w:t>
                  </w:r>
                  <w:r>
                    <w:rPr>
                      <w:rFonts w:hint="eastAsia" w:ascii="Times New Roman" w:hAnsi="Times New Roman" w:eastAsia="宋体" w:cs="Times New Roman"/>
                      <w:b w:val="0"/>
                      <w:bCs w:val="0"/>
                      <w:i w:val="0"/>
                      <w:iCs w:val="0"/>
                      <w:color w:val="auto"/>
                      <w:kern w:val="0"/>
                      <w:sz w:val="21"/>
                      <w:szCs w:val="21"/>
                      <w:u w:val="none"/>
                      <w:lang w:val="en-US" w:eastAsia="zh-CN" w:bidi="ar"/>
                    </w:rPr>
                    <w:t>）</w:t>
                  </w:r>
                </w:p>
              </w:tc>
              <w:tc>
                <w:tcPr>
                  <w:tcW w:w="610" w:type="pct"/>
                  <w:vAlign w:val="center"/>
                </w:tcPr>
                <w:p w14:paraId="1AA0DCC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121" w:type="pct"/>
                  <w:vAlign w:val="center"/>
                </w:tcPr>
                <w:p w14:paraId="162287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施工机械</w:t>
                  </w:r>
                  <w:r>
                    <w:rPr>
                      <w:rFonts w:hint="eastAsia" w:ascii="Times New Roman" w:hAnsi="Times New Roman" w:eastAsia="宋体" w:cs="Times New Roman"/>
                      <w:b w:val="0"/>
                      <w:bCs w:val="0"/>
                      <w:i w:val="0"/>
                      <w:iCs w:val="0"/>
                      <w:color w:val="auto"/>
                      <w:kern w:val="0"/>
                      <w:sz w:val="21"/>
                      <w:szCs w:val="21"/>
                      <w:u w:val="none"/>
                      <w:lang w:val="en-US" w:eastAsia="zh-CN" w:bidi="ar"/>
                    </w:rPr>
                    <w:t>、车辆冲洗</w:t>
                  </w:r>
                  <w:r>
                    <w:rPr>
                      <w:rFonts w:hint="default" w:ascii="Times New Roman" w:hAnsi="Times New Roman" w:eastAsia="宋体" w:cs="Times New Roman"/>
                      <w:b w:val="0"/>
                      <w:bCs w:val="0"/>
                      <w:i w:val="0"/>
                      <w:iCs w:val="0"/>
                      <w:color w:val="auto"/>
                      <w:kern w:val="0"/>
                      <w:sz w:val="21"/>
                      <w:szCs w:val="21"/>
                      <w:u w:val="none"/>
                      <w:lang w:val="en-US" w:eastAsia="zh-CN" w:bidi="ar"/>
                    </w:rPr>
                    <w:t>废水</w:t>
                  </w:r>
                  <w:r>
                    <w:rPr>
                      <w:rFonts w:hint="eastAsia" w:ascii="Times New Roman" w:hAnsi="Times New Roman" w:eastAsia="宋体" w:cs="Times New Roman"/>
                      <w:b w:val="0"/>
                      <w:bCs w:val="0"/>
                      <w:i w:val="0"/>
                      <w:iCs w:val="0"/>
                      <w:color w:val="auto"/>
                      <w:kern w:val="0"/>
                      <w:sz w:val="21"/>
                      <w:szCs w:val="21"/>
                      <w:u w:val="none"/>
                      <w:lang w:val="en-US" w:eastAsia="zh-CN" w:bidi="ar"/>
                    </w:rPr>
                    <w:t>经沉淀处理后回用</w:t>
                  </w:r>
                </w:p>
              </w:tc>
            </w:tr>
            <w:tr w14:paraId="604A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continue"/>
                  <w:vAlign w:val="center"/>
                </w:tcPr>
                <w:p w14:paraId="4ED4D7E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auto"/>
                      <w:sz w:val="21"/>
                      <w:szCs w:val="21"/>
                      <w:u w:val="none"/>
                    </w:rPr>
                  </w:pPr>
                </w:p>
              </w:tc>
              <w:tc>
                <w:tcPr>
                  <w:tcW w:w="1867" w:type="pct"/>
                  <w:vAlign w:val="center"/>
                </w:tcPr>
                <w:p w14:paraId="583F3F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沉淀池</w:t>
                  </w:r>
                  <w:r>
                    <w:rPr>
                      <w:rFonts w:hint="eastAsia" w:ascii="Times New Roman" w:hAnsi="Times New Roman" w:eastAsia="宋体" w:cs="Times New Roman"/>
                      <w:b w:val="0"/>
                      <w:bCs w:val="0"/>
                      <w:i w:val="0"/>
                      <w:iCs w:val="0"/>
                      <w:color w:val="auto"/>
                      <w:kern w:val="0"/>
                      <w:sz w:val="21"/>
                      <w:szCs w:val="21"/>
                      <w:u w:val="none"/>
                      <w:lang w:val="en-US" w:eastAsia="zh-CN" w:bidi="ar"/>
                    </w:rPr>
                    <w:t>（10m</w:t>
                  </w:r>
                  <w:r>
                    <w:rPr>
                      <w:rFonts w:hint="eastAsia" w:ascii="Times New Roman" w:hAnsi="Times New Roman" w:eastAsia="宋体" w:cs="Times New Roman"/>
                      <w:b w:val="0"/>
                      <w:bCs w:val="0"/>
                      <w:i w:val="0"/>
                      <w:iCs w:val="0"/>
                      <w:color w:val="auto"/>
                      <w:kern w:val="0"/>
                      <w:sz w:val="21"/>
                      <w:szCs w:val="21"/>
                      <w:u w:val="none"/>
                      <w:vertAlign w:val="superscript"/>
                      <w:lang w:val="en-US" w:eastAsia="zh-CN" w:bidi="ar"/>
                    </w:rPr>
                    <w:t>3</w:t>
                  </w:r>
                  <w:r>
                    <w:rPr>
                      <w:rFonts w:hint="eastAsia" w:ascii="Times New Roman" w:hAnsi="Times New Roman" w:eastAsia="宋体" w:cs="Times New Roman"/>
                      <w:b w:val="0"/>
                      <w:bCs w:val="0"/>
                      <w:i w:val="0"/>
                      <w:iCs w:val="0"/>
                      <w:color w:val="auto"/>
                      <w:kern w:val="0"/>
                      <w:sz w:val="21"/>
                      <w:szCs w:val="21"/>
                      <w:u w:val="none"/>
                      <w:lang w:val="en-US" w:eastAsia="zh-CN" w:bidi="ar"/>
                    </w:rPr>
                    <w:t>）</w:t>
                  </w:r>
                </w:p>
              </w:tc>
              <w:tc>
                <w:tcPr>
                  <w:tcW w:w="610" w:type="pct"/>
                  <w:vAlign w:val="center"/>
                </w:tcPr>
                <w:p w14:paraId="6B51A97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121" w:type="pct"/>
                  <w:vAlign w:val="center"/>
                </w:tcPr>
                <w:p w14:paraId="668C40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临时堆料点淋沥废水经处理后</w:t>
                  </w:r>
                  <w:r>
                    <w:rPr>
                      <w:rFonts w:hint="eastAsia" w:ascii="Times New Roman" w:hAnsi="Times New Roman" w:eastAsia="宋体" w:cs="Times New Roman"/>
                      <w:b w:val="0"/>
                      <w:bCs w:val="0"/>
                      <w:i w:val="0"/>
                      <w:iCs w:val="0"/>
                      <w:color w:val="auto"/>
                      <w:kern w:val="0"/>
                      <w:sz w:val="21"/>
                      <w:szCs w:val="21"/>
                      <w:u w:val="none"/>
                      <w:lang w:val="en-US" w:eastAsia="zh-CN" w:bidi="ar"/>
                    </w:rPr>
                    <w:t>用于</w:t>
                  </w:r>
                  <w:r>
                    <w:rPr>
                      <w:rFonts w:hint="default" w:ascii="Times New Roman" w:hAnsi="Times New Roman" w:eastAsia="宋体" w:cs="Times New Roman"/>
                      <w:b w:val="0"/>
                      <w:bCs w:val="0"/>
                      <w:i w:val="0"/>
                      <w:iCs w:val="0"/>
                      <w:color w:val="auto"/>
                      <w:kern w:val="0"/>
                      <w:sz w:val="21"/>
                      <w:szCs w:val="21"/>
                      <w:u w:val="none"/>
                      <w:lang w:val="en-US" w:eastAsia="zh-CN" w:bidi="ar"/>
                    </w:rPr>
                    <w:t>洒水抑尘</w:t>
                  </w:r>
                </w:p>
              </w:tc>
            </w:tr>
            <w:tr w14:paraId="70C7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continue"/>
                  <w:vAlign w:val="center"/>
                </w:tcPr>
                <w:p w14:paraId="07CF7FB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auto"/>
                      <w:sz w:val="21"/>
                      <w:szCs w:val="21"/>
                      <w:u w:val="none"/>
                    </w:rPr>
                  </w:pPr>
                </w:p>
              </w:tc>
              <w:tc>
                <w:tcPr>
                  <w:tcW w:w="1867" w:type="pct"/>
                  <w:vAlign w:val="center"/>
                </w:tcPr>
                <w:p w14:paraId="7FD9FD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eastAsia" w:ascii="Times New Roman" w:hAnsi="Times New Roman" w:eastAsia="宋体" w:cs="Times New Roman"/>
                      <w:b w:val="0"/>
                      <w:bCs w:val="0"/>
                      <w:i w:val="0"/>
                      <w:iCs w:val="0"/>
                      <w:color w:val="auto"/>
                      <w:kern w:val="0"/>
                      <w:sz w:val="21"/>
                      <w:szCs w:val="21"/>
                      <w:u w:val="none"/>
                      <w:lang w:val="en-US" w:eastAsia="zh-CN" w:bidi="ar"/>
                    </w:rPr>
                    <w:t>施工区四周</w:t>
                  </w:r>
                  <w:r>
                    <w:rPr>
                      <w:rFonts w:hint="default" w:ascii="Times New Roman" w:hAnsi="Times New Roman" w:eastAsia="宋体" w:cs="Times New Roman"/>
                      <w:b w:val="0"/>
                      <w:bCs w:val="0"/>
                      <w:i w:val="0"/>
                      <w:iCs w:val="0"/>
                      <w:color w:val="auto"/>
                      <w:kern w:val="0"/>
                      <w:sz w:val="21"/>
                      <w:szCs w:val="21"/>
                      <w:u w:val="none"/>
                      <w:lang w:val="en-US" w:eastAsia="zh-CN" w:bidi="ar"/>
                    </w:rPr>
                    <w:t>围</w:t>
                  </w:r>
                  <w:r>
                    <w:rPr>
                      <w:rFonts w:hint="eastAsia" w:ascii="Times New Roman" w:hAnsi="Times New Roman" w:eastAsia="宋体" w:cs="Times New Roman"/>
                      <w:b w:val="0"/>
                      <w:bCs w:val="0"/>
                      <w:i w:val="0"/>
                      <w:iCs w:val="0"/>
                      <w:color w:val="auto"/>
                      <w:kern w:val="0"/>
                      <w:sz w:val="21"/>
                      <w:szCs w:val="21"/>
                      <w:u w:val="none"/>
                      <w:lang w:val="en-US" w:eastAsia="zh-CN" w:bidi="ar"/>
                    </w:rPr>
                    <w:t>档</w:t>
                  </w:r>
                </w:p>
              </w:tc>
              <w:tc>
                <w:tcPr>
                  <w:tcW w:w="610" w:type="pct"/>
                  <w:vAlign w:val="center"/>
                </w:tcPr>
                <w:p w14:paraId="10346F8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121" w:type="pct"/>
                  <w:vAlign w:val="center"/>
                </w:tcPr>
                <w:p w14:paraId="2CF29F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对作业河</w:t>
                  </w:r>
                  <w:r>
                    <w:rPr>
                      <w:rFonts w:hint="eastAsia" w:ascii="Times New Roman" w:hAnsi="Times New Roman" w:eastAsia="宋体" w:cs="Times New Roman"/>
                      <w:b w:val="0"/>
                      <w:bCs w:val="0"/>
                      <w:i w:val="0"/>
                      <w:iCs w:val="0"/>
                      <w:color w:val="auto"/>
                      <w:kern w:val="0"/>
                      <w:sz w:val="21"/>
                      <w:szCs w:val="21"/>
                      <w:u w:val="none"/>
                      <w:lang w:val="en-US" w:eastAsia="zh-CN" w:bidi="ar"/>
                    </w:rPr>
                    <w:t>岸靠水一侧</w:t>
                  </w:r>
                  <w:r>
                    <w:rPr>
                      <w:rFonts w:hint="default" w:ascii="Times New Roman" w:hAnsi="Times New Roman" w:eastAsia="宋体" w:cs="Times New Roman"/>
                      <w:b w:val="0"/>
                      <w:bCs w:val="0"/>
                      <w:i w:val="0"/>
                      <w:iCs w:val="0"/>
                      <w:color w:val="auto"/>
                      <w:kern w:val="0"/>
                      <w:sz w:val="21"/>
                      <w:szCs w:val="21"/>
                      <w:u w:val="none"/>
                      <w:lang w:val="en-US" w:eastAsia="zh-CN" w:bidi="ar"/>
                    </w:rPr>
                    <w:t>布设围油</w:t>
                  </w:r>
                  <w:r>
                    <w:rPr>
                      <w:rFonts w:hint="eastAsia" w:ascii="Times New Roman" w:hAnsi="Times New Roman" w:eastAsia="宋体" w:cs="Times New Roman"/>
                      <w:b w:val="0"/>
                      <w:bCs w:val="0"/>
                      <w:i w:val="0"/>
                      <w:iCs w:val="0"/>
                      <w:color w:val="auto"/>
                      <w:kern w:val="0"/>
                      <w:sz w:val="21"/>
                      <w:szCs w:val="21"/>
                      <w:u w:val="none"/>
                      <w:lang w:val="en-US" w:eastAsia="zh-CN" w:bidi="ar"/>
                    </w:rPr>
                    <w:t>档</w:t>
                  </w:r>
                  <w:r>
                    <w:rPr>
                      <w:rFonts w:hint="default" w:ascii="Times New Roman" w:hAnsi="Times New Roman" w:eastAsia="宋体" w:cs="Times New Roman"/>
                      <w:b w:val="0"/>
                      <w:bCs w:val="0"/>
                      <w:i w:val="0"/>
                      <w:iCs w:val="0"/>
                      <w:color w:val="auto"/>
                      <w:kern w:val="0"/>
                      <w:sz w:val="21"/>
                      <w:szCs w:val="21"/>
                      <w:u w:val="none"/>
                      <w:lang w:val="en-US" w:eastAsia="zh-CN" w:bidi="ar"/>
                    </w:rPr>
                    <w:t>，避免</w:t>
                  </w:r>
                  <w:r>
                    <w:rPr>
                      <w:rFonts w:hint="eastAsia" w:ascii="Times New Roman" w:hAnsi="Times New Roman" w:eastAsia="宋体" w:cs="Times New Roman"/>
                      <w:b w:val="0"/>
                      <w:bCs w:val="0"/>
                      <w:i w:val="0"/>
                      <w:iCs w:val="0"/>
                      <w:color w:val="auto"/>
                      <w:kern w:val="0"/>
                      <w:sz w:val="21"/>
                      <w:szCs w:val="21"/>
                      <w:u w:val="none"/>
                      <w:lang w:val="en-US" w:eastAsia="zh-CN" w:bidi="ar"/>
                    </w:rPr>
                    <w:t>废水、</w:t>
                  </w:r>
                  <w:r>
                    <w:rPr>
                      <w:rFonts w:hint="default" w:ascii="Times New Roman" w:hAnsi="Times New Roman" w:eastAsia="宋体" w:cs="Times New Roman"/>
                      <w:b w:val="0"/>
                      <w:bCs w:val="0"/>
                      <w:i w:val="0"/>
                      <w:iCs w:val="0"/>
                      <w:color w:val="auto"/>
                      <w:kern w:val="0"/>
                      <w:sz w:val="21"/>
                      <w:szCs w:val="21"/>
                      <w:u w:val="none"/>
                      <w:lang w:val="en-US" w:eastAsia="zh-CN" w:bidi="ar"/>
                    </w:rPr>
                    <w:t>垃圾及其他油污污染水质</w:t>
                  </w:r>
                </w:p>
              </w:tc>
            </w:tr>
            <w:tr w14:paraId="2ADF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restart"/>
                  <w:vAlign w:val="center"/>
                </w:tcPr>
                <w:p w14:paraId="59A9A8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声环境</w:t>
                  </w:r>
                </w:p>
              </w:tc>
              <w:tc>
                <w:tcPr>
                  <w:tcW w:w="1867" w:type="pct"/>
                  <w:vAlign w:val="center"/>
                </w:tcPr>
                <w:p w14:paraId="16D434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lang w:val="en-US"/>
                    </w:rPr>
                  </w:pPr>
                  <w:r>
                    <w:rPr>
                      <w:rFonts w:hint="default" w:ascii="Times New Roman" w:hAnsi="Times New Roman" w:eastAsia="宋体" w:cs="Times New Roman"/>
                      <w:b w:val="0"/>
                      <w:bCs w:val="0"/>
                      <w:i w:val="0"/>
                      <w:iCs w:val="0"/>
                      <w:color w:val="auto"/>
                      <w:kern w:val="0"/>
                      <w:sz w:val="21"/>
                      <w:szCs w:val="21"/>
                      <w:u w:val="none"/>
                      <w:lang w:val="en-US" w:eastAsia="zh-CN" w:bidi="ar"/>
                    </w:rPr>
                    <w:t>施工机械设备降噪</w:t>
                  </w:r>
                  <w:r>
                    <w:rPr>
                      <w:rFonts w:hint="eastAsia" w:ascii="Times New Roman" w:hAnsi="Times New Roman" w:eastAsia="宋体" w:cs="Times New Roman"/>
                      <w:b w:val="0"/>
                      <w:bCs w:val="0"/>
                      <w:i w:val="0"/>
                      <w:iCs w:val="0"/>
                      <w:color w:val="auto"/>
                      <w:kern w:val="0"/>
                      <w:sz w:val="21"/>
                      <w:szCs w:val="21"/>
                      <w:u w:val="none"/>
                      <w:lang w:val="en-US" w:eastAsia="zh-CN" w:bidi="ar"/>
                    </w:rPr>
                    <w:t>、水泵、启闭机设备降噪</w:t>
                  </w:r>
                </w:p>
              </w:tc>
              <w:tc>
                <w:tcPr>
                  <w:tcW w:w="610" w:type="pct"/>
                  <w:vAlign w:val="center"/>
                </w:tcPr>
                <w:p w14:paraId="67AFDC6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121" w:type="pct"/>
                  <w:vAlign w:val="center"/>
                </w:tcPr>
                <w:p w14:paraId="5A3923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降低噪声影响</w:t>
                  </w:r>
                </w:p>
              </w:tc>
            </w:tr>
            <w:tr w14:paraId="0A81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continue"/>
                  <w:vAlign w:val="center"/>
                </w:tcPr>
                <w:p w14:paraId="790EA87D">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auto"/>
                      <w:sz w:val="21"/>
                      <w:szCs w:val="21"/>
                      <w:u w:val="none"/>
                    </w:rPr>
                  </w:pPr>
                </w:p>
              </w:tc>
              <w:tc>
                <w:tcPr>
                  <w:tcW w:w="1867" w:type="pct"/>
                  <w:vAlign w:val="center"/>
                </w:tcPr>
                <w:p w14:paraId="231518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临时隔声屏障</w:t>
                  </w:r>
                </w:p>
              </w:tc>
              <w:tc>
                <w:tcPr>
                  <w:tcW w:w="610" w:type="pct"/>
                  <w:vAlign w:val="center"/>
                </w:tcPr>
                <w:p w14:paraId="40BFBA5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121" w:type="pct"/>
                  <w:vAlign w:val="center"/>
                </w:tcPr>
                <w:p w14:paraId="5EFE24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对临时堆料点施工的高噪区域进行围挡，亦可达到一定的降尘效果</w:t>
                  </w:r>
                </w:p>
              </w:tc>
            </w:tr>
            <w:tr w14:paraId="2958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restart"/>
                  <w:vAlign w:val="center"/>
                </w:tcPr>
                <w:p w14:paraId="1F9F5A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环境空气</w:t>
                  </w:r>
                </w:p>
              </w:tc>
              <w:tc>
                <w:tcPr>
                  <w:tcW w:w="1867" w:type="pct"/>
                  <w:vAlign w:val="center"/>
                </w:tcPr>
                <w:p w14:paraId="52F383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洒水车</w:t>
                  </w:r>
                </w:p>
              </w:tc>
              <w:tc>
                <w:tcPr>
                  <w:tcW w:w="610" w:type="pct"/>
                  <w:vAlign w:val="center"/>
                </w:tcPr>
                <w:p w14:paraId="494ECBA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121" w:type="pct"/>
                  <w:vAlign w:val="center"/>
                </w:tcPr>
                <w:p w14:paraId="464195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减低施工粉尘</w:t>
                  </w:r>
                </w:p>
              </w:tc>
            </w:tr>
            <w:tr w14:paraId="5120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continue"/>
                  <w:vAlign w:val="center"/>
                </w:tcPr>
                <w:p w14:paraId="02829C7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auto"/>
                      <w:sz w:val="21"/>
                      <w:szCs w:val="21"/>
                      <w:u w:val="none"/>
                    </w:rPr>
                  </w:pPr>
                </w:p>
              </w:tc>
              <w:tc>
                <w:tcPr>
                  <w:tcW w:w="1867" w:type="pct"/>
                  <w:vAlign w:val="center"/>
                </w:tcPr>
                <w:p w14:paraId="68E67A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设置挡尘围栏</w:t>
                  </w:r>
                </w:p>
              </w:tc>
              <w:tc>
                <w:tcPr>
                  <w:tcW w:w="610" w:type="pct"/>
                  <w:vAlign w:val="center"/>
                </w:tcPr>
                <w:p w14:paraId="34196A9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5</w:t>
                  </w:r>
                </w:p>
              </w:tc>
              <w:tc>
                <w:tcPr>
                  <w:tcW w:w="2121" w:type="pct"/>
                  <w:vAlign w:val="center"/>
                </w:tcPr>
                <w:p w14:paraId="7211A1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削减扬尘排放范围</w:t>
                  </w:r>
                </w:p>
              </w:tc>
            </w:tr>
            <w:tr w14:paraId="1FD0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continue"/>
                  <w:vAlign w:val="center"/>
                </w:tcPr>
                <w:p w14:paraId="34ADF73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auto"/>
                      <w:sz w:val="21"/>
                      <w:szCs w:val="21"/>
                      <w:u w:val="none"/>
                    </w:rPr>
                  </w:pPr>
                </w:p>
              </w:tc>
              <w:tc>
                <w:tcPr>
                  <w:tcW w:w="1867" w:type="pct"/>
                  <w:vAlign w:val="center"/>
                </w:tcPr>
                <w:p w14:paraId="4BB9E3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防尘网覆盖</w:t>
                  </w:r>
                </w:p>
              </w:tc>
              <w:tc>
                <w:tcPr>
                  <w:tcW w:w="610" w:type="pct"/>
                  <w:vAlign w:val="center"/>
                </w:tcPr>
                <w:p w14:paraId="60173A9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5</w:t>
                  </w:r>
                </w:p>
              </w:tc>
              <w:tc>
                <w:tcPr>
                  <w:tcW w:w="2121" w:type="pct"/>
                  <w:vAlign w:val="center"/>
                </w:tcPr>
                <w:p w14:paraId="121228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降低临时堆料点堆放期间的粉尘影响</w:t>
                  </w:r>
                </w:p>
              </w:tc>
            </w:tr>
            <w:tr w14:paraId="7D0D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restart"/>
                  <w:vAlign w:val="center"/>
                </w:tcPr>
                <w:p w14:paraId="01C672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固体废物</w:t>
                  </w:r>
                </w:p>
              </w:tc>
              <w:tc>
                <w:tcPr>
                  <w:tcW w:w="1867" w:type="pct"/>
                  <w:vAlign w:val="center"/>
                </w:tcPr>
                <w:p w14:paraId="5279B8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生活垃圾清理、垃圾桶</w:t>
                  </w:r>
                </w:p>
              </w:tc>
              <w:tc>
                <w:tcPr>
                  <w:tcW w:w="610" w:type="pct"/>
                  <w:vAlign w:val="center"/>
                </w:tcPr>
                <w:p w14:paraId="58E3DC4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121" w:type="pct"/>
                  <w:vAlign w:val="center"/>
                </w:tcPr>
                <w:p w14:paraId="0650D8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生活垃圾</w:t>
                  </w:r>
                  <w:r>
                    <w:rPr>
                      <w:rFonts w:hint="eastAsia" w:ascii="Times New Roman" w:hAnsi="Times New Roman" w:eastAsia="宋体" w:cs="Times New Roman"/>
                      <w:b w:val="0"/>
                      <w:bCs w:val="0"/>
                      <w:i w:val="0"/>
                      <w:iCs w:val="0"/>
                      <w:color w:val="auto"/>
                      <w:kern w:val="0"/>
                      <w:sz w:val="21"/>
                      <w:szCs w:val="21"/>
                      <w:u w:val="none"/>
                      <w:lang w:val="en-US" w:eastAsia="zh-CN" w:bidi="ar"/>
                    </w:rPr>
                    <w:t>经垃圾桶收集后</w:t>
                  </w:r>
                  <w:r>
                    <w:rPr>
                      <w:rFonts w:hint="default" w:ascii="Times New Roman" w:hAnsi="Times New Roman" w:eastAsia="宋体" w:cs="Times New Roman"/>
                      <w:b w:val="0"/>
                      <w:bCs w:val="0"/>
                      <w:i w:val="0"/>
                      <w:iCs w:val="0"/>
                      <w:color w:val="auto"/>
                      <w:kern w:val="0"/>
                      <w:sz w:val="21"/>
                      <w:szCs w:val="21"/>
                      <w:u w:val="none"/>
                      <w:lang w:val="en-US" w:eastAsia="zh-CN" w:bidi="ar"/>
                    </w:rPr>
                    <w:t>由当地环卫及时清运处理</w:t>
                  </w:r>
                </w:p>
              </w:tc>
            </w:tr>
            <w:tr w14:paraId="7085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continue"/>
                  <w:vAlign w:val="center"/>
                </w:tcPr>
                <w:p w14:paraId="59F9C8B7">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auto"/>
                      <w:sz w:val="21"/>
                      <w:szCs w:val="21"/>
                      <w:u w:val="none"/>
                    </w:rPr>
                  </w:pPr>
                </w:p>
              </w:tc>
              <w:tc>
                <w:tcPr>
                  <w:tcW w:w="1867" w:type="pct"/>
                  <w:vAlign w:val="center"/>
                </w:tcPr>
                <w:p w14:paraId="6F83F2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施工期废弃机具、包装物等分类收集，定点堆放，做好防渗防漏防火等措施</w:t>
                  </w:r>
                </w:p>
              </w:tc>
              <w:tc>
                <w:tcPr>
                  <w:tcW w:w="610" w:type="pct"/>
                  <w:vAlign w:val="center"/>
                </w:tcPr>
                <w:p w14:paraId="4C90EB8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121" w:type="pct"/>
                  <w:vAlign w:val="center"/>
                </w:tcPr>
                <w:p w14:paraId="73F00B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统一堆放，联系原厂商收回</w:t>
                  </w:r>
                </w:p>
              </w:tc>
            </w:tr>
            <w:tr w14:paraId="0763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restart"/>
                  <w:vAlign w:val="center"/>
                </w:tcPr>
                <w:p w14:paraId="552B3E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生态环境</w:t>
                  </w:r>
                </w:p>
              </w:tc>
              <w:tc>
                <w:tcPr>
                  <w:tcW w:w="1867" w:type="pct"/>
                  <w:vAlign w:val="center"/>
                </w:tcPr>
                <w:p w14:paraId="006060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植物</w:t>
                  </w:r>
                  <w:r>
                    <w:rPr>
                      <w:rFonts w:hint="eastAsia" w:ascii="Times New Roman" w:hAnsi="Times New Roman" w:eastAsia="宋体" w:cs="Times New Roman"/>
                      <w:b w:val="0"/>
                      <w:bCs w:val="0"/>
                      <w:i w:val="0"/>
                      <w:iCs w:val="0"/>
                      <w:color w:val="auto"/>
                      <w:kern w:val="0"/>
                      <w:sz w:val="21"/>
                      <w:szCs w:val="21"/>
                      <w:u w:val="none"/>
                      <w:lang w:val="en-US" w:eastAsia="zh-CN" w:bidi="ar"/>
                    </w:rPr>
                    <w:t>复绿</w:t>
                  </w:r>
                  <w:r>
                    <w:rPr>
                      <w:rFonts w:hint="default" w:ascii="Times New Roman" w:hAnsi="Times New Roman" w:eastAsia="宋体" w:cs="Times New Roman"/>
                      <w:b w:val="0"/>
                      <w:bCs w:val="0"/>
                      <w:i w:val="0"/>
                      <w:iCs w:val="0"/>
                      <w:color w:val="auto"/>
                      <w:kern w:val="0"/>
                      <w:sz w:val="21"/>
                      <w:szCs w:val="21"/>
                      <w:u w:val="none"/>
                      <w:lang w:val="en-US" w:eastAsia="zh-CN" w:bidi="ar"/>
                    </w:rPr>
                    <w:t>措施</w:t>
                  </w:r>
                </w:p>
              </w:tc>
              <w:tc>
                <w:tcPr>
                  <w:tcW w:w="610" w:type="pct"/>
                  <w:vAlign w:val="center"/>
                </w:tcPr>
                <w:p w14:paraId="4B66551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121" w:type="pct"/>
                  <w:vAlign w:val="center"/>
                </w:tcPr>
                <w:p w14:paraId="62A4D5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施工完毕后，及时恢复植被</w:t>
                  </w:r>
                </w:p>
              </w:tc>
            </w:tr>
            <w:tr w14:paraId="78C3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continue"/>
                  <w:vAlign w:val="center"/>
                </w:tcPr>
                <w:p w14:paraId="6A38C38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auto"/>
                      <w:sz w:val="21"/>
                      <w:szCs w:val="21"/>
                      <w:u w:val="none"/>
                    </w:rPr>
                  </w:pPr>
                </w:p>
              </w:tc>
              <w:tc>
                <w:tcPr>
                  <w:tcW w:w="1867" w:type="pct"/>
                  <w:vAlign w:val="center"/>
                </w:tcPr>
                <w:p w14:paraId="3F8006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施工面排水措施</w:t>
                  </w:r>
                </w:p>
              </w:tc>
              <w:tc>
                <w:tcPr>
                  <w:tcW w:w="610" w:type="pct"/>
                  <w:vAlign w:val="center"/>
                </w:tcPr>
                <w:p w14:paraId="0118286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2121" w:type="pct"/>
                  <w:vAlign w:val="center"/>
                </w:tcPr>
                <w:p w14:paraId="4360CE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防治水土流失</w:t>
                  </w:r>
                </w:p>
              </w:tc>
            </w:tr>
            <w:tr w14:paraId="1C37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continue"/>
                  <w:vAlign w:val="center"/>
                </w:tcPr>
                <w:p w14:paraId="3AC2D0AA">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auto"/>
                      <w:sz w:val="21"/>
                      <w:szCs w:val="21"/>
                      <w:u w:val="none"/>
                    </w:rPr>
                  </w:pPr>
                </w:p>
              </w:tc>
              <w:tc>
                <w:tcPr>
                  <w:tcW w:w="1867" w:type="pct"/>
                  <w:vAlign w:val="center"/>
                </w:tcPr>
                <w:p w14:paraId="572DDA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土方临时堆放挡护措施</w:t>
                  </w:r>
                </w:p>
              </w:tc>
              <w:tc>
                <w:tcPr>
                  <w:tcW w:w="610" w:type="pct"/>
                  <w:vAlign w:val="center"/>
                </w:tcPr>
                <w:p w14:paraId="62AC7DC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22.43</w:t>
                  </w:r>
                </w:p>
              </w:tc>
              <w:tc>
                <w:tcPr>
                  <w:tcW w:w="2121" w:type="pct"/>
                  <w:vAlign w:val="center"/>
                </w:tcPr>
                <w:p w14:paraId="5EA249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防治水土流失</w:t>
                  </w:r>
                </w:p>
              </w:tc>
            </w:tr>
            <w:tr w14:paraId="7417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Align w:val="center"/>
                </w:tcPr>
                <w:p w14:paraId="7908E6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环境风险</w:t>
                  </w:r>
                </w:p>
              </w:tc>
              <w:tc>
                <w:tcPr>
                  <w:tcW w:w="1867" w:type="pct"/>
                  <w:vAlign w:val="center"/>
                </w:tcPr>
                <w:p w14:paraId="4C82DF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事故应急设备</w:t>
                  </w:r>
                </w:p>
              </w:tc>
              <w:tc>
                <w:tcPr>
                  <w:tcW w:w="610" w:type="pct"/>
                  <w:vAlign w:val="center"/>
                </w:tcPr>
                <w:p w14:paraId="4DBCC0F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2.35</w:t>
                  </w:r>
                </w:p>
              </w:tc>
              <w:tc>
                <w:tcPr>
                  <w:tcW w:w="2121" w:type="pct"/>
                  <w:vAlign w:val="center"/>
                </w:tcPr>
                <w:p w14:paraId="3683F3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准备围油栏、防污帘、吸油毡等措施预防溢油事故影响</w:t>
                  </w:r>
                </w:p>
              </w:tc>
            </w:tr>
            <w:tr w14:paraId="7E9A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7" w:type="pct"/>
                  <w:gridSpan w:val="2"/>
                  <w:vAlign w:val="center"/>
                </w:tcPr>
                <w:p w14:paraId="79CC7889">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auto"/>
                      <w:sz w:val="21"/>
                      <w:szCs w:val="21"/>
                      <w:u w:val="none"/>
                    </w:rPr>
                  </w:pPr>
                  <w:r>
                    <w:rPr>
                      <w:rFonts w:hint="eastAsia" w:cs="Times New Roman"/>
                      <w:b w:val="0"/>
                      <w:bCs w:val="0"/>
                      <w:i w:val="0"/>
                      <w:iCs w:val="0"/>
                      <w:color w:val="auto"/>
                      <w:kern w:val="0"/>
                      <w:sz w:val="21"/>
                      <w:szCs w:val="21"/>
                      <w:u w:val="none"/>
                      <w:lang w:val="en-US" w:eastAsia="zh-CN" w:bidi="ar"/>
                    </w:rPr>
                    <w:t>合计</w:t>
                  </w:r>
                </w:p>
              </w:tc>
              <w:tc>
                <w:tcPr>
                  <w:tcW w:w="610" w:type="pct"/>
                  <w:vAlign w:val="center"/>
                </w:tcPr>
                <w:p w14:paraId="5920BD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u w:val="none"/>
                      <w:lang w:val="en-US"/>
                    </w:rPr>
                  </w:pPr>
                  <w:r>
                    <w:rPr>
                      <w:rFonts w:hint="eastAsia" w:ascii="Times New Roman" w:hAnsi="Times New Roman" w:eastAsia="宋体" w:cs="Times New Roman"/>
                      <w:b w:val="0"/>
                      <w:bCs w:val="0"/>
                      <w:i w:val="0"/>
                      <w:iCs w:val="0"/>
                      <w:color w:val="auto"/>
                      <w:sz w:val="21"/>
                      <w:szCs w:val="21"/>
                      <w:u w:val="none"/>
                      <w:lang w:val="en-US" w:eastAsia="zh-CN"/>
                    </w:rPr>
                    <w:t>92.78</w:t>
                  </w:r>
                </w:p>
              </w:tc>
              <w:tc>
                <w:tcPr>
                  <w:tcW w:w="2121" w:type="pct"/>
                  <w:vAlign w:val="center"/>
                </w:tcPr>
                <w:p w14:paraId="74D4A77B">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auto"/>
                      <w:sz w:val="21"/>
                      <w:szCs w:val="21"/>
                      <w:u w:val="none"/>
                    </w:rPr>
                  </w:pPr>
                </w:p>
              </w:tc>
            </w:tr>
          </w:tbl>
          <w:p w14:paraId="6647135B">
            <w:pPr>
              <w:spacing w:line="360" w:lineRule="auto"/>
              <w:ind w:firstLine="480" w:firstLineChars="200"/>
              <w:rPr>
                <w:color w:val="000000"/>
                <w:sz w:val="24"/>
                <w:u w:val="none"/>
              </w:rPr>
            </w:pPr>
            <w:r>
              <w:rPr>
                <w:color w:val="000000"/>
                <w:sz w:val="24"/>
                <w:u w:val="none"/>
              </w:rPr>
              <w:t>项目总投资</w:t>
            </w:r>
            <w:r>
              <w:rPr>
                <w:rFonts w:hint="eastAsia"/>
                <w:color w:val="000000"/>
                <w:sz w:val="24"/>
                <w:u w:val="none"/>
                <w:lang w:val="en-US" w:eastAsia="zh-CN"/>
              </w:rPr>
              <w:t>4217.79</w:t>
            </w:r>
            <w:r>
              <w:rPr>
                <w:color w:val="000000"/>
                <w:sz w:val="24"/>
                <w:u w:val="none"/>
              </w:rPr>
              <w:t>万元，其中环保投资总共为</w:t>
            </w:r>
            <w:r>
              <w:rPr>
                <w:rFonts w:hint="eastAsia"/>
                <w:color w:val="000000"/>
                <w:sz w:val="24"/>
                <w:u w:val="none"/>
                <w:lang w:val="en-US" w:eastAsia="zh-CN"/>
              </w:rPr>
              <w:t>92.78</w:t>
            </w:r>
            <w:r>
              <w:rPr>
                <w:color w:val="000000"/>
                <w:sz w:val="24"/>
                <w:u w:val="none"/>
              </w:rPr>
              <w:t>万元，占投资总额的</w:t>
            </w:r>
            <w:r>
              <w:rPr>
                <w:rFonts w:hint="eastAsia"/>
                <w:color w:val="000000"/>
                <w:sz w:val="24"/>
                <w:u w:val="none"/>
                <w:lang w:val="en-US" w:eastAsia="zh-CN"/>
              </w:rPr>
              <w:t>2.2</w:t>
            </w:r>
            <w:r>
              <w:rPr>
                <w:color w:val="000000"/>
                <w:sz w:val="24"/>
                <w:u w:val="none"/>
              </w:rPr>
              <w:t>%，措施采取后，各项污染物可实现达标排放或有效处置，项目从环境保护角度分析，技术可行。</w:t>
            </w:r>
          </w:p>
          <w:p w14:paraId="521D72DF">
            <w:pPr>
              <w:rPr>
                <w:color w:val="000000"/>
                <w:sz w:val="24"/>
              </w:rPr>
            </w:pPr>
          </w:p>
          <w:p w14:paraId="6112BDDD">
            <w:pPr>
              <w:rPr>
                <w:color w:val="000000"/>
                <w:sz w:val="24"/>
              </w:rPr>
            </w:pPr>
          </w:p>
          <w:p w14:paraId="23094E9A">
            <w:pPr>
              <w:pStyle w:val="60"/>
              <w:rPr>
                <w:color w:val="000000"/>
                <w:sz w:val="24"/>
              </w:rPr>
            </w:pPr>
          </w:p>
          <w:p w14:paraId="189AA453">
            <w:pPr>
              <w:pStyle w:val="60"/>
              <w:rPr>
                <w:color w:val="000000"/>
                <w:sz w:val="24"/>
              </w:rPr>
            </w:pPr>
          </w:p>
          <w:p w14:paraId="7A6F12EC">
            <w:pPr>
              <w:rPr>
                <w:color w:val="000000"/>
                <w:sz w:val="24"/>
              </w:rPr>
            </w:pPr>
          </w:p>
          <w:p w14:paraId="64FD1799">
            <w:pPr>
              <w:pStyle w:val="60"/>
              <w:rPr>
                <w:color w:val="000000"/>
                <w:sz w:val="24"/>
              </w:rPr>
            </w:pPr>
          </w:p>
          <w:p w14:paraId="5F5C07B7">
            <w:pPr>
              <w:rPr>
                <w:color w:val="000000"/>
                <w:sz w:val="24"/>
              </w:rPr>
            </w:pPr>
          </w:p>
          <w:p w14:paraId="7BFC77CC">
            <w:pPr>
              <w:pStyle w:val="60"/>
              <w:rPr>
                <w:color w:val="000000"/>
                <w:sz w:val="24"/>
              </w:rPr>
            </w:pPr>
          </w:p>
          <w:p w14:paraId="34DE88A7">
            <w:pPr>
              <w:rPr>
                <w:color w:val="000000"/>
                <w:sz w:val="24"/>
              </w:rPr>
            </w:pPr>
          </w:p>
          <w:p w14:paraId="5DB0BB5D">
            <w:pPr>
              <w:pStyle w:val="60"/>
              <w:ind w:left="0" w:leftChars="0" w:firstLine="0" w:firstLineChars="0"/>
              <w:rPr>
                <w:color w:val="000000"/>
                <w:sz w:val="24"/>
              </w:rPr>
            </w:pPr>
          </w:p>
          <w:p w14:paraId="5A767B07">
            <w:pPr>
              <w:rPr>
                <w:color w:val="000000"/>
                <w:sz w:val="24"/>
              </w:rPr>
            </w:pPr>
          </w:p>
          <w:p w14:paraId="24A16489">
            <w:pPr>
              <w:pStyle w:val="60"/>
              <w:rPr>
                <w:color w:val="000000"/>
                <w:sz w:val="24"/>
              </w:rPr>
            </w:pPr>
          </w:p>
          <w:p w14:paraId="5B337AC5">
            <w:pPr>
              <w:rPr>
                <w:color w:val="000000"/>
                <w:sz w:val="24"/>
              </w:rPr>
            </w:pPr>
          </w:p>
          <w:p w14:paraId="5D54F41A">
            <w:pPr>
              <w:pStyle w:val="60"/>
            </w:pPr>
          </w:p>
        </w:tc>
      </w:tr>
    </w:tbl>
    <w:p w14:paraId="3E412AF9">
      <w:pPr>
        <w:widowControl/>
        <w:spacing w:before="100" w:beforeAutospacing="1" w:after="100" w:afterAutospacing="1"/>
        <w:jc w:val="center"/>
        <w:outlineLvl w:val="0"/>
        <w:rPr>
          <w:rFonts w:ascii="黑体" w:hAnsi="黑体" w:eastAsia="黑体"/>
          <w:snapToGrid w:val="0"/>
          <w:color w:val="000000"/>
          <w:sz w:val="30"/>
          <w:szCs w:val="30"/>
          <w:u w:val="single"/>
        </w:rPr>
      </w:pPr>
      <w:bookmarkStart w:id="15" w:name="_Toc4571"/>
      <w:r>
        <w:rPr>
          <w:rFonts w:hint="eastAsia" w:ascii="黑体" w:hAnsi="黑体" w:eastAsia="黑体"/>
          <w:snapToGrid w:val="0"/>
          <w:color w:val="000000"/>
          <w:sz w:val="30"/>
          <w:szCs w:val="30"/>
        </w:rPr>
        <w:br w:type="page"/>
      </w:r>
      <w:r>
        <w:rPr>
          <w:rFonts w:hint="eastAsia" w:ascii="黑体" w:hAnsi="黑体" w:eastAsia="黑体"/>
          <w:snapToGrid w:val="0"/>
          <w:color w:val="000000"/>
          <w:sz w:val="30"/>
          <w:szCs w:val="30"/>
          <w:u w:val="none"/>
        </w:rPr>
        <w:t>六、生态环境保护措施监督检查清单</w:t>
      </w:r>
      <w:bookmarkEnd w:id="15"/>
    </w:p>
    <w:tbl>
      <w:tblPr>
        <w:tblStyle w:val="45"/>
        <w:tblW w:w="535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3632"/>
        <w:gridCol w:w="1546"/>
        <w:gridCol w:w="1380"/>
        <w:gridCol w:w="1335"/>
      </w:tblGrid>
      <w:tr w14:paraId="6160E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Merge w:val="restart"/>
            <w:tcBorders>
              <w:tl2br w:val="single" w:color="auto" w:sz="4" w:space="0"/>
            </w:tcBorders>
            <w:vAlign w:val="center"/>
          </w:tcPr>
          <w:p w14:paraId="51142C6D">
            <w:pPr>
              <w:widowControl/>
              <w:adjustRightInd w:val="0"/>
              <w:snapToGrid w:val="0"/>
              <w:spacing w:line="300" w:lineRule="exact"/>
              <w:ind w:firstLine="482" w:firstLineChars="200"/>
              <w:jc w:val="both"/>
              <w:rPr>
                <w:rFonts w:ascii="宋体" w:hAnsi="宋体"/>
                <w:b/>
                <w:bCs/>
                <w:color w:val="000000"/>
                <w:sz w:val="24"/>
                <w:szCs w:val="24"/>
                <w:u w:val="none"/>
              </w:rPr>
            </w:pPr>
            <w:r>
              <w:rPr>
                <w:rFonts w:ascii="宋体" w:hAnsi="宋体"/>
                <w:b/>
                <w:bCs/>
                <w:color w:val="000000"/>
                <w:sz w:val="24"/>
                <w:szCs w:val="24"/>
                <w:u w:val="none"/>
              </w:rPr>
              <w:t>内容</w:t>
            </w:r>
          </w:p>
          <w:p w14:paraId="11E4609D">
            <w:pPr>
              <w:widowControl/>
              <w:adjustRightInd w:val="0"/>
              <w:snapToGrid w:val="0"/>
              <w:spacing w:line="300" w:lineRule="exact"/>
              <w:ind w:firstLine="120" w:firstLineChars="50"/>
              <w:jc w:val="left"/>
              <w:rPr>
                <w:rFonts w:ascii="宋体" w:hAnsi="宋体"/>
                <w:b/>
                <w:bCs/>
                <w:color w:val="000000"/>
                <w:sz w:val="24"/>
                <w:szCs w:val="24"/>
                <w:u w:val="none"/>
              </w:rPr>
            </w:pPr>
            <w:r>
              <w:rPr>
                <w:rFonts w:ascii="宋体" w:hAnsi="宋体"/>
                <w:b/>
                <w:bCs/>
                <w:color w:val="000000"/>
                <w:sz w:val="24"/>
                <w:szCs w:val="24"/>
                <w:u w:val="none"/>
              </w:rPr>
              <w:t>要素</w:t>
            </w:r>
          </w:p>
        </w:tc>
        <w:tc>
          <w:tcPr>
            <w:tcW w:w="2832" w:type="pct"/>
            <w:gridSpan w:val="2"/>
            <w:vAlign w:val="center"/>
          </w:tcPr>
          <w:p w14:paraId="0DB7AB1F">
            <w:pPr>
              <w:widowControl/>
              <w:adjustRightInd w:val="0"/>
              <w:snapToGrid w:val="0"/>
              <w:spacing w:line="300" w:lineRule="exact"/>
              <w:jc w:val="center"/>
              <w:rPr>
                <w:rFonts w:ascii="宋体" w:hAnsi="宋体"/>
                <w:b/>
                <w:bCs/>
                <w:color w:val="000000"/>
                <w:sz w:val="24"/>
                <w:szCs w:val="24"/>
                <w:u w:val="none"/>
              </w:rPr>
            </w:pPr>
            <w:r>
              <w:rPr>
                <w:rFonts w:ascii="宋体" w:hAnsi="宋体"/>
                <w:b/>
                <w:bCs/>
                <w:color w:val="000000"/>
                <w:sz w:val="24"/>
                <w:szCs w:val="24"/>
                <w:u w:val="none"/>
              </w:rPr>
              <w:t>施工期</w:t>
            </w:r>
          </w:p>
        </w:tc>
        <w:tc>
          <w:tcPr>
            <w:tcW w:w="1485" w:type="pct"/>
            <w:gridSpan w:val="2"/>
            <w:vAlign w:val="center"/>
          </w:tcPr>
          <w:p w14:paraId="3D09C51C">
            <w:pPr>
              <w:widowControl/>
              <w:adjustRightInd w:val="0"/>
              <w:snapToGrid w:val="0"/>
              <w:spacing w:line="300" w:lineRule="exact"/>
              <w:jc w:val="center"/>
              <w:rPr>
                <w:rFonts w:ascii="宋体" w:hAnsi="宋体"/>
                <w:b/>
                <w:bCs/>
                <w:color w:val="000000"/>
                <w:sz w:val="24"/>
                <w:szCs w:val="24"/>
                <w:u w:val="none"/>
              </w:rPr>
            </w:pPr>
            <w:r>
              <w:rPr>
                <w:rFonts w:ascii="宋体" w:hAnsi="宋体"/>
                <w:b/>
                <w:bCs/>
                <w:color w:val="000000"/>
                <w:sz w:val="24"/>
                <w:szCs w:val="24"/>
                <w:u w:val="none"/>
              </w:rPr>
              <w:t>运营期</w:t>
            </w:r>
          </w:p>
        </w:tc>
      </w:tr>
      <w:tr w14:paraId="74874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Merge w:val="continue"/>
            <w:vAlign w:val="center"/>
          </w:tcPr>
          <w:p w14:paraId="6E5905E2">
            <w:pPr>
              <w:widowControl/>
              <w:spacing w:line="300" w:lineRule="exact"/>
              <w:jc w:val="center"/>
              <w:rPr>
                <w:rFonts w:ascii="宋体" w:hAnsi="宋体"/>
                <w:b/>
                <w:bCs/>
                <w:color w:val="000000"/>
                <w:sz w:val="24"/>
                <w:szCs w:val="24"/>
                <w:u w:val="none"/>
              </w:rPr>
            </w:pPr>
          </w:p>
        </w:tc>
        <w:tc>
          <w:tcPr>
            <w:tcW w:w="1987" w:type="pct"/>
            <w:vAlign w:val="center"/>
          </w:tcPr>
          <w:p w14:paraId="39303F7A">
            <w:pPr>
              <w:widowControl/>
              <w:adjustRightInd w:val="0"/>
              <w:snapToGrid w:val="0"/>
              <w:spacing w:line="300" w:lineRule="exact"/>
              <w:jc w:val="center"/>
              <w:rPr>
                <w:rFonts w:ascii="宋体" w:hAnsi="宋体"/>
                <w:b/>
                <w:bCs/>
                <w:color w:val="000000"/>
                <w:sz w:val="24"/>
                <w:szCs w:val="24"/>
                <w:u w:val="none"/>
              </w:rPr>
            </w:pPr>
            <w:r>
              <w:rPr>
                <w:rFonts w:ascii="宋体" w:hAnsi="宋体"/>
                <w:b/>
                <w:bCs/>
                <w:color w:val="000000"/>
                <w:sz w:val="24"/>
                <w:szCs w:val="24"/>
                <w:u w:val="none"/>
              </w:rPr>
              <w:t>环境保护措施</w:t>
            </w:r>
          </w:p>
        </w:tc>
        <w:tc>
          <w:tcPr>
            <w:tcW w:w="845" w:type="pct"/>
            <w:vAlign w:val="center"/>
          </w:tcPr>
          <w:p w14:paraId="6EDB017F">
            <w:pPr>
              <w:widowControl/>
              <w:adjustRightInd w:val="0"/>
              <w:snapToGrid w:val="0"/>
              <w:spacing w:line="300" w:lineRule="exact"/>
              <w:jc w:val="center"/>
              <w:rPr>
                <w:rFonts w:ascii="宋体" w:hAnsi="宋体"/>
                <w:b/>
                <w:bCs/>
                <w:color w:val="000000"/>
                <w:sz w:val="24"/>
                <w:szCs w:val="24"/>
                <w:u w:val="none"/>
              </w:rPr>
            </w:pPr>
            <w:r>
              <w:rPr>
                <w:rFonts w:ascii="宋体" w:hAnsi="宋体"/>
                <w:b/>
                <w:bCs/>
                <w:color w:val="000000"/>
                <w:sz w:val="24"/>
                <w:szCs w:val="24"/>
                <w:u w:val="none"/>
              </w:rPr>
              <w:t>验收要求</w:t>
            </w:r>
          </w:p>
        </w:tc>
        <w:tc>
          <w:tcPr>
            <w:tcW w:w="755" w:type="pct"/>
            <w:vAlign w:val="center"/>
          </w:tcPr>
          <w:p w14:paraId="140FCBED">
            <w:pPr>
              <w:widowControl/>
              <w:adjustRightInd w:val="0"/>
              <w:snapToGrid w:val="0"/>
              <w:spacing w:line="300" w:lineRule="exact"/>
              <w:jc w:val="center"/>
              <w:rPr>
                <w:rFonts w:ascii="宋体" w:hAnsi="宋体"/>
                <w:b/>
                <w:bCs/>
                <w:color w:val="000000"/>
                <w:sz w:val="24"/>
                <w:szCs w:val="24"/>
                <w:u w:val="none"/>
              </w:rPr>
            </w:pPr>
            <w:r>
              <w:rPr>
                <w:rFonts w:ascii="宋体" w:hAnsi="宋体"/>
                <w:b/>
                <w:bCs/>
                <w:color w:val="000000"/>
                <w:sz w:val="24"/>
                <w:szCs w:val="24"/>
                <w:u w:val="none"/>
              </w:rPr>
              <w:t>环境保护措施</w:t>
            </w:r>
          </w:p>
        </w:tc>
        <w:tc>
          <w:tcPr>
            <w:tcW w:w="730" w:type="pct"/>
            <w:vAlign w:val="center"/>
          </w:tcPr>
          <w:p w14:paraId="2E891095">
            <w:pPr>
              <w:widowControl/>
              <w:adjustRightInd w:val="0"/>
              <w:snapToGrid w:val="0"/>
              <w:spacing w:line="300" w:lineRule="exact"/>
              <w:jc w:val="center"/>
              <w:rPr>
                <w:rFonts w:ascii="宋体" w:hAnsi="宋体"/>
                <w:b/>
                <w:bCs/>
                <w:color w:val="000000"/>
                <w:sz w:val="24"/>
                <w:szCs w:val="24"/>
                <w:u w:val="none"/>
              </w:rPr>
            </w:pPr>
            <w:r>
              <w:rPr>
                <w:rFonts w:ascii="宋体" w:hAnsi="宋体"/>
                <w:b/>
                <w:bCs/>
                <w:color w:val="000000"/>
                <w:sz w:val="24"/>
                <w:szCs w:val="24"/>
                <w:u w:val="none"/>
              </w:rPr>
              <w:t>验收要求</w:t>
            </w:r>
          </w:p>
        </w:tc>
      </w:tr>
      <w:tr w14:paraId="032FD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2E52047E">
            <w:pPr>
              <w:adjustRightInd w:val="0"/>
              <w:snapToGrid w:val="0"/>
              <w:spacing w:line="300" w:lineRule="exact"/>
              <w:jc w:val="center"/>
              <w:rPr>
                <w:color w:val="000000"/>
                <w:sz w:val="24"/>
                <w:szCs w:val="24"/>
                <w:u w:val="none"/>
              </w:rPr>
            </w:pPr>
            <w:r>
              <w:rPr>
                <w:rFonts w:hAnsi="宋体"/>
                <w:color w:val="000000"/>
                <w:sz w:val="24"/>
                <w:szCs w:val="24"/>
                <w:u w:val="none"/>
              </w:rPr>
              <w:t>陆生生态</w:t>
            </w:r>
          </w:p>
        </w:tc>
        <w:tc>
          <w:tcPr>
            <w:tcW w:w="1987" w:type="pct"/>
            <w:vAlign w:val="center"/>
          </w:tcPr>
          <w:p w14:paraId="5EABD125">
            <w:pPr>
              <w:numPr>
                <w:ilvl w:val="0"/>
                <w:numId w:val="7"/>
              </w:numPr>
              <w:adjustRightInd w:val="0"/>
              <w:snapToGrid w:val="0"/>
              <w:spacing w:line="300" w:lineRule="exact"/>
              <w:jc w:val="center"/>
              <w:rPr>
                <w:rFonts w:hint="eastAsia"/>
                <w:color w:val="000000"/>
                <w:sz w:val="24"/>
                <w:szCs w:val="24"/>
                <w:u w:val="none"/>
              </w:rPr>
            </w:pPr>
            <w:r>
              <w:rPr>
                <w:rFonts w:hint="eastAsia"/>
                <w:color w:val="000000"/>
                <w:sz w:val="24"/>
                <w:szCs w:val="24"/>
                <w:u w:val="none"/>
              </w:rPr>
              <w:t>尽量减少临时占地面积，在场地四周布设临时排水土沟，拦蓄施工过程中流失的水土。工程结束后，临建设施全部拆迁并进行复垦。</w:t>
            </w:r>
          </w:p>
          <w:p w14:paraId="3828529E">
            <w:pPr>
              <w:numPr>
                <w:ilvl w:val="0"/>
                <w:numId w:val="0"/>
              </w:numPr>
              <w:adjustRightInd w:val="0"/>
              <w:snapToGrid w:val="0"/>
              <w:spacing w:line="300" w:lineRule="exact"/>
              <w:jc w:val="both"/>
              <w:rPr>
                <w:rFonts w:hint="eastAsia"/>
                <w:color w:val="000000"/>
                <w:sz w:val="24"/>
                <w:szCs w:val="24"/>
                <w:u w:val="none"/>
              </w:rPr>
            </w:pPr>
            <w:r>
              <w:rPr>
                <w:rFonts w:hint="eastAsia"/>
                <w:color w:val="000000"/>
                <w:sz w:val="24"/>
                <w:szCs w:val="24"/>
                <w:u w:val="none"/>
              </w:rPr>
              <w:t>（2）合理安排施工季节和施工计划，尽量避免雨季施工和减少裸露面的暴露时间，不能避免时，雨季施工做好防、排水工作并采用在裸露面覆盖彩条布的措施。</w:t>
            </w:r>
          </w:p>
          <w:p w14:paraId="1CA112E9">
            <w:pPr>
              <w:adjustRightInd w:val="0"/>
              <w:snapToGrid w:val="0"/>
              <w:spacing w:line="300" w:lineRule="exact"/>
              <w:jc w:val="center"/>
              <w:rPr>
                <w:rFonts w:hint="eastAsia" w:eastAsia="宋体"/>
                <w:color w:val="000000"/>
                <w:sz w:val="24"/>
                <w:szCs w:val="24"/>
                <w:u w:val="none"/>
                <w:lang w:val="en-US" w:eastAsia="zh-CN"/>
              </w:rPr>
            </w:pPr>
            <w:r>
              <w:rPr>
                <w:rFonts w:hint="eastAsia"/>
                <w:color w:val="000000"/>
                <w:sz w:val="24"/>
                <w:szCs w:val="24"/>
                <w:u w:val="none"/>
              </w:rPr>
              <w:t>（3）施工作业完成后将对搭建工棚、设备、沉淀池进行拆除，恢复原貌及其建设用地性质</w:t>
            </w:r>
            <w:r>
              <w:rPr>
                <w:rFonts w:hint="eastAsia"/>
                <w:color w:val="000000"/>
                <w:sz w:val="24"/>
                <w:szCs w:val="24"/>
                <w:u w:val="none"/>
                <w:lang w:eastAsia="zh-CN"/>
              </w:rPr>
              <w:t>。</w:t>
            </w:r>
          </w:p>
        </w:tc>
        <w:tc>
          <w:tcPr>
            <w:tcW w:w="845" w:type="pct"/>
            <w:vAlign w:val="center"/>
          </w:tcPr>
          <w:p w14:paraId="0D3F0C81">
            <w:pPr>
              <w:adjustRightInd w:val="0"/>
              <w:snapToGrid w:val="0"/>
              <w:spacing w:line="300" w:lineRule="exact"/>
              <w:jc w:val="center"/>
              <w:rPr>
                <w:color w:val="000000"/>
                <w:sz w:val="24"/>
                <w:szCs w:val="24"/>
                <w:u w:val="none"/>
              </w:rPr>
            </w:pPr>
            <w:r>
              <w:rPr>
                <w:rFonts w:hint="eastAsia"/>
                <w:color w:val="000000"/>
                <w:sz w:val="24"/>
                <w:szCs w:val="24"/>
                <w:u w:val="none"/>
              </w:rPr>
              <w:t>施工过程采取遮盖、拦挡等表土防护措施；施工结束后进行植被恢复或地面硬化，且措施效果良好，迹地恢复良好</w:t>
            </w:r>
          </w:p>
        </w:tc>
        <w:tc>
          <w:tcPr>
            <w:tcW w:w="755" w:type="pct"/>
            <w:vAlign w:val="center"/>
          </w:tcPr>
          <w:p w14:paraId="232ED14C">
            <w:pPr>
              <w:adjustRightInd w:val="0"/>
              <w:snapToGrid w:val="0"/>
              <w:spacing w:line="300" w:lineRule="exact"/>
              <w:jc w:val="center"/>
              <w:rPr>
                <w:rFonts w:hint="eastAsia" w:eastAsia="宋体"/>
                <w:color w:val="000000"/>
                <w:sz w:val="24"/>
                <w:szCs w:val="24"/>
                <w:u w:val="none"/>
                <w:lang w:eastAsia="zh-CN"/>
              </w:rPr>
            </w:pPr>
            <w:r>
              <w:rPr>
                <w:rFonts w:hint="eastAsia"/>
                <w:color w:val="000000"/>
                <w:sz w:val="24"/>
                <w:szCs w:val="24"/>
                <w:u w:val="none"/>
                <w:lang w:val="en-US" w:eastAsia="zh-CN"/>
              </w:rPr>
              <w:t>/</w:t>
            </w:r>
          </w:p>
        </w:tc>
        <w:tc>
          <w:tcPr>
            <w:tcW w:w="730" w:type="pct"/>
            <w:vAlign w:val="center"/>
          </w:tcPr>
          <w:p w14:paraId="1EF3D29E">
            <w:pPr>
              <w:adjustRightInd w:val="0"/>
              <w:snapToGrid w:val="0"/>
              <w:spacing w:line="300" w:lineRule="exact"/>
              <w:jc w:val="center"/>
              <w:rPr>
                <w:rFonts w:hint="eastAsia" w:eastAsia="宋体"/>
                <w:color w:val="000000"/>
                <w:sz w:val="24"/>
                <w:szCs w:val="24"/>
                <w:u w:val="none"/>
                <w:lang w:eastAsia="zh-CN"/>
              </w:rPr>
            </w:pPr>
            <w:r>
              <w:rPr>
                <w:rStyle w:val="56"/>
                <w:rFonts w:hint="eastAsia"/>
                <w:color w:val="000000"/>
                <w:kern w:val="0"/>
                <w:sz w:val="24"/>
                <w:szCs w:val="24"/>
                <w:u w:val="none"/>
                <w:lang w:val="en-US" w:eastAsia="zh-CN"/>
              </w:rPr>
              <w:t>/</w:t>
            </w:r>
          </w:p>
        </w:tc>
      </w:tr>
      <w:tr w14:paraId="215D9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7A6E31F6">
            <w:pPr>
              <w:adjustRightInd w:val="0"/>
              <w:snapToGrid w:val="0"/>
              <w:spacing w:line="300" w:lineRule="exact"/>
              <w:jc w:val="center"/>
              <w:rPr>
                <w:color w:val="000000"/>
                <w:sz w:val="24"/>
                <w:szCs w:val="24"/>
                <w:u w:val="none"/>
              </w:rPr>
            </w:pPr>
            <w:r>
              <w:rPr>
                <w:rFonts w:hAnsi="宋体"/>
                <w:color w:val="000000"/>
                <w:sz w:val="24"/>
                <w:szCs w:val="24"/>
                <w:u w:val="none"/>
              </w:rPr>
              <w:t>水生生态</w:t>
            </w:r>
          </w:p>
        </w:tc>
        <w:tc>
          <w:tcPr>
            <w:tcW w:w="1987" w:type="pct"/>
            <w:vAlign w:val="center"/>
          </w:tcPr>
          <w:p w14:paraId="4A17986D">
            <w:pPr>
              <w:adjustRightInd w:val="0"/>
              <w:snapToGrid w:val="0"/>
              <w:spacing w:line="300" w:lineRule="exact"/>
              <w:jc w:val="center"/>
              <w:rPr>
                <w:rFonts w:hint="eastAsia" w:eastAsia="宋体"/>
                <w:color w:val="000000"/>
                <w:sz w:val="24"/>
                <w:szCs w:val="24"/>
                <w:u w:val="none"/>
                <w:lang w:val="en-US" w:eastAsia="zh-CN"/>
              </w:rPr>
            </w:pPr>
            <w:r>
              <w:rPr>
                <w:rFonts w:hint="eastAsia"/>
                <w:color w:val="000000"/>
                <w:sz w:val="24"/>
                <w:szCs w:val="24"/>
                <w:u w:val="none"/>
              </w:rPr>
              <w:t>合理安排水闸施工导流作业时期，减少围堰设置对水体的扰动；加大对水生生物保护的宣传力度，在施工区域、施工现场等场所设立保护水生生物的宣传牌；加大对施工人员的教育力度，提高对鱼类的保护意识，加强管理，严禁施工人员捕鱼和非法捕捞作业；降低施工废物对水闸水质的不利影响</w:t>
            </w:r>
            <w:r>
              <w:rPr>
                <w:rFonts w:hint="eastAsia"/>
                <w:color w:val="000000"/>
                <w:sz w:val="24"/>
                <w:szCs w:val="24"/>
                <w:u w:val="none"/>
                <w:lang w:eastAsia="zh-CN"/>
              </w:rPr>
              <w:t>。</w:t>
            </w:r>
          </w:p>
        </w:tc>
        <w:tc>
          <w:tcPr>
            <w:tcW w:w="845" w:type="pct"/>
            <w:vAlign w:val="center"/>
          </w:tcPr>
          <w:p w14:paraId="4F7A2867">
            <w:pPr>
              <w:adjustRightInd w:val="0"/>
              <w:snapToGrid w:val="0"/>
              <w:spacing w:line="300" w:lineRule="exact"/>
              <w:jc w:val="center"/>
              <w:rPr>
                <w:color w:val="000000"/>
                <w:sz w:val="24"/>
                <w:szCs w:val="24"/>
                <w:u w:val="none"/>
              </w:rPr>
            </w:pPr>
            <w:r>
              <w:rPr>
                <w:rFonts w:hint="eastAsia"/>
                <w:color w:val="000000"/>
                <w:sz w:val="24"/>
                <w:szCs w:val="24"/>
                <w:u w:val="none"/>
              </w:rPr>
              <w:t>严禁将施工废水排入周边地表水体</w:t>
            </w:r>
          </w:p>
        </w:tc>
        <w:tc>
          <w:tcPr>
            <w:tcW w:w="755" w:type="pct"/>
            <w:vAlign w:val="center"/>
          </w:tcPr>
          <w:p w14:paraId="42354EA3">
            <w:pPr>
              <w:adjustRightInd w:val="0"/>
              <w:snapToGrid w:val="0"/>
              <w:spacing w:line="300" w:lineRule="exact"/>
              <w:jc w:val="center"/>
              <w:rPr>
                <w:color w:val="000000"/>
                <w:sz w:val="24"/>
                <w:szCs w:val="24"/>
                <w:u w:val="none"/>
              </w:rPr>
            </w:pPr>
            <w:r>
              <w:rPr>
                <w:color w:val="000000"/>
                <w:sz w:val="24"/>
                <w:szCs w:val="24"/>
                <w:u w:val="none"/>
              </w:rPr>
              <w:t>/</w:t>
            </w:r>
          </w:p>
        </w:tc>
        <w:tc>
          <w:tcPr>
            <w:tcW w:w="730" w:type="pct"/>
            <w:vAlign w:val="center"/>
          </w:tcPr>
          <w:p w14:paraId="56456684">
            <w:pPr>
              <w:adjustRightInd w:val="0"/>
              <w:snapToGrid w:val="0"/>
              <w:spacing w:line="300" w:lineRule="exact"/>
              <w:jc w:val="center"/>
              <w:rPr>
                <w:color w:val="000000"/>
                <w:sz w:val="24"/>
                <w:szCs w:val="24"/>
                <w:u w:val="none"/>
              </w:rPr>
            </w:pPr>
            <w:r>
              <w:rPr>
                <w:color w:val="000000"/>
                <w:sz w:val="24"/>
                <w:szCs w:val="24"/>
                <w:u w:val="none"/>
              </w:rPr>
              <w:t>/</w:t>
            </w:r>
          </w:p>
        </w:tc>
      </w:tr>
      <w:tr w14:paraId="06D35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073A9D9F">
            <w:pPr>
              <w:adjustRightInd w:val="0"/>
              <w:snapToGrid w:val="0"/>
              <w:spacing w:line="300" w:lineRule="exact"/>
              <w:jc w:val="center"/>
              <w:rPr>
                <w:color w:val="000000"/>
                <w:sz w:val="24"/>
                <w:szCs w:val="24"/>
                <w:u w:val="none"/>
              </w:rPr>
            </w:pPr>
            <w:r>
              <w:rPr>
                <w:rFonts w:hAnsi="宋体"/>
                <w:color w:val="000000"/>
                <w:sz w:val="24"/>
                <w:szCs w:val="24"/>
                <w:u w:val="none"/>
              </w:rPr>
              <w:t>地表水环境</w:t>
            </w:r>
          </w:p>
        </w:tc>
        <w:tc>
          <w:tcPr>
            <w:tcW w:w="3632" w:type="dxa"/>
            <w:vAlign w:val="center"/>
          </w:tcPr>
          <w:p w14:paraId="4634C222">
            <w:pPr>
              <w:adjustRightInd w:val="0"/>
              <w:snapToGrid w:val="0"/>
              <w:spacing w:line="300" w:lineRule="exact"/>
              <w:jc w:val="center"/>
              <w:rPr>
                <w:rFonts w:hint="eastAsia" w:ascii="Times New Roman" w:hAnsi="Times New Roman" w:eastAsia="宋体" w:cs="Times New Roman"/>
                <w:color w:val="000000"/>
                <w:sz w:val="24"/>
                <w:szCs w:val="24"/>
                <w:u w:val="none"/>
                <w:lang w:eastAsia="zh-CN"/>
              </w:rPr>
            </w:pPr>
            <w:r>
              <w:rPr>
                <w:rFonts w:hint="eastAsia" w:ascii="Times New Roman" w:hAnsi="Times New Roman" w:eastAsia="宋体" w:cs="Times New Roman"/>
                <w:color w:val="000000"/>
                <w:sz w:val="24"/>
                <w:szCs w:val="24"/>
                <w:u w:val="none"/>
              </w:rPr>
              <w:t>设置沉淀池，施工废水排入沉淀池处理后回用；合理控制施工范围，减少施工对河道的扰动控制水体悬浮物含量</w:t>
            </w:r>
            <w:r>
              <w:rPr>
                <w:rFonts w:hint="eastAsia" w:ascii="Times New Roman" w:hAnsi="Times New Roman" w:eastAsia="宋体" w:cs="Times New Roman"/>
                <w:color w:val="000000"/>
                <w:sz w:val="24"/>
                <w:szCs w:val="24"/>
                <w:u w:val="none"/>
                <w:lang w:eastAsia="zh-CN"/>
              </w:rPr>
              <w:t>；</w:t>
            </w:r>
            <w:r>
              <w:rPr>
                <w:rFonts w:hint="eastAsia" w:ascii="Times New Roman" w:hAnsi="Times New Roman" w:eastAsia="宋体" w:cs="Times New Roman"/>
                <w:color w:val="000000"/>
                <w:sz w:val="24"/>
                <w:szCs w:val="24"/>
                <w:u w:val="none"/>
              </w:rPr>
              <w:t>施工</w:t>
            </w:r>
            <w:r>
              <w:rPr>
                <w:rFonts w:hint="eastAsia" w:ascii="Times New Roman" w:hAnsi="Times New Roman" w:eastAsia="宋体" w:cs="Times New Roman"/>
                <w:color w:val="000000"/>
                <w:sz w:val="24"/>
                <w:szCs w:val="24"/>
                <w:u w:val="none"/>
                <w:lang w:val="en-US" w:eastAsia="zh-CN"/>
              </w:rPr>
              <w:t>人员</w:t>
            </w:r>
            <w:r>
              <w:rPr>
                <w:rFonts w:hint="eastAsia" w:ascii="Times New Roman" w:hAnsi="Times New Roman" w:eastAsia="宋体" w:cs="Times New Roman"/>
                <w:color w:val="000000"/>
                <w:sz w:val="24"/>
                <w:szCs w:val="24"/>
                <w:u w:val="none"/>
              </w:rPr>
              <w:t>生活污水经化粪池处理后用于农田施肥</w:t>
            </w:r>
            <w:r>
              <w:rPr>
                <w:rFonts w:hint="eastAsia" w:ascii="Times New Roman" w:hAnsi="Times New Roman" w:eastAsia="宋体" w:cs="Times New Roman"/>
                <w:color w:val="000000"/>
                <w:sz w:val="24"/>
                <w:szCs w:val="24"/>
                <w:u w:val="none"/>
                <w:lang w:eastAsia="zh-CN"/>
              </w:rPr>
              <w:t>，</w:t>
            </w:r>
            <w:r>
              <w:rPr>
                <w:rFonts w:hint="eastAsia" w:ascii="Times New Roman" w:hAnsi="Times New Roman" w:eastAsia="宋体" w:cs="Times New Roman"/>
                <w:color w:val="000000"/>
                <w:sz w:val="24"/>
                <w:szCs w:val="24"/>
                <w:u w:val="none"/>
              </w:rPr>
              <w:t>不外排</w:t>
            </w:r>
          </w:p>
        </w:tc>
        <w:tc>
          <w:tcPr>
            <w:tcW w:w="1546" w:type="dxa"/>
            <w:vAlign w:val="center"/>
          </w:tcPr>
          <w:p w14:paraId="34D7C927">
            <w:pPr>
              <w:adjustRightInd w:val="0"/>
              <w:snapToGrid w:val="0"/>
              <w:spacing w:line="300" w:lineRule="exact"/>
              <w:jc w:val="center"/>
              <w:rPr>
                <w:rFonts w:hint="eastAsia" w:ascii="Times New Roman" w:hAnsi="Times New Roman" w:eastAsia="宋体" w:cs="Times New Roman"/>
                <w:color w:val="000000"/>
                <w:sz w:val="24"/>
                <w:szCs w:val="24"/>
                <w:u w:val="none"/>
              </w:rPr>
            </w:pPr>
            <w:r>
              <w:rPr>
                <w:rFonts w:hint="eastAsia" w:ascii="Times New Roman" w:hAnsi="Times New Roman" w:eastAsia="宋体" w:cs="Times New Roman"/>
                <w:color w:val="000000"/>
                <w:sz w:val="24"/>
                <w:szCs w:val="24"/>
                <w:u w:val="none"/>
              </w:rPr>
              <w:t>废水不外排，</w:t>
            </w:r>
            <w:r>
              <w:rPr>
                <w:rFonts w:hint="eastAsia" w:ascii="Times New Roman" w:hAnsi="Times New Roman" w:eastAsia="宋体" w:cs="Times New Roman"/>
                <w:color w:val="000000"/>
                <w:sz w:val="24"/>
                <w:szCs w:val="24"/>
                <w:u w:val="none"/>
                <w:lang w:val="en-US" w:eastAsia="zh-CN"/>
              </w:rPr>
              <w:t>工程</w:t>
            </w:r>
            <w:r>
              <w:rPr>
                <w:rFonts w:hint="eastAsia" w:ascii="Times New Roman" w:hAnsi="Times New Roman" w:eastAsia="宋体" w:cs="Times New Roman"/>
                <w:color w:val="000000"/>
                <w:sz w:val="24"/>
                <w:szCs w:val="24"/>
                <w:u w:val="none"/>
              </w:rPr>
              <w:t>涉水作业在枯水期进行</w:t>
            </w:r>
          </w:p>
        </w:tc>
        <w:tc>
          <w:tcPr>
            <w:tcW w:w="1380" w:type="dxa"/>
            <w:vAlign w:val="center"/>
          </w:tcPr>
          <w:p w14:paraId="5E5EBC93">
            <w:pPr>
              <w:adjustRightInd w:val="0"/>
              <w:snapToGrid w:val="0"/>
              <w:spacing w:line="300" w:lineRule="exact"/>
              <w:jc w:val="center"/>
              <w:rPr>
                <w:rFonts w:hint="eastAsia" w:ascii="Times New Roman" w:hAnsi="Times New Roman" w:eastAsia="宋体" w:cs="Times New Roman"/>
                <w:color w:val="000000"/>
                <w:sz w:val="24"/>
                <w:szCs w:val="24"/>
                <w:u w:val="none"/>
              </w:rPr>
            </w:pPr>
            <w:r>
              <w:rPr>
                <w:rFonts w:hint="default" w:ascii="Times New Roman" w:hAnsi="Times New Roman" w:eastAsia="宋体" w:cs="Times New Roman"/>
                <w:color w:val="000000"/>
                <w:sz w:val="24"/>
                <w:szCs w:val="24"/>
                <w:u w:val="none"/>
                <w:lang w:val="en-US" w:eastAsia="zh-CN"/>
              </w:rPr>
              <w:t>生活污水经化粪池处理后</w:t>
            </w:r>
            <w:r>
              <w:rPr>
                <w:rFonts w:hint="eastAsia" w:ascii="Times New Roman" w:hAnsi="Times New Roman" w:eastAsia="宋体" w:cs="Times New Roman"/>
                <w:color w:val="000000"/>
                <w:sz w:val="24"/>
                <w:szCs w:val="24"/>
                <w:u w:val="none"/>
              </w:rPr>
              <w:t>用于农肥</w:t>
            </w:r>
          </w:p>
        </w:tc>
        <w:tc>
          <w:tcPr>
            <w:tcW w:w="1335" w:type="dxa"/>
            <w:vAlign w:val="center"/>
          </w:tcPr>
          <w:p w14:paraId="155EA3B1">
            <w:pPr>
              <w:adjustRightInd w:val="0"/>
              <w:snapToGrid w:val="0"/>
              <w:spacing w:line="300" w:lineRule="exact"/>
              <w:jc w:val="center"/>
              <w:rPr>
                <w:rFonts w:hint="eastAsia" w:ascii="Times New Roman" w:hAnsi="Times New Roman" w:eastAsia="宋体" w:cs="Times New Roman"/>
                <w:color w:val="000000"/>
                <w:sz w:val="24"/>
                <w:szCs w:val="24"/>
                <w:u w:val="none"/>
              </w:rPr>
            </w:pPr>
            <w:r>
              <w:rPr>
                <w:rFonts w:hint="eastAsia" w:ascii="Times New Roman" w:hAnsi="Times New Roman" w:eastAsia="宋体" w:cs="Times New Roman"/>
                <w:color w:val="000000"/>
                <w:sz w:val="24"/>
                <w:szCs w:val="24"/>
                <w:u w:val="none"/>
                <w:lang w:val="en-US" w:eastAsia="zh-CN"/>
              </w:rPr>
              <w:t>不外排，用于农肥</w:t>
            </w:r>
          </w:p>
        </w:tc>
      </w:tr>
      <w:tr w14:paraId="73E875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67EC4641">
            <w:pPr>
              <w:adjustRightInd w:val="0"/>
              <w:snapToGrid w:val="0"/>
              <w:spacing w:line="300" w:lineRule="exact"/>
              <w:jc w:val="center"/>
              <w:rPr>
                <w:color w:val="000000"/>
                <w:sz w:val="24"/>
                <w:szCs w:val="24"/>
                <w:u w:val="none"/>
              </w:rPr>
            </w:pPr>
            <w:r>
              <w:rPr>
                <w:rFonts w:hAnsi="宋体"/>
                <w:color w:val="000000"/>
                <w:sz w:val="24"/>
                <w:szCs w:val="24"/>
                <w:u w:val="none"/>
              </w:rPr>
              <w:t>地下水及土壤环境</w:t>
            </w:r>
          </w:p>
        </w:tc>
        <w:tc>
          <w:tcPr>
            <w:tcW w:w="1987" w:type="pct"/>
            <w:vAlign w:val="center"/>
          </w:tcPr>
          <w:p w14:paraId="59968939">
            <w:pPr>
              <w:adjustRightInd w:val="0"/>
              <w:snapToGrid w:val="0"/>
              <w:spacing w:line="300" w:lineRule="exact"/>
              <w:jc w:val="center"/>
              <w:rPr>
                <w:rFonts w:hint="eastAsia" w:eastAsia="宋体"/>
                <w:color w:val="000000"/>
                <w:sz w:val="24"/>
                <w:szCs w:val="24"/>
                <w:u w:val="none"/>
                <w:lang w:eastAsia="zh-CN"/>
              </w:rPr>
            </w:pPr>
            <w:r>
              <w:rPr>
                <w:rFonts w:hint="eastAsia"/>
                <w:color w:val="000000"/>
                <w:sz w:val="24"/>
                <w:szCs w:val="24"/>
                <w:u w:val="none"/>
                <w:lang w:val="en-US" w:eastAsia="zh-CN"/>
              </w:rPr>
              <w:t>/</w:t>
            </w:r>
          </w:p>
        </w:tc>
        <w:tc>
          <w:tcPr>
            <w:tcW w:w="845" w:type="pct"/>
            <w:vAlign w:val="center"/>
          </w:tcPr>
          <w:p w14:paraId="6DE15F8D">
            <w:pPr>
              <w:adjustRightInd w:val="0"/>
              <w:snapToGrid w:val="0"/>
              <w:spacing w:line="300" w:lineRule="exact"/>
              <w:jc w:val="center"/>
              <w:rPr>
                <w:color w:val="000000"/>
                <w:sz w:val="24"/>
                <w:szCs w:val="24"/>
                <w:u w:val="none"/>
              </w:rPr>
            </w:pPr>
            <w:r>
              <w:rPr>
                <w:rFonts w:hint="eastAsia"/>
                <w:color w:val="000000"/>
                <w:sz w:val="24"/>
                <w:szCs w:val="24"/>
                <w:u w:val="none"/>
              </w:rPr>
              <w:t>/</w:t>
            </w:r>
          </w:p>
        </w:tc>
        <w:tc>
          <w:tcPr>
            <w:tcW w:w="755" w:type="pct"/>
            <w:vAlign w:val="center"/>
          </w:tcPr>
          <w:p w14:paraId="59FC397C">
            <w:pPr>
              <w:adjustRightInd w:val="0"/>
              <w:snapToGrid w:val="0"/>
              <w:spacing w:line="300" w:lineRule="exact"/>
              <w:jc w:val="center"/>
              <w:rPr>
                <w:color w:val="000000"/>
                <w:sz w:val="24"/>
                <w:szCs w:val="24"/>
                <w:u w:val="none"/>
              </w:rPr>
            </w:pPr>
            <w:r>
              <w:rPr>
                <w:rFonts w:hint="eastAsia"/>
                <w:color w:val="000000"/>
                <w:sz w:val="24"/>
                <w:szCs w:val="24"/>
                <w:u w:val="none"/>
              </w:rPr>
              <w:t>/</w:t>
            </w:r>
          </w:p>
        </w:tc>
        <w:tc>
          <w:tcPr>
            <w:tcW w:w="730" w:type="pct"/>
            <w:vAlign w:val="center"/>
          </w:tcPr>
          <w:p w14:paraId="4AE32EDB">
            <w:pPr>
              <w:adjustRightInd w:val="0"/>
              <w:snapToGrid w:val="0"/>
              <w:spacing w:line="300" w:lineRule="exact"/>
              <w:jc w:val="center"/>
              <w:rPr>
                <w:color w:val="000000"/>
                <w:sz w:val="24"/>
                <w:szCs w:val="24"/>
                <w:u w:val="none"/>
              </w:rPr>
            </w:pPr>
            <w:r>
              <w:rPr>
                <w:rFonts w:hint="eastAsia"/>
                <w:color w:val="000000"/>
                <w:sz w:val="24"/>
                <w:szCs w:val="24"/>
                <w:u w:val="none"/>
              </w:rPr>
              <w:t>/</w:t>
            </w:r>
          </w:p>
        </w:tc>
      </w:tr>
      <w:tr w14:paraId="1E9FA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2CF60320">
            <w:pPr>
              <w:adjustRightInd w:val="0"/>
              <w:snapToGrid w:val="0"/>
              <w:spacing w:line="300" w:lineRule="exact"/>
              <w:jc w:val="center"/>
              <w:rPr>
                <w:color w:val="000000"/>
                <w:sz w:val="24"/>
                <w:szCs w:val="24"/>
                <w:u w:val="none"/>
              </w:rPr>
            </w:pPr>
            <w:r>
              <w:rPr>
                <w:rFonts w:hAnsi="宋体"/>
                <w:color w:val="000000"/>
                <w:sz w:val="24"/>
                <w:szCs w:val="24"/>
                <w:u w:val="none"/>
              </w:rPr>
              <w:t>声环境</w:t>
            </w:r>
          </w:p>
        </w:tc>
        <w:tc>
          <w:tcPr>
            <w:tcW w:w="1987" w:type="pct"/>
            <w:vAlign w:val="center"/>
          </w:tcPr>
          <w:p w14:paraId="0A839DE7">
            <w:pPr>
              <w:adjustRightInd w:val="0"/>
              <w:snapToGrid w:val="0"/>
              <w:spacing w:line="300" w:lineRule="exact"/>
              <w:jc w:val="center"/>
              <w:rPr>
                <w:color w:val="000000"/>
                <w:sz w:val="24"/>
                <w:szCs w:val="24"/>
                <w:u w:val="none"/>
              </w:rPr>
            </w:pPr>
            <w:r>
              <w:rPr>
                <w:rFonts w:hint="eastAsia"/>
                <w:color w:val="000000"/>
                <w:sz w:val="24"/>
                <w:szCs w:val="24"/>
                <w:u w:val="none"/>
              </w:rPr>
              <w:t>有效降噪，建议采取相应的隔声、减振、消声等降噪措施；合理设置围挡；合理安排施工时间，严禁在夜间施工作业；避免多台机械设备同时施工；施工运输车辆限速行驶</w:t>
            </w:r>
          </w:p>
        </w:tc>
        <w:tc>
          <w:tcPr>
            <w:tcW w:w="845" w:type="pct"/>
            <w:vAlign w:val="center"/>
          </w:tcPr>
          <w:p w14:paraId="46D18EED">
            <w:pPr>
              <w:adjustRightInd w:val="0"/>
              <w:snapToGrid w:val="0"/>
              <w:spacing w:line="300" w:lineRule="exact"/>
              <w:jc w:val="center"/>
              <w:rPr>
                <w:rFonts w:hint="eastAsia"/>
                <w:color w:val="000000"/>
                <w:sz w:val="24"/>
                <w:szCs w:val="24"/>
                <w:u w:val="none"/>
              </w:rPr>
            </w:pPr>
            <w:r>
              <w:rPr>
                <w:rFonts w:hint="eastAsia"/>
                <w:color w:val="000000"/>
                <w:sz w:val="24"/>
                <w:szCs w:val="24"/>
                <w:u w:val="none"/>
              </w:rPr>
              <w:t>《建筑施工场界环境噪声排放标准》（GB12523-20</w:t>
            </w:r>
            <w:r>
              <w:rPr>
                <w:rFonts w:hint="eastAsia"/>
                <w:color w:val="000000"/>
                <w:sz w:val="24"/>
                <w:szCs w:val="24"/>
                <w:u w:val="none"/>
                <w:lang w:val="en-US" w:eastAsia="zh-CN"/>
              </w:rPr>
              <w:t>25</w:t>
            </w:r>
            <w:r>
              <w:rPr>
                <w:rFonts w:hint="eastAsia"/>
                <w:color w:val="000000"/>
                <w:sz w:val="24"/>
                <w:szCs w:val="24"/>
                <w:u w:val="none"/>
              </w:rPr>
              <w:t>）</w:t>
            </w:r>
          </w:p>
        </w:tc>
        <w:tc>
          <w:tcPr>
            <w:tcW w:w="755" w:type="pct"/>
            <w:vAlign w:val="center"/>
          </w:tcPr>
          <w:p w14:paraId="3171CBAF">
            <w:pPr>
              <w:adjustRightInd w:val="0"/>
              <w:snapToGrid w:val="0"/>
              <w:spacing w:line="300" w:lineRule="exact"/>
              <w:jc w:val="center"/>
              <w:rPr>
                <w:rFonts w:hint="eastAsia" w:eastAsia="宋体"/>
                <w:color w:val="000000"/>
                <w:sz w:val="24"/>
                <w:szCs w:val="24"/>
                <w:u w:val="none"/>
                <w:lang w:val="en-US" w:eastAsia="zh-CN"/>
              </w:rPr>
            </w:pPr>
            <w:r>
              <w:rPr>
                <w:rFonts w:hint="eastAsia"/>
                <w:color w:val="000000"/>
                <w:sz w:val="24"/>
                <w:szCs w:val="24"/>
                <w:u w:val="none"/>
                <w:lang w:val="en-US" w:eastAsia="zh-CN"/>
              </w:rPr>
              <w:t>/</w:t>
            </w:r>
          </w:p>
        </w:tc>
        <w:tc>
          <w:tcPr>
            <w:tcW w:w="730" w:type="pct"/>
            <w:vAlign w:val="center"/>
          </w:tcPr>
          <w:p w14:paraId="3D3E4C7C">
            <w:pPr>
              <w:adjustRightInd w:val="0"/>
              <w:snapToGrid w:val="0"/>
              <w:spacing w:line="300" w:lineRule="exact"/>
              <w:jc w:val="center"/>
              <w:rPr>
                <w:rFonts w:hint="eastAsia" w:eastAsia="宋体"/>
                <w:color w:val="000000"/>
                <w:sz w:val="24"/>
                <w:szCs w:val="24"/>
                <w:u w:val="none"/>
                <w:lang w:val="en-US" w:eastAsia="zh-CN"/>
              </w:rPr>
            </w:pPr>
            <w:r>
              <w:rPr>
                <w:rFonts w:hint="eastAsia"/>
                <w:color w:val="000000"/>
                <w:sz w:val="24"/>
                <w:szCs w:val="24"/>
                <w:u w:val="none"/>
                <w:lang w:val="en-US" w:eastAsia="zh-CN"/>
              </w:rPr>
              <w:t>/</w:t>
            </w:r>
          </w:p>
        </w:tc>
      </w:tr>
      <w:tr w14:paraId="7D8542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6808B1B5">
            <w:pPr>
              <w:adjustRightInd w:val="0"/>
              <w:snapToGrid w:val="0"/>
              <w:spacing w:line="300" w:lineRule="exact"/>
              <w:jc w:val="center"/>
              <w:rPr>
                <w:color w:val="000000"/>
                <w:sz w:val="24"/>
                <w:szCs w:val="24"/>
                <w:u w:val="none"/>
              </w:rPr>
            </w:pPr>
            <w:r>
              <w:rPr>
                <w:rFonts w:hAnsi="宋体"/>
                <w:color w:val="000000"/>
                <w:sz w:val="24"/>
                <w:szCs w:val="24"/>
                <w:u w:val="none"/>
              </w:rPr>
              <w:t>大气环境</w:t>
            </w:r>
          </w:p>
        </w:tc>
        <w:tc>
          <w:tcPr>
            <w:tcW w:w="1987" w:type="pct"/>
            <w:vAlign w:val="center"/>
          </w:tcPr>
          <w:p w14:paraId="37AD1228">
            <w:pPr>
              <w:adjustRightInd w:val="0"/>
              <w:snapToGrid w:val="0"/>
              <w:spacing w:line="300" w:lineRule="exact"/>
              <w:jc w:val="center"/>
              <w:rPr>
                <w:color w:val="000000"/>
                <w:sz w:val="24"/>
                <w:szCs w:val="24"/>
                <w:u w:val="none"/>
              </w:rPr>
            </w:pPr>
            <w:r>
              <w:rPr>
                <w:rFonts w:hint="eastAsia"/>
                <w:color w:val="000000"/>
                <w:sz w:val="24"/>
                <w:szCs w:val="24"/>
                <w:u w:val="none"/>
              </w:rPr>
              <w:t>洒水车定期洒水降尘、减速慢行、车辆进出施工场地冲洗车轮，对施工场地进行清扫等；各种施工设备布设区及施工沿线设置连续、密闭的围挡。</w:t>
            </w:r>
          </w:p>
        </w:tc>
        <w:tc>
          <w:tcPr>
            <w:tcW w:w="845" w:type="pct"/>
            <w:vAlign w:val="center"/>
          </w:tcPr>
          <w:p w14:paraId="7F312F05">
            <w:pPr>
              <w:adjustRightInd w:val="0"/>
              <w:snapToGrid w:val="0"/>
              <w:spacing w:line="300" w:lineRule="exact"/>
              <w:jc w:val="center"/>
              <w:rPr>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《大气污染物综合排放标准》（GB16297-1996）表2中无组织排放监控浓度限值；</w:t>
            </w:r>
          </w:p>
        </w:tc>
        <w:tc>
          <w:tcPr>
            <w:tcW w:w="1380" w:type="dxa"/>
            <w:vAlign w:val="center"/>
          </w:tcPr>
          <w:p w14:paraId="5AD65E5C">
            <w:pPr>
              <w:adjustRightInd w:val="0"/>
              <w:snapToGrid w:val="0"/>
              <w:spacing w:line="300" w:lineRule="exact"/>
              <w:jc w:val="center"/>
              <w:rPr>
                <w:rFonts w:hint="eastAsia" w:eastAsia="宋体"/>
                <w:color w:val="000000" w:themeColor="text1"/>
                <w:sz w:val="24"/>
                <w:szCs w:val="24"/>
                <w:u w:val="none"/>
                <w:lang w:val="en-US" w:eastAsia="zh-CN"/>
                <w14:textFill>
                  <w14:solidFill>
                    <w14:schemeClr w14:val="tx1"/>
                  </w14:solidFill>
                </w14:textFill>
              </w:rPr>
            </w:pPr>
            <w:r>
              <w:rPr>
                <w:rFonts w:hint="eastAsia"/>
                <w:color w:val="000000"/>
                <w:sz w:val="24"/>
                <w:szCs w:val="24"/>
                <w:u w:val="none"/>
                <w:lang w:val="en-US" w:eastAsia="zh-CN"/>
              </w:rPr>
              <w:t>/</w:t>
            </w:r>
          </w:p>
        </w:tc>
        <w:tc>
          <w:tcPr>
            <w:tcW w:w="1335" w:type="dxa"/>
            <w:vAlign w:val="center"/>
          </w:tcPr>
          <w:p w14:paraId="1B944673">
            <w:pPr>
              <w:adjustRightInd w:val="0"/>
              <w:snapToGrid w:val="0"/>
              <w:spacing w:line="300" w:lineRule="exact"/>
              <w:jc w:val="center"/>
              <w:rPr>
                <w:rFonts w:hint="eastAsia" w:eastAsia="宋体"/>
                <w:color w:val="000000" w:themeColor="text1"/>
                <w:sz w:val="24"/>
                <w:szCs w:val="24"/>
                <w:u w:val="none"/>
                <w:lang w:val="en-US" w:eastAsia="zh-CN"/>
                <w14:textFill>
                  <w14:solidFill>
                    <w14:schemeClr w14:val="tx1"/>
                  </w14:solidFill>
                </w14:textFill>
              </w:rPr>
            </w:pPr>
            <w:r>
              <w:rPr>
                <w:rFonts w:hint="eastAsia"/>
                <w:color w:val="000000"/>
                <w:sz w:val="24"/>
                <w:szCs w:val="24"/>
                <w:u w:val="none"/>
                <w:lang w:val="en-US" w:eastAsia="zh-CN"/>
              </w:rPr>
              <w:t>/</w:t>
            </w:r>
          </w:p>
        </w:tc>
      </w:tr>
      <w:tr w14:paraId="1F316F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6CF68E70">
            <w:pPr>
              <w:adjustRightInd w:val="0"/>
              <w:snapToGrid w:val="0"/>
              <w:spacing w:line="300" w:lineRule="exact"/>
              <w:jc w:val="center"/>
              <w:rPr>
                <w:color w:val="000000"/>
                <w:sz w:val="24"/>
                <w:szCs w:val="24"/>
                <w:u w:val="none"/>
              </w:rPr>
            </w:pPr>
            <w:r>
              <w:rPr>
                <w:rFonts w:hAnsi="宋体"/>
                <w:color w:val="000000"/>
                <w:sz w:val="24"/>
                <w:szCs w:val="24"/>
                <w:u w:val="none"/>
              </w:rPr>
              <w:t>固体废物</w:t>
            </w:r>
          </w:p>
        </w:tc>
        <w:tc>
          <w:tcPr>
            <w:tcW w:w="1987" w:type="pct"/>
            <w:vAlign w:val="center"/>
          </w:tcPr>
          <w:p w14:paraId="53CE4CDE">
            <w:pPr>
              <w:adjustRightInd w:val="0"/>
              <w:snapToGrid w:val="0"/>
              <w:spacing w:line="300" w:lineRule="exact"/>
              <w:jc w:val="center"/>
              <w:rPr>
                <w:rFonts w:hint="eastAsia" w:eastAsia="宋体"/>
                <w:color w:val="000000"/>
                <w:sz w:val="24"/>
                <w:szCs w:val="24"/>
                <w:u w:val="none"/>
                <w:lang w:eastAsia="zh-CN"/>
              </w:rPr>
            </w:pPr>
            <w:r>
              <w:rPr>
                <w:rFonts w:hint="eastAsia"/>
                <w:color w:val="000000"/>
                <w:sz w:val="24"/>
                <w:szCs w:val="24"/>
                <w:u w:val="none"/>
              </w:rPr>
              <w:t>生活垃圾集中收集，交由环卫部门统一处理；废弃土石方</w:t>
            </w:r>
            <w:r>
              <w:rPr>
                <w:rFonts w:hint="eastAsia"/>
                <w:color w:val="000000"/>
                <w:sz w:val="24"/>
                <w:szCs w:val="24"/>
                <w:u w:val="none"/>
                <w:lang w:val="en-US" w:eastAsia="zh-CN"/>
              </w:rPr>
              <w:t>运至弃渣场</w:t>
            </w:r>
            <w:r>
              <w:rPr>
                <w:rFonts w:hint="eastAsia"/>
                <w:color w:val="000000"/>
                <w:sz w:val="24"/>
                <w:szCs w:val="24"/>
                <w:u w:val="none"/>
              </w:rPr>
              <w:t>；建筑垃圾能回用的尽量回用，不能回用的运往当地建筑垃圾指定地点堆存处置</w:t>
            </w:r>
            <w:r>
              <w:rPr>
                <w:rFonts w:hint="eastAsia"/>
                <w:color w:val="000000"/>
                <w:sz w:val="24"/>
                <w:szCs w:val="24"/>
                <w:u w:val="none"/>
                <w:lang w:eastAsia="zh-CN"/>
              </w:rPr>
              <w:t>。</w:t>
            </w:r>
          </w:p>
        </w:tc>
        <w:tc>
          <w:tcPr>
            <w:tcW w:w="845" w:type="pct"/>
            <w:vAlign w:val="center"/>
          </w:tcPr>
          <w:p w14:paraId="03894784">
            <w:pPr>
              <w:adjustRightInd w:val="0"/>
              <w:snapToGrid w:val="0"/>
              <w:spacing w:line="300" w:lineRule="exact"/>
              <w:jc w:val="center"/>
              <w:rPr>
                <w:color w:val="000000"/>
                <w:sz w:val="24"/>
                <w:szCs w:val="24"/>
                <w:u w:val="none"/>
              </w:rPr>
            </w:pPr>
            <w:r>
              <w:rPr>
                <w:rFonts w:hint="eastAsia"/>
                <w:color w:val="000000"/>
                <w:sz w:val="24"/>
                <w:szCs w:val="24"/>
                <w:u w:val="none"/>
              </w:rPr>
              <w:t>减量化、资源化、无害化</w:t>
            </w:r>
          </w:p>
        </w:tc>
        <w:tc>
          <w:tcPr>
            <w:tcW w:w="1380" w:type="dxa"/>
            <w:vAlign w:val="center"/>
          </w:tcPr>
          <w:p w14:paraId="4A71EBF1">
            <w:pPr>
              <w:adjustRightInd w:val="0"/>
              <w:snapToGrid w:val="0"/>
              <w:spacing w:line="300" w:lineRule="exact"/>
              <w:jc w:val="center"/>
              <w:rPr>
                <w:rFonts w:hint="eastAsia"/>
                <w:color w:val="000000"/>
                <w:sz w:val="24"/>
                <w:szCs w:val="24"/>
                <w:u w:val="none"/>
                <w:lang w:val="en-US" w:eastAsia="zh-CN"/>
              </w:rPr>
            </w:pPr>
            <w:r>
              <w:rPr>
                <w:rFonts w:hint="eastAsia"/>
                <w:color w:val="000000"/>
                <w:sz w:val="24"/>
                <w:szCs w:val="24"/>
                <w:u w:val="none"/>
                <w:lang w:eastAsia="zh-CN"/>
              </w:rPr>
              <w:t>生活垃圾委托当地环卫部门统一收集处理</w:t>
            </w:r>
          </w:p>
        </w:tc>
        <w:tc>
          <w:tcPr>
            <w:tcW w:w="1335" w:type="dxa"/>
            <w:vAlign w:val="center"/>
          </w:tcPr>
          <w:p w14:paraId="32390837">
            <w:pPr>
              <w:adjustRightInd w:val="0"/>
              <w:snapToGrid w:val="0"/>
              <w:spacing w:line="300" w:lineRule="exact"/>
              <w:jc w:val="center"/>
              <w:rPr>
                <w:rFonts w:hint="eastAsia"/>
                <w:color w:val="000000"/>
                <w:sz w:val="24"/>
                <w:szCs w:val="24"/>
                <w:u w:val="none"/>
                <w:lang w:val="en-US" w:eastAsia="zh-CN"/>
              </w:rPr>
            </w:pPr>
            <w:r>
              <w:rPr>
                <w:rFonts w:hint="eastAsia"/>
                <w:color w:val="000000"/>
                <w:sz w:val="24"/>
                <w:szCs w:val="24"/>
                <w:u w:val="none"/>
                <w:lang w:eastAsia="zh-CN"/>
              </w:rPr>
              <w:t>处置率100%，符合环境卫生及环境保护管理要求</w:t>
            </w:r>
          </w:p>
        </w:tc>
      </w:tr>
      <w:tr w14:paraId="392D1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47E43B2E">
            <w:pPr>
              <w:adjustRightInd w:val="0"/>
              <w:snapToGrid w:val="0"/>
              <w:spacing w:line="300" w:lineRule="exact"/>
              <w:jc w:val="center"/>
              <w:rPr>
                <w:color w:val="000000"/>
                <w:sz w:val="24"/>
                <w:szCs w:val="24"/>
                <w:u w:val="none"/>
              </w:rPr>
            </w:pPr>
            <w:r>
              <w:rPr>
                <w:rFonts w:hAnsi="宋体"/>
                <w:color w:val="000000"/>
                <w:sz w:val="24"/>
                <w:szCs w:val="24"/>
                <w:u w:val="none"/>
              </w:rPr>
              <w:t>电磁环境</w:t>
            </w:r>
          </w:p>
        </w:tc>
        <w:tc>
          <w:tcPr>
            <w:tcW w:w="1987" w:type="pct"/>
            <w:vAlign w:val="center"/>
          </w:tcPr>
          <w:p w14:paraId="58F9C4D8">
            <w:pPr>
              <w:adjustRightInd w:val="0"/>
              <w:snapToGrid w:val="0"/>
              <w:spacing w:line="300" w:lineRule="exact"/>
              <w:jc w:val="center"/>
              <w:rPr>
                <w:color w:val="000000"/>
                <w:sz w:val="24"/>
                <w:szCs w:val="24"/>
                <w:u w:val="none"/>
              </w:rPr>
            </w:pPr>
            <w:r>
              <w:rPr>
                <w:rFonts w:hint="eastAsia"/>
                <w:color w:val="000000"/>
                <w:sz w:val="24"/>
                <w:szCs w:val="24"/>
                <w:u w:val="none"/>
              </w:rPr>
              <w:t>/</w:t>
            </w:r>
          </w:p>
        </w:tc>
        <w:tc>
          <w:tcPr>
            <w:tcW w:w="845" w:type="pct"/>
            <w:vAlign w:val="center"/>
          </w:tcPr>
          <w:p w14:paraId="3B188570">
            <w:pPr>
              <w:adjustRightInd w:val="0"/>
              <w:snapToGrid w:val="0"/>
              <w:spacing w:line="300" w:lineRule="exact"/>
              <w:jc w:val="center"/>
              <w:rPr>
                <w:color w:val="000000"/>
                <w:sz w:val="24"/>
                <w:szCs w:val="24"/>
                <w:u w:val="none"/>
              </w:rPr>
            </w:pPr>
            <w:r>
              <w:rPr>
                <w:rFonts w:hint="eastAsia"/>
                <w:color w:val="000000"/>
                <w:sz w:val="24"/>
                <w:szCs w:val="24"/>
                <w:u w:val="none"/>
              </w:rPr>
              <w:t>/</w:t>
            </w:r>
          </w:p>
        </w:tc>
        <w:tc>
          <w:tcPr>
            <w:tcW w:w="755" w:type="pct"/>
            <w:vAlign w:val="center"/>
          </w:tcPr>
          <w:p w14:paraId="4A846B0C">
            <w:pPr>
              <w:adjustRightInd w:val="0"/>
              <w:snapToGrid w:val="0"/>
              <w:spacing w:line="300" w:lineRule="exact"/>
              <w:jc w:val="center"/>
              <w:rPr>
                <w:color w:val="000000"/>
                <w:sz w:val="24"/>
                <w:szCs w:val="24"/>
                <w:u w:val="none"/>
              </w:rPr>
            </w:pPr>
            <w:r>
              <w:rPr>
                <w:rFonts w:hint="eastAsia"/>
                <w:color w:val="000000"/>
                <w:sz w:val="24"/>
                <w:szCs w:val="24"/>
                <w:u w:val="none"/>
              </w:rPr>
              <w:t>/</w:t>
            </w:r>
          </w:p>
        </w:tc>
        <w:tc>
          <w:tcPr>
            <w:tcW w:w="730" w:type="pct"/>
            <w:vAlign w:val="center"/>
          </w:tcPr>
          <w:p w14:paraId="17216808">
            <w:pPr>
              <w:adjustRightInd w:val="0"/>
              <w:snapToGrid w:val="0"/>
              <w:spacing w:line="300" w:lineRule="exact"/>
              <w:jc w:val="center"/>
              <w:rPr>
                <w:color w:val="000000"/>
                <w:sz w:val="24"/>
                <w:szCs w:val="24"/>
                <w:u w:val="none"/>
              </w:rPr>
            </w:pPr>
            <w:r>
              <w:rPr>
                <w:rFonts w:hint="eastAsia"/>
                <w:color w:val="000000"/>
                <w:sz w:val="24"/>
                <w:szCs w:val="24"/>
                <w:u w:val="none"/>
              </w:rPr>
              <w:t>/</w:t>
            </w:r>
          </w:p>
        </w:tc>
      </w:tr>
      <w:tr w14:paraId="61FA27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0D51E4F9">
            <w:pPr>
              <w:adjustRightInd w:val="0"/>
              <w:snapToGrid w:val="0"/>
              <w:spacing w:line="300" w:lineRule="exact"/>
              <w:jc w:val="center"/>
              <w:rPr>
                <w:color w:val="000000"/>
                <w:sz w:val="24"/>
                <w:szCs w:val="24"/>
                <w:u w:val="none"/>
              </w:rPr>
            </w:pPr>
            <w:r>
              <w:rPr>
                <w:rFonts w:hAnsi="宋体"/>
                <w:color w:val="000000"/>
                <w:sz w:val="24"/>
                <w:szCs w:val="24"/>
                <w:u w:val="none"/>
              </w:rPr>
              <w:t>环境风险</w:t>
            </w:r>
          </w:p>
        </w:tc>
        <w:tc>
          <w:tcPr>
            <w:tcW w:w="1987" w:type="pct"/>
            <w:vAlign w:val="center"/>
          </w:tcPr>
          <w:p w14:paraId="73088C3E">
            <w:pPr>
              <w:adjustRightInd w:val="0"/>
              <w:snapToGrid w:val="0"/>
              <w:spacing w:line="300" w:lineRule="exact"/>
              <w:jc w:val="center"/>
              <w:rPr>
                <w:rFonts w:hint="eastAsia" w:eastAsia="宋体"/>
                <w:color w:val="000000"/>
                <w:sz w:val="24"/>
                <w:szCs w:val="24"/>
                <w:u w:val="none"/>
                <w:lang w:eastAsia="zh-CN"/>
              </w:rPr>
            </w:pPr>
            <w:r>
              <w:rPr>
                <w:rFonts w:hint="eastAsia"/>
                <w:color w:val="000000"/>
                <w:sz w:val="24"/>
                <w:szCs w:val="24"/>
                <w:u w:val="none"/>
              </w:rPr>
              <w:t>①设置临时围挡和围堰，防止施工时物料洒落至水中，引起水质污染；②施工废水均采取有效措施回收利用；③在洒水降尘过程中，采取少量多次，确保水不会形成径流而流至外环境中；④做好施工机械的维修和保养工作，防止油料泄漏污染水体</w:t>
            </w:r>
            <w:r>
              <w:rPr>
                <w:rFonts w:hint="eastAsia"/>
                <w:color w:val="000000"/>
                <w:sz w:val="24"/>
                <w:szCs w:val="24"/>
                <w:u w:val="none"/>
                <w:lang w:eastAsia="zh-CN"/>
              </w:rPr>
              <w:t>。</w:t>
            </w:r>
          </w:p>
        </w:tc>
        <w:tc>
          <w:tcPr>
            <w:tcW w:w="845" w:type="pct"/>
            <w:vAlign w:val="center"/>
          </w:tcPr>
          <w:p w14:paraId="11AAE62D">
            <w:pPr>
              <w:adjustRightInd w:val="0"/>
              <w:snapToGrid w:val="0"/>
              <w:spacing w:line="300" w:lineRule="exact"/>
              <w:jc w:val="center"/>
              <w:rPr>
                <w:color w:val="000000"/>
                <w:sz w:val="24"/>
                <w:szCs w:val="24"/>
                <w:u w:val="none"/>
              </w:rPr>
            </w:pPr>
            <w:r>
              <w:rPr>
                <w:rFonts w:hint="eastAsia"/>
                <w:color w:val="000000"/>
                <w:sz w:val="24"/>
                <w:szCs w:val="24"/>
                <w:u w:val="none"/>
              </w:rPr>
              <w:t>按照设计及环评要求落实</w:t>
            </w:r>
          </w:p>
        </w:tc>
        <w:tc>
          <w:tcPr>
            <w:tcW w:w="755" w:type="pct"/>
            <w:vAlign w:val="center"/>
          </w:tcPr>
          <w:p w14:paraId="5D9AE2D1">
            <w:pPr>
              <w:adjustRightInd w:val="0"/>
              <w:snapToGrid w:val="0"/>
              <w:spacing w:line="300" w:lineRule="exact"/>
              <w:jc w:val="center"/>
              <w:rPr>
                <w:rFonts w:hint="eastAsia" w:eastAsia="宋体"/>
                <w:color w:val="000000"/>
                <w:sz w:val="24"/>
                <w:szCs w:val="24"/>
                <w:u w:val="none"/>
                <w:lang w:eastAsia="zh-CN"/>
              </w:rPr>
            </w:pPr>
            <w:r>
              <w:rPr>
                <w:rFonts w:hint="eastAsia"/>
                <w:color w:val="000000"/>
                <w:sz w:val="24"/>
                <w:szCs w:val="24"/>
                <w:u w:val="none"/>
                <w:lang w:val="en-US" w:eastAsia="zh-CN"/>
              </w:rPr>
              <w:t>/</w:t>
            </w:r>
          </w:p>
        </w:tc>
        <w:tc>
          <w:tcPr>
            <w:tcW w:w="730" w:type="pct"/>
            <w:vAlign w:val="center"/>
          </w:tcPr>
          <w:p w14:paraId="582BD53D">
            <w:pPr>
              <w:adjustRightInd w:val="0"/>
              <w:snapToGrid w:val="0"/>
              <w:spacing w:line="300" w:lineRule="exact"/>
              <w:jc w:val="center"/>
              <w:rPr>
                <w:color w:val="000000"/>
                <w:sz w:val="24"/>
                <w:szCs w:val="24"/>
                <w:u w:val="none"/>
              </w:rPr>
            </w:pPr>
            <w:r>
              <w:rPr>
                <w:rFonts w:hint="eastAsia"/>
                <w:color w:val="000000"/>
                <w:sz w:val="24"/>
                <w:szCs w:val="24"/>
                <w:u w:val="none"/>
              </w:rPr>
              <w:t>/</w:t>
            </w:r>
          </w:p>
        </w:tc>
      </w:tr>
      <w:tr w14:paraId="04210B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13602C8A">
            <w:pPr>
              <w:adjustRightInd w:val="0"/>
              <w:snapToGrid w:val="0"/>
              <w:spacing w:line="300" w:lineRule="exact"/>
              <w:jc w:val="center"/>
              <w:rPr>
                <w:color w:val="000000"/>
                <w:sz w:val="24"/>
                <w:szCs w:val="24"/>
                <w:u w:val="none"/>
              </w:rPr>
            </w:pPr>
            <w:r>
              <w:rPr>
                <w:rFonts w:hAnsi="宋体"/>
                <w:color w:val="000000"/>
                <w:sz w:val="24"/>
                <w:szCs w:val="24"/>
                <w:u w:val="none"/>
              </w:rPr>
              <w:t>环境监测</w:t>
            </w:r>
          </w:p>
        </w:tc>
        <w:tc>
          <w:tcPr>
            <w:tcW w:w="1987" w:type="pct"/>
            <w:vAlign w:val="center"/>
          </w:tcPr>
          <w:p w14:paraId="2EBD2FF3">
            <w:pPr>
              <w:adjustRightInd w:val="0"/>
              <w:snapToGrid w:val="0"/>
              <w:spacing w:line="300" w:lineRule="exact"/>
              <w:jc w:val="center"/>
              <w:rPr>
                <w:color w:val="000000"/>
                <w:sz w:val="24"/>
                <w:szCs w:val="24"/>
                <w:u w:val="none"/>
              </w:rPr>
            </w:pPr>
            <w:r>
              <w:rPr>
                <w:rFonts w:hint="eastAsia"/>
                <w:color w:val="000000"/>
                <w:sz w:val="24"/>
                <w:szCs w:val="24"/>
                <w:u w:val="none"/>
              </w:rPr>
              <w:t>/</w:t>
            </w:r>
          </w:p>
        </w:tc>
        <w:tc>
          <w:tcPr>
            <w:tcW w:w="845" w:type="pct"/>
            <w:vAlign w:val="center"/>
          </w:tcPr>
          <w:p w14:paraId="09FEAC8B">
            <w:pPr>
              <w:adjustRightInd w:val="0"/>
              <w:snapToGrid w:val="0"/>
              <w:spacing w:line="300" w:lineRule="exact"/>
              <w:jc w:val="center"/>
              <w:rPr>
                <w:color w:val="000000"/>
                <w:sz w:val="24"/>
                <w:szCs w:val="24"/>
                <w:u w:val="none"/>
              </w:rPr>
            </w:pPr>
            <w:r>
              <w:rPr>
                <w:rFonts w:hint="eastAsia"/>
                <w:color w:val="000000"/>
                <w:sz w:val="24"/>
                <w:szCs w:val="24"/>
                <w:u w:val="none"/>
              </w:rPr>
              <w:t>/</w:t>
            </w:r>
          </w:p>
        </w:tc>
        <w:tc>
          <w:tcPr>
            <w:tcW w:w="755" w:type="pct"/>
            <w:vAlign w:val="center"/>
          </w:tcPr>
          <w:p w14:paraId="2A10FB90">
            <w:pPr>
              <w:adjustRightInd w:val="0"/>
              <w:snapToGrid w:val="0"/>
              <w:spacing w:line="300" w:lineRule="exact"/>
              <w:jc w:val="center"/>
              <w:rPr>
                <w:color w:val="000000"/>
                <w:sz w:val="24"/>
                <w:szCs w:val="24"/>
                <w:u w:val="none"/>
              </w:rPr>
            </w:pPr>
            <w:r>
              <w:rPr>
                <w:rFonts w:hint="eastAsia"/>
                <w:color w:val="000000"/>
                <w:sz w:val="24"/>
                <w:szCs w:val="24"/>
                <w:u w:val="none"/>
              </w:rPr>
              <w:t>/</w:t>
            </w:r>
          </w:p>
        </w:tc>
        <w:tc>
          <w:tcPr>
            <w:tcW w:w="730" w:type="pct"/>
            <w:vAlign w:val="center"/>
          </w:tcPr>
          <w:p w14:paraId="3D6FFC97">
            <w:pPr>
              <w:adjustRightInd w:val="0"/>
              <w:snapToGrid w:val="0"/>
              <w:spacing w:line="300" w:lineRule="exact"/>
              <w:jc w:val="center"/>
              <w:rPr>
                <w:rFonts w:hint="eastAsia" w:eastAsia="宋体"/>
                <w:color w:val="000000"/>
                <w:sz w:val="24"/>
                <w:szCs w:val="24"/>
                <w:u w:val="none"/>
                <w:lang w:eastAsia="zh-CN"/>
              </w:rPr>
            </w:pPr>
            <w:r>
              <w:rPr>
                <w:rFonts w:hint="eastAsia"/>
                <w:color w:val="000000"/>
                <w:sz w:val="24"/>
                <w:szCs w:val="24"/>
                <w:u w:val="none"/>
                <w:lang w:val="en-US" w:eastAsia="zh-CN"/>
              </w:rPr>
              <w:t>/</w:t>
            </w:r>
          </w:p>
        </w:tc>
      </w:tr>
      <w:tr w14:paraId="582ABA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720CA533">
            <w:pPr>
              <w:adjustRightInd w:val="0"/>
              <w:snapToGrid w:val="0"/>
              <w:spacing w:line="300" w:lineRule="exact"/>
              <w:jc w:val="center"/>
              <w:rPr>
                <w:color w:val="000000"/>
                <w:sz w:val="24"/>
                <w:szCs w:val="24"/>
                <w:u w:val="none"/>
              </w:rPr>
            </w:pPr>
            <w:r>
              <w:rPr>
                <w:rFonts w:hAnsi="宋体"/>
                <w:color w:val="000000"/>
                <w:sz w:val="24"/>
                <w:szCs w:val="24"/>
                <w:u w:val="none"/>
              </w:rPr>
              <w:t>其他</w:t>
            </w:r>
          </w:p>
        </w:tc>
        <w:tc>
          <w:tcPr>
            <w:tcW w:w="1987" w:type="pct"/>
            <w:vAlign w:val="center"/>
          </w:tcPr>
          <w:p w14:paraId="136B8700">
            <w:pPr>
              <w:adjustRightInd w:val="0"/>
              <w:snapToGrid w:val="0"/>
              <w:spacing w:line="300" w:lineRule="exact"/>
              <w:jc w:val="center"/>
              <w:rPr>
                <w:color w:val="000000"/>
                <w:sz w:val="24"/>
                <w:szCs w:val="24"/>
                <w:u w:val="none"/>
              </w:rPr>
            </w:pPr>
            <w:r>
              <w:rPr>
                <w:rFonts w:hint="eastAsia"/>
                <w:color w:val="000000"/>
                <w:sz w:val="24"/>
                <w:szCs w:val="24"/>
                <w:u w:val="none"/>
              </w:rPr>
              <w:t>/</w:t>
            </w:r>
          </w:p>
        </w:tc>
        <w:tc>
          <w:tcPr>
            <w:tcW w:w="845" w:type="pct"/>
            <w:vAlign w:val="center"/>
          </w:tcPr>
          <w:p w14:paraId="4482F2FA">
            <w:pPr>
              <w:adjustRightInd w:val="0"/>
              <w:snapToGrid w:val="0"/>
              <w:spacing w:line="300" w:lineRule="exact"/>
              <w:jc w:val="center"/>
              <w:rPr>
                <w:color w:val="000000"/>
                <w:sz w:val="24"/>
                <w:szCs w:val="24"/>
                <w:u w:val="none"/>
              </w:rPr>
            </w:pPr>
            <w:r>
              <w:rPr>
                <w:rFonts w:hint="eastAsia"/>
                <w:color w:val="000000"/>
                <w:sz w:val="24"/>
                <w:szCs w:val="24"/>
                <w:u w:val="none"/>
              </w:rPr>
              <w:t>/</w:t>
            </w:r>
          </w:p>
        </w:tc>
        <w:tc>
          <w:tcPr>
            <w:tcW w:w="755" w:type="pct"/>
            <w:vAlign w:val="center"/>
          </w:tcPr>
          <w:p w14:paraId="2B46C72F">
            <w:pPr>
              <w:adjustRightInd w:val="0"/>
              <w:snapToGrid w:val="0"/>
              <w:spacing w:line="300" w:lineRule="exact"/>
              <w:jc w:val="center"/>
              <w:rPr>
                <w:rFonts w:hint="eastAsia" w:eastAsia="宋体"/>
                <w:color w:val="000000"/>
                <w:sz w:val="24"/>
                <w:szCs w:val="24"/>
                <w:u w:val="none"/>
                <w:lang w:val="en-US" w:eastAsia="zh-CN"/>
              </w:rPr>
            </w:pPr>
            <w:r>
              <w:rPr>
                <w:rFonts w:hint="eastAsia"/>
                <w:color w:val="000000"/>
                <w:sz w:val="24"/>
                <w:szCs w:val="24"/>
                <w:u w:val="none"/>
                <w:lang w:val="en-US" w:eastAsia="zh-CN"/>
              </w:rPr>
              <w:t>/</w:t>
            </w:r>
          </w:p>
        </w:tc>
        <w:tc>
          <w:tcPr>
            <w:tcW w:w="730" w:type="pct"/>
            <w:vAlign w:val="center"/>
          </w:tcPr>
          <w:p w14:paraId="3CA015E1">
            <w:pPr>
              <w:adjustRightInd w:val="0"/>
              <w:snapToGrid w:val="0"/>
              <w:spacing w:line="300" w:lineRule="exact"/>
              <w:jc w:val="center"/>
              <w:rPr>
                <w:color w:val="000000"/>
                <w:sz w:val="24"/>
                <w:szCs w:val="24"/>
                <w:u w:val="none"/>
              </w:rPr>
            </w:pPr>
            <w:r>
              <w:rPr>
                <w:rFonts w:hint="eastAsia"/>
                <w:color w:val="000000"/>
                <w:sz w:val="24"/>
                <w:szCs w:val="24"/>
                <w:u w:val="none"/>
              </w:rPr>
              <w:t>/</w:t>
            </w:r>
          </w:p>
        </w:tc>
      </w:tr>
    </w:tbl>
    <w:p w14:paraId="102E51D6">
      <w:pPr>
        <w:widowControl/>
        <w:spacing w:beforeLines="80" w:after="100" w:afterAutospacing="1"/>
        <w:jc w:val="center"/>
        <w:outlineLvl w:val="0"/>
        <w:rPr>
          <w:rFonts w:ascii="黑体" w:hAnsi="黑体" w:eastAsia="黑体"/>
          <w:snapToGrid w:val="0"/>
          <w:color w:val="000000"/>
          <w:sz w:val="30"/>
          <w:szCs w:val="30"/>
        </w:rPr>
      </w:pPr>
      <w:bookmarkStart w:id="16" w:name="_Toc2735"/>
      <w:r>
        <w:rPr>
          <w:rFonts w:hint="eastAsia" w:ascii="黑体" w:hAnsi="黑体" w:eastAsia="黑体"/>
          <w:snapToGrid w:val="0"/>
          <w:color w:val="000000"/>
          <w:sz w:val="30"/>
          <w:szCs w:val="30"/>
        </w:rPr>
        <w:br w:type="page"/>
      </w:r>
      <w:r>
        <w:rPr>
          <w:rFonts w:hint="eastAsia" w:ascii="黑体" w:hAnsi="黑体" w:eastAsia="黑体"/>
          <w:snapToGrid w:val="0"/>
          <w:color w:val="000000"/>
          <w:sz w:val="30"/>
          <w:szCs w:val="30"/>
        </w:rPr>
        <w:t>七、结论</w:t>
      </w:r>
      <w:bookmarkEnd w:id="16"/>
    </w:p>
    <w:tbl>
      <w:tblPr>
        <w:tblStyle w:val="45"/>
        <w:tblW w:w="5000" w:type="pct"/>
        <w:tblInd w:w="0" w:type="dxa"/>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autofit"/>
        <w:tblCellMar>
          <w:top w:w="0" w:type="dxa"/>
          <w:left w:w="108" w:type="dxa"/>
          <w:bottom w:w="0" w:type="dxa"/>
          <w:right w:w="108" w:type="dxa"/>
        </w:tblCellMar>
      </w:tblPr>
      <w:tblGrid>
        <w:gridCol w:w="8528"/>
      </w:tblGrid>
      <w:tr w14:paraId="1F27B845">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CellMar>
            <w:top w:w="0" w:type="dxa"/>
            <w:left w:w="108" w:type="dxa"/>
            <w:bottom w:w="0" w:type="dxa"/>
            <w:right w:w="108" w:type="dxa"/>
          </w:tblCellMar>
        </w:tblPrEx>
        <w:tc>
          <w:tcPr>
            <w:tcW w:w="5000" w:type="pct"/>
          </w:tcPr>
          <w:p w14:paraId="63B00242">
            <w:pPr>
              <w:spacing w:line="480" w:lineRule="exact"/>
              <w:ind w:firstLine="480" w:firstLineChars="200"/>
              <w:rPr>
                <w:rFonts w:hint="eastAsia"/>
                <w:color w:val="000000"/>
                <w:kern w:val="0"/>
                <w:sz w:val="24"/>
              </w:rPr>
            </w:pPr>
            <w:r>
              <w:rPr>
                <w:rFonts w:hint="eastAsia"/>
                <w:color w:val="000000"/>
                <w:kern w:val="0"/>
                <w:sz w:val="24"/>
              </w:rPr>
              <w:t>本项目建设符合</w:t>
            </w:r>
            <w:r>
              <w:rPr>
                <w:rFonts w:hint="eastAsia"/>
                <w:color w:val="000000"/>
                <w:kern w:val="0"/>
                <w:sz w:val="24"/>
                <w:lang w:val="en-US" w:eastAsia="zh-CN"/>
              </w:rPr>
              <w:t>永州</w:t>
            </w:r>
            <w:r>
              <w:rPr>
                <w:rFonts w:hint="eastAsia"/>
                <w:color w:val="000000"/>
                <w:kern w:val="0"/>
                <w:sz w:val="24"/>
              </w:rPr>
              <w:t>市</w:t>
            </w:r>
            <w:r>
              <w:rPr>
                <w:rFonts w:hint="eastAsia"/>
                <w:color w:val="000000"/>
                <w:kern w:val="0"/>
                <w:sz w:val="24"/>
                <w:lang w:val="en-US" w:eastAsia="zh-CN"/>
              </w:rPr>
              <w:t>祁阳市</w:t>
            </w:r>
            <w:r>
              <w:rPr>
                <w:rFonts w:hint="eastAsia"/>
                <w:color w:val="000000"/>
                <w:kern w:val="0"/>
                <w:sz w:val="24"/>
              </w:rPr>
              <w:t>相关发展规划要求。项目选址、选线较为合理，项目施工期的环境影响是暂时的，在切实落实环评提出的环保措施、生态保护措施，加强环境监测和环境监理，使施工期对生态的破坏逐步得到恢复，不会因项目的建设而改变区域环境功能，本项目建成后具有较好的社会效益、间接经济效益和环境效益。</w:t>
            </w:r>
          </w:p>
          <w:p w14:paraId="0EDF2F3E">
            <w:pPr>
              <w:spacing w:line="480" w:lineRule="exact"/>
              <w:ind w:firstLine="480" w:firstLineChars="200"/>
              <w:rPr>
                <w:rFonts w:hint="eastAsia"/>
                <w:color w:val="000000"/>
                <w:kern w:val="0"/>
                <w:sz w:val="24"/>
              </w:rPr>
            </w:pPr>
            <w:r>
              <w:rPr>
                <w:rFonts w:hint="eastAsia"/>
                <w:color w:val="000000"/>
                <w:kern w:val="0"/>
                <w:sz w:val="24"/>
              </w:rPr>
              <w:t>本项目的实施对环境的不利影响主要集中在施工期，采取相应的工程措施和环保措施后可减免、减小其影响，施工结束后，影响即告消除。营运期的环境影响相对较小，可通过适当的工程和环保措施予以解决。</w:t>
            </w:r>
          </w:p>
          <w:p w14:paraId="5FDDA16F">
            <w:pPr>
              <w:spacing w:line="480" w:lineRule="exact"/>
              <w:ind w:firstLine="480" w:firstLineChars="200"/>
              <w:rPr>
                <w:color w:val="000000"/>
                <w:kern w:val="0"/>
                <w:sz w:val="24"/>
              </w:rPr>
            </w:pPr>
            <w:r>
              <w:rPr>
                <w:rFonts w:hint="eastAsia"/>
                <w:color w:val="000000"/>
                <w:kern w:val="0"/>
                <w:sz w:val="24"/>
              </w:rPr>
              <w:t>综上所述，本项目的实施对环境的有利影响是显著、长久性的，不利影响是局部、临时性的，可通过环保措施予以有效减免，不存在制约方案实施的重大环境问题。所以，从环境保护的角度分析，本项目的建设是可行的。</w:t>
            </w:r>
          </w:p>
          <w:p w14:paraId="65D62C77">
            <w:pPr>
              <w:pStyle w:val="66"/>
              <w:rPr>
                <w:color w:val="000000"/>
                <w:kern w:val="0"/>
                <w:sz w:val="24"/>
              </w:rPr>
            </w:pPr>
          </w:p>
          <w:p w14:paraId="0FB4685C">
            <w:pPr>
              <w:pStyle w:val="66"/>
              <w:rPr>
                <w:color w:val="000000"/>
                <w:kern w:val="0"/>
                <w:sz w:val="24"/>
              </w:rPr>
            </w:pPr>
          </w:p>
          <w:p w14:paraId="74D716C4">
            <w:pPr>
              <w:pStyle w:val="66"/>
              <w:rPr>
                <w:color w:val="000000"/>
                <w:kern w:val="0"/>
                <w:sz w:val="24"/>
              </w:rPr>
            </w:pPr>
          </w:p>
          <w:p w14:paraId="6CF6BBB3">
            <w:pPr>
              <w:pStyle w:val="66"/>
              <w:rPr>
                <w:color w:val="000000"/>
                <w:kern w:val="0"/>
                <w:sz w:val="24"/>
              </w:rPr>
            </w:pPr>
          </w:p>
          <w:p w14:paraId="6EEF6F7D">
            <w:pPr>
              <w:pStyle w:val="66"/>
              <w:rPr>
                <w:color w:val="000000"/>
                <w:kern w:val="0"/>
                <w:sz w:val="24"/>
              </w:rPr>
            </w:pPr>
          </w:p>
          <w:p w14:paraId="5EC27C84">
            <w:pPr>
              <w:pStyle w:val="66"/>
              <w:rPr>
                <w:color w:val="000000"/>
                <w:kern w:val="0"/>
                <w:sz w:val="24"/>
              </w:rPr>
            </w:pPr>
          </w:p>
          <w:p w14:paraId="6AA07E8D">
            <w:pPr>
              <w:pStyle w:val="66"/>
              <w:rPr>
                <w:color w:val="000000"/>
                <w:kern w:val="0"/>
                <w:sz w:val="24"/>
              </w:rPr>
            </w:pPr>
          </w:p>
          <w:p w14:paraId="50EC3AEC">
            <w:pPr>
              <w:pStyle w:val="66"/>
              <w:rPr>
                <w:color w:val="000000"/>
                <w:kern w:val="0"/>
                <w:sz w:val="24"/>
              </w:rPr>
            </w:pPr>
          </w:p>
          <w:p w14:paraId="3BD00440">
            <w:pPr>
              <w:pStyle w:val="66"/>
              <w:rPr>
                <w:color w:val="000000"/>
                <w:kern w:val="0"/>
                <w:sz w:val="24"/>
              </w:rPr>
            </w:pPr>
          </w:p>
          <w:p w14:paraId="1E3161DF">
            <w:pPr>
              <w:pStyle w:val="66"/>
              <w:rPr>
                <w:color w:val="000000"/>
                <w:kern w:val="0"/>
                <w:sz w:val="24"/>
              </w:rPr>
            </w:pPr>
          </w:p>
          <w:p w14:paraId="02DFF3A0">
            <w:pPr>
              <w:pStyle w:val="66"/>
              <w:rPr>
                <w:color w:val="000000"/>
                <w:kern w:val="0"/>
                <w:sz w:val="24"/>
              </w:rPr>
            </w:pPr>
          </w:p>
          <w:p w14:paraId="74EDC7FA">
            <w:pPr>
              <w:pStyle w:val="66"/>
              <w:rPr>
                <w:color w:val="000000"/>
                <w:kern w:val="0"/>
                <w:sz w:val="24"/>
              </w:rPr>
            </w:pPr>
          </w:p>
          <w:p w14:paraId="3B1C275C">
            <w:pPr>
              <w:pStyle w:val="66"/>
              <w:rPr>
                <w:color w:val="000000"/>
                <w:kern w:val="0"/>
                <w:sz w:val="24"/>
              </w:rPr>
            </w:pPr>
          </w:p>
          <w:p w14:paraId="1D09FD9C">
            <w:pPr>
              <w:pStyle w:val="66"/>
              <w:rPr>
                <w:color w:val="000000"/>
                <w:kern w:val="0"/>
                <w:sz w:val="24"/>
              </w:rPr>
            </w:pPr>
          </w:p>
          <w:p w14:paraId="46B4454B">
            <w:pPr>
              <w:pStyle w:val="66"/>
              <w:rPr>
                <w:color w:val="000000"/>
                <w:kern w:val="0"/>
                <w:sz w:val="24"/>
              </w:rPr>
            </w:pPr>
          </w:p>
          <w:p w14:paraId="428430CD">
            <w:pPr>
              <w:pStyle w:val="66"/>
              <w:rPr>
                <w:color w:val="000000"/>
                <w:kern w:val="0"/>
                <w:sz w:val="24"/>
              </w:rPr>
            </w:pPr>
          </w:p>
          <w:p w14:paraId="40F620F8">
            <w:pPr>
              <w:pStyle w:val="66"/>
              <w:rPr>
                <w:color w:val="000000"/>
                <w:kern w:val="0"/>
                <w:sz w:val="24"/>
              </w:rPr>
            </w:pPr>
          </w:p>
          <w:p w14:paraId="226C925A">
            <w:pPr>
              <w:pStyle w:val="66"/>
              <w:rPr>
                <w:color w:val="000000"/>
                <w:kern w:val="0"/>
                <w:sz w:val="24"/>
              </w:rPr>
            </w:pPr>
          </w:p>
          <w:p w14:paraId="1CAB83E9">
            <w:pPr>
              <w:pStyle w:val="66"/>
              <w:rPr>
                <w:color w:val="000000"/>
                <w:kern w:val="0"/>
                <w:sz w:val="24"/>
              </w:rPr>
            </w:pPr>
          </w:p>
          <w:p w14:paraId="736E39B7">
            <w:pPr>
              <w:pStyle w:val="66"/>
              <w:rPr>
                <w:color w:val="000000"/>
                <w:kern w:val="0"/>
                <w:sz w:val="24"/>
              </w:rPr>
            </w:pPr>
          </w:p>
          <w:p w14:paraId="2B62F097">
            <w:pPr>
              <w:pStyle w:val="66"/>
              <w:rPr>
                <w:color w:val="000000"/>
                <w:kern w:val="0"/>
                <w:sz w:val="24"/>
              </w:rPr>
            </w:pPr>
          </w:p>
          <w:p w14:paraId="728EE9A9">
            <w:pPr>
              <w:widowControl/>
              <w:spacing w:before="100" w:beforeAutospacing="1" w:after="100" w:afterAutospacing="1"/>
              <w:jc w:val="left"/>
              <w:rPr>
                <w:rFonts w:ascii="黑体" w:hAnsi="黑体" w:eastAsia="黑体"/>
                <w:snapToGrid w:val="0"/>
                <w:color w:val="000000"/>
                <w:sz w:val="24"/>
              </w:rPr>
            </w:pPr>
          </w:p>
          <w:p w14:paraId="0BEA9C8B">
            <w:pPr>
              <w:widowControl/>
              <w:spacing w:before="100" w:beforeAutospacing="1" w:after="100" w:afterAutospacing="1"/>
              <w:jc w:val="left"/>
              <w:rPr>
                <w:rFonts w:ascii="黑体" w:hAnsi="黑体" w:eastAsia="黑体"/>
                <w:snapToGrid w:val="0"/>
                <w:color w:val="000000"/>
                <w:sz w:val="24"/>
              </w:rPr>
            </w:pPr>
          </w:p>
        </w:tc>
      </w:tr>
    </w:tbl>
    <w:p w14:paraId="47DC4A0F">
      <w:pPr>
        <w:pStyle w:val="99"/>
        <w:spacing w:beforeLines="80" w:after="24"/>
        <w:jc w:val="left"/>
        <w:rPr>
          <w:rFonts w:eastAsia="黑体"/>
          <w:color w:val="000000"/>
          <w:szCs w:val="21"/>
        </w:rPr>
      </w:pPr>
    </w:p>
    <w:sectPr>
      <w:pgSz w:w="11906" w:h="16838"/>
      <w:pgMar w:top="1440" w:right="1797" w:bottom="1440" w:left="1797" w:header="510" w:footer="992" w:gutter="0"/>
      <w:pgBorders>
        <w:top w:val="none" w:sz="0" w:space="0"/>
        <w:left w:val="none" w:sz="0" w:space="0"/>
        <w:bottom w:val="none" w:sz="0" w:space="0"/>
        <w:right w:val="none" w:sz="0" w:space="0"/>
      </w:pgBorders>
      <w:pgNumType w:fmt="decimal"/>
      <w:cols w:space="720" w:num="1"/>
      <w:docGrid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新宋体-18030">
    <w:altName w:val="宋体"/>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体">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Impact">
    <w:panose1 w:val="020B0806030902050204"/>
    <w:charset w:val="00"/>
    <w:family w:val="swiss"/>
    <w:pitch w:val="default"/>
    <w:sig w:usb0="00000287"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A5B4F">
    <w:pPr>
      <w:pStyle w:val="35"/>
      <w:jc w:val="center"/>
    </w:pPr>
  </w:p>
  <w:p w14:paraId="55B8F94D">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5AB3">
    <w:pPr>
      <w:pStyle w:val="35"/>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EE5DAB">
                          <w:pPr>
                            <w:pStyle w:val="35"/>
                          </w:pPr>
                          <w:r>
                            <w:t xml:space="preserve">第 </w:t>
                          </w:r>
                          <w:r>
                            <w:fldChar w:fldCharType="begin"/>
                          </w:r>
                          <w:r>
                            <w:instrText xml:space="preserve"> PAGE  \* MERGEFORMAT </w:instrText>
                          </w:r>
                          <w:r>
                            <w:fldChar w:fldCharType="separate"/>
                          </w:r>
                          <w:r>
                            <w:t>72</w:t>
                          </w:r>
                          <w:r>
                            <w:fldChar w:fldCharType="end"/>
                          </w:r>
                          <w: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5AShskBAACaAwAADgAAAGRycy9lMm9Eb2MueG1srVPNjtMwEL4j8Q6W&#10;79TZgqCK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9NUbShy3OPHzzx/nX3/Ov7+T&#10;l1mfPkCNabcBE9Pwzg+4NbMf0JlpDyra/EVCBOOo7umirhwSEfnRarlaVRgSGJsviM/unocI6b30&#10;lmSjoRHHV1Tlx4+QxtQ5JVdz/kYbU0Zo3H8OxMwelnsfe8xWGnbDRGjn2xPy6XHyDXW46JSYDw6F&#10;zUsyG3E2drNxCFHvu7JFuR6Et4eETZTecoURdiqMIyvspvXKO/HvvWTd/V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BKGyQEAAJoDAAAOAAAAAAAAAAEAIAAAAB4BAABkcnMvZTJvRG9j&#10;LnhtbFBLBQYAAAAABgAGAFkBAABZBQAAAAA=&#10;">
              <v:fill on="f" focussize="0,0"/>
              <v:stroke on="f"/>
              <v:imagedata o:title=""/>
              <o:lock v:ext="edit" aspectratio="f"/>
              <v:textbox inset="0mm,0mm,0mm,0mm" style="mso-fit-shape-to-text:t;">
                <w:txbxContent>
                  <w:p w14:paraId="0BEE5DAB">
                    <w:pPr>
                      <w:pStyle w:val="35"/>
                    </w:pPr>
                    <w:r>
                      <w:t xml:space="preserve">第 </w:t>
                    </w:r>
                    <w:r>
                      <w:fldChar w:fldCharType="begin"/>
                    </w:r>
                    <w:r>
                      <w:instrText xml:space="preserve"> PAGE  \* MERGEFORMAT </w:instrText>
                    </w:r>
                    <w:r>
                      <w:fldChar w:fldCharType="separate"/>
                    </w:r>
                    <w:r>
                      <w:t>72</w:t>
                    </w:r>
                    <w:r>
                      <w:fldChar w:fldCharType="end"/>
                    </w:r>
                    <w:r>
                      <w:t xml:space="preserve"> 页</w:t>
                    </w:r>
                  </w:p>
                </w:txbxContent>
              </v:textbox>
            </v:shape>
          </w:pict>
        </mc:Fallback>
      </mc:AlternateContent>
    </w:r>
  </w:p>
  <w:p w14:paraId="3DDF8614">
    <w:pPr>
      <w:ind w:right="227"/>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1B2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C01EF"/>
    <w:multiLevelType w:val="singleLevel"/>
    <w:tmpl w:val="8E3C01EF"/>
    <w:lvl w:ilvl="0" w:tentative="0">
      <w:start w:val="1"/>
      <w:numFmt w:val="chineseCounting"/>
      <w:suff w:val="nothing"/>
      <w:lvlText w:val="%1、"/>
      <w:lvlJc w:val="left"/>
      <w:rPr>
        <w:rFonts w:hint="eastAsia"/>
      </w:rPr>
    </w:lvl>
  </w:abstractNum>
  <w:abstractNum w:abstractNumId="1">
    <w:nsid w:val="B2D25267"/>
    <w:multiLevelType w:val="singleLevel"/>
    <w:tmpl w:val="B2D25267"/>
    <w:lvl w:ilvl="0" w:tentative="0">
      <w:start w:val="1"/>
      <w:numFmt w:val="bullet"/>
      <w:pStyle w:val="31"/>
      <w:lvlText w:val=""/>
      <w:lvlJc w:val="left"/>
      <w:pPr>
        <w:tabs>
          <w:tab w:val="left" w:pos="2040"/>
        </w:tabs>
        <w:ind w:left="2040" w:hanging="360"/>
      </w:pPr>
      <w:rPr>
        <w:rFonts w:hint="default" w:ascii="Wingdings" w:hAnsi="Wingdings"/>
      </w:rPr>
    </w:lvl>
  </w:abstractNum>
  <w:abstractNum w:abstractNumId="2">
    <w:nsid w:val="E1F381E3"/>
    <w:multiLevelType w:val="singleLevel"/>
    <w:tmpl w:val="E1F381E3"/>
    <w:lvl w:ilvl="0" w:tentative="0">
      <w:start w:val="1"/>
      <w:numFmt w:val="decimal"/>
      <w:suff w:val="nothing"/>
      <w:lvlText w:val="%1、"/>
      <w:lvlJc w:val="left"/>
    </w:lvl>
  </w:abstractNum>
  <w:abstractNum w:abstractNumId="3">
    <w:nsid w:val="01A95015"/>
    <w:multiLevelType w:val="singleLevel"/>
    <w:tmpl w:val="01A95015"/>
    <w:lvl w:ilvl="0" w:tentative="0">
      <w:start w:val="1"/>
      <w:numFmt w:val="upperLetter"/>
      <w:pStyle w:val="14"/>
      <w:lvlText w:val="%1、"/>
      <w:lvlJc w:val="left"/>
      <w:pPr>
        <w:tabs>
          <w:tab w:val="left" w:pos="1050"/>
        </w:tabs>
        <w:ind w:left="1050" w:hanging="480"/>
      </w:pPr>
      <w:rPr>
        <w:rFonts w:hint="default"/>
      </w:rPr>
    </w:lvl>
  </w:abstractNum>
  <w:abstractNum w:abstractNumId="4">
    <w:nsid w:val="310518E3"/>
    <w:multiLevelType w:val="singleLevel"/>
    <w:tmpl w:val="310518E3"/>
    <w:lvl w:ilvl="0" w:tentative="0">
      <w:start w:val="1"/>
      <w:numFmt w:val="decimal"/>
      <w:suff w:val="nothing"/>
      <w:lvlText w:val="（%1）"/>
      <w:lvlJc w:val="left"/>
    </w:lvl>
  </w:abstractNum>
  <w:abstractNum w:abstractNumId="5">
    <w:nsid w:val="522C8604"/>
    <w:multiLevelType w:val="singleLevel"/>
    <w:tmpl w:val="522C8604"/>
    <w:lvl w:ilvl="0" w:tentative="0">
      <w:start w:val="4"/>
      <w:numFmt w:val="decimal"/>
      <w:suff w:val="nothing"/>
      <w:lvlText w:val="（%1）"/>
      <w:lvlJc w:val="left"/>
    </w:lvl>
  </w:abstractNum>
  <w:abstractNum w:abstractNumId="6">
    <w:nsid w:val="6EE35BCC"/>
    <w:multiLevelType w:val="singleLevel"/>
    <w:tmpl w:val="6EE35BCC"/>
    <w:lvl w:ilvl="0" w:tentative="0">
      <w:start w:val="1"/>
      <w:numFmt w:val="upperLetter"/>
      <w:pStyle w:val="11"/>
      <w:lvlText w:val="%1、"/>
      <w:lvlJc w:val="left"/>
      <w:pPr>
        <w:tabs>
          <w:tab w:val="left" w:pos="1296"/>
        </w:tabs>
        <w:ind w:left="1296" w:hanging="720"/>
      </w:pPr>
      <w:rPr>
        <w:rFonts w:hint="default"/>
      </w:rPr>
    </w:lvl>
  </w:abstractNum>
  <w:num w:numId="1">
    <w:abstractNumId w:val="6"/>
  </w:num>
  <w:num w:numId="2">
    <w:abstractNumId w:val="3"/>
  </w:num>
  <w:num w:numId="3">
    <w:abstractNumId w:val="1"/>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attachedTemplate r:id="rId1"/>
  <w:documentProtection w:edit="trackedChanges"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jZTc3OWJiMGNlN2Y1MzkzYjNjNmQ1NDA1OTJmZTIifQ=="/>
  </w:docVars>
  <w:rsids>
    <w:rsidRoot w:val="00A14947"/>
    <w:rsid w:val="00002AB9"/>
    <w:rsid w:val="00004240"/>
    <w:rsid w:val="000051A6"/>
    <w:rsid w:val="000060B3"/>
    <w:rsid w:val="00007C39"/>
    <w:rsid w:val="00010792"/>
    <w:rsid w:val="00010930"/>
    <w:rsid w:val="00010EFC"/>
    <w:rsid w:val="00013755"/>
    <w:rsid w:val="00013E52"/>
    <w:rsid w:val="00014CF8"/>
    <w:rsid w:val="00017B43"/>
    <w:rsid w:val="00024197"/>
    <w:rsid w:val="000313D1"/>
    <w:rsid w:val="00035221"/>
    <w:rsid w:val="00035CFA"/>
    <w:rsid w:val="000373DF"/>
    <w:rsid w:val="000416FE"/>
    <w:rsid w:val="00041C63"/>
    <w:rsid w:val="00041CBD"/>
    <w:rsid w:val="0004364B"/>
    <w:rsid w:val="00044E64"/>
    <w:rsid w:val="00045188"/>
    <w:rsid w:val="00045C80"/>
    <w:rsid w:val="00046881"/>
    <w:rsid w:val="00046944"/>
    <w:rsid w:val="00047311"/>
    <w:rsid w:val="00053211"/>
    <w:rsid w:val="000532AE"/>
    <w:rsid w:val="00055E9D"/>
    <w:rsid w:val="000560D6"/>
    <w:rsid w:val="00056309"/>
    <w:rsid w:val="000569F1"/>
    <w:rsid w:val="00061A15"/>
    <w:rsid w:val="00061B1F"/>
    <w:rsid w:val="00063A36"/>
    <w:rsid w:val="0006489D"/>
    <w:rsid w:val="000658B2"/>
    <w:rsid w:val="00072A2D"/>
    <w:rsid w:val="000733C4"/>
    <w:rsid w:val="00074783"/>
    <w:rsid w:val="000770BD"/>
    <w:rsid w:val="0007768E"/>
    <w:rsid w:val="00077CFF"/>
    <w:rsid w:val="0008070B"/>
    <w:rsid w:val="000810AC"/>
    <w:rsid w:val="0008152E"/>
    <w:rsid w:val="00081656"/>
    <w:rsid w:val="00081A02"/>
    <w:rsid w:val="00082231"/>
    <w:rsid w:val="00083A90"/>
    <w:rsid w:val="0008447D"/>
    <w:rsid w:val="00085639"/>
    <w:rsid w:val="00086B63"/>
    <w:rsid w:val="000904E6"/>
    <w:rsid w:val="00092D38"/>
    <w:rsid w:val="0009377B"/>
    <w:rsid w:val="00093D86"/>
    <w:rsid w:val="00094D1F"/>
    <w:rsid w:val="00096CD7"/>
    <w:rsid w:val="000973C2"/>
    <w:rsid w:val="000A20C9"/>
    <w:rsid w:val="000A4DE7"/>
    <w:rsid w:val="000A795B"/>
    <w:rsid w:val="000B058F"/>
    <w:rsid w:val="000B0A8B"/>
    <w:rsid w:val="000B202F"/>
    <w:rsid w:val="000B4054"/>
    <w:rsid w:val="000B4467"/>
    <w:rsid w:val="000B4BF1"/>
    <w:rsid w:val="000B4DB9"/>
    <w:rsid w:val="000B6D17"/>
    <w:rsid w:val="000C09AC"/>
    <w:rsid w:val="000C3EF3"/>
    <w:rsid w:val="000C65E5"/>
    <w:rsid w:val="000C767F"/>
    <w:rsid w:val="000C7B3D"/>
    <w:rsid w:val="000C7C93"/>
    <w:rsid w:val="000D16D5"/>
    <w:rsid w:val="000D4325"/>
    <w:rsid w:val="000D5A44"/>
    <w:rsid w:val="000D6A33"/>
    <w:rsid w:val="000D79BB"/>
    <w:rsid w:val="000E08E4"/>
    <w:rsid w:val="000E1772"/>
    <w:rsid w:val="000E34A0"/>
    <w:rsid w:val="000E3ED2"/>
    <w:rsid w:val="000F0D0B"/>
    <w:rsid w:val="000F182F"/>
    <w:rsid w:val="000F1E99"/>
    <w:rsid w:val="000F2261"/>
    <w:rsid w:val="000F668C"/>
    <w:rsid w:val="000F7773"/>
    <w:rsid w:val="000F7876"/>
    <w:rsid w:val="00100B68"/>
    <w:rsid w:val="00104A57"/>
    <w:rsid w:val="00110344"/>
    <w:rsid w:val="00112CFE"/>
    <w:rsid w:val="0011343A"/>
    <w:rsid w:val="001134E7"/>
    <w:rsid w:val="00114A47"/>
    <w:rsid w:val="001155D9"/>
    <w:rsid w:val="0011597F"/>
    <w:rsid w:val="00124526"/>
    <w:rsid w:val="00124B2C"/>
    <w:rsid w:val="00125E8C"/>
    <w:rsid w:val="00126075"/>
    <w:rsid w:val="00127443"/>
    <w:rsid w:val="00131F42"/>
    <w:rsid w:val="00135440"/>
    <w:rsid w:val="001357F1"/>
    <w:rsid w:val="001402F0"/>
    <w:rsid w:val="00140F17"/>
    <w:rsid w:val="00140FA8"/>
    <w:rsid w:val="001413BE"/>
    <w:rsid w:val="0014256D"/>
    <w:rsid w:val="00142FEB"/>
    <w:rsid w:val="00143771"/>
    <w:rsid w:val="00143A2D"/>
    <w:rsid w:val="001452FE"/>
    <w:rsid w:val="0014568A"/>
    <w:rsid w:val="00145A41"/>
    <w:rsid w:val="001476CC"/>
    <w:rsid w:val="00150E8E"/>
    <w:rsid w:val="00151675"/>
    <w:rsid w:val="00151BCC"/>
    <w:rsid w:val="00151F8E"/>
    <w:rsid w:val="00152BBA"/>
    <w:rsid w:val="0015308F"/>
    <w:rsid w:val="00157435"/>
    <w:rsid w:val="00160CC8"/>
    <w:rsid w:val="0016635B"/>
    <w:rsid w:val="00170E71"/>
    <w:rsid w:val="0017167E"/>
    <w:rsid w:val="001720BA"/>
    <w:rsid w:val="001734B5"/>
    <w:rsid w:val="0017504D"/>
    <w:rsid w:val="00175744"/>
    <w:rsid w:val="0017671A"/>
    <w:rsid w:val="00177422"/>
    <w:rsid w:val="001779CC"/>
    <w:rsid w:val="001803F9"/>
    <w:rsid w:val="0018160D"/>
    <w:rsid w:val="001821C2"/>
    <w:rsid w:val="00184590"/>
    <w:rsid w:val="001846A9"/>
    <w:rsid w:val="0018484F"/>
    <w:rsid w:val="001848DC"/>
    <w:rsid w:val="0018605C"/>
    <w:rsid w:val="001867A9"/>
    <w:rsid w:val="001867D9"/>
    <w:rsid w:val="001870D1"/>
    <w:rsid w:val="0018781E"/>
    <w:rsid w:val="00191A39"/>
    <w:rsid w:val="0019262D"/>
    <w:rsid w:val="001927A2"/>
    <w:rsid w:val="001946A5"/>
    <w:rsid w:val="00194833"/>
    <w:rsid w:val="00197ACD"/>
    <w:rsid w:val="001A015B"/>
    <w:rsid w:val="001A1B35"/>
    <w:rsid w:val="001A1E49"/>
    <w:rsid w:val="001A2004"/>
    <w:rsid w:val="001A3960"/>
    <w:rsid w:val="001A48A2"/>
    <w:rsid w:val="001A6F61"/>
    <w:rsid w:val="001B07A1"/>
    <w:rsid w:val="001B0A79"/>
    <w:rsid w:val="001B0AEE"/>
    <w:rsid w:val="001B13CA"/>
    <w:rsid w:val="001B24EF"/>
    <w:rsid w:val="001B5ED2"/>
    <w:rsid w:val="001B72B8"/>
    <w:rsid w:val="001C03A0"/>
    <w:rsid w:val="001C69B3"/>
    <w:rsid w:val="001C7D6A"/>
    <w:rsid w:val="001D0CFA"/>
    <w:rsid w:val="001D25E4"/>
    <w:rsid w:val="001D28FF"/>
    <w:rsid w:val="001D33A2"/>
    <w:rsid w:val="001D4D98"/>
    <w:rsid w:val="001D5595"/>
    <w:rsid w:val="001D776B"/>
    <w:rsid w:val="001D7874"/>
    <w:rsid w:val="001D7F22"/>
    <w:rsid w:val="001E0252"/>
    <w:rsid w:val="001E0409"/>
    <w:rsid w:val="001E1F37"/>
    <w:rsid w:val="001E365E"/>
    <w:rsid w:val="001E3D2F"/>
    <w:rsid w:val="001F039C"/>
    <w:rsid w:val="001F0F17"/>
    <w:rsid w:val="001F3347"/>
    <w:rsid w:val="001F3701"/>
    <w:rsid w:val="001F69E4"/>
    <w:rsid w:val="00200F29"/>
    <w:rsid w:val="00201883"/>
    <w:rsid w:val="002043AB"/>
    <w:rsid w:val="0020512D"/>
    <w:rsid w:val="002106E5"/>
    <w:rsid w:val="002118A0"/>
    <w:rsid w:val="002125B4"/>
    <w:rsid w:val="00212D3F"/>
    <w:rsid w:val="002155B8"/>
    <w:rsid w:val="00220C9D"/>
    <w:rsid w:val="002210E8"/>
    <w:rsid w:val="0022255C"/>
    <w:rsid w:val="00224839"/>
    <w:rsid w:val="002249B2"/>
    <w:rsid w:val="0022588B"/>
    <w:rsid w:val="00225D82"/>
    <w:rsid w:val="00226574"/>
    <w:rsid w:val="002278D7"/>
    <w:rsid w:val="002278EC"/>
    <w:rsid w:val="00227BC8"/>
    <w:rsid w:val="00231393"/>
    <w:rsid w:val="00231420"/>
    <w:rsid w:val="00231A09"/>
    <w:rsid w:val="00232184"/>
    <w:rsid w:val="0023280E"/>
    <w:rsid w:val="00234443"/>
    <w:rsid w:val="002356E2"/>
    <w:rsid w:val="002377D1"/>
    <w:rsid w:val="00242397"/>
    <w:rsid w:val="002506BC"/>
    <w:rsid w:val="0025197D"/>
    <w:rsid w:val="00253200"/>
    <w:rsid w:val="00254345"/>
    <w:rsid w:val="002552E9"/>
    <w:rsid w:val="0025620A"/>
    <w:rsid w:val="002603FD"/>
    <w:rsid w:val="002631A3"/>
    <w:rsid w:val="00264557"/>
    <w:rsid w:val="00265338"/>
    <w:rsid w:val="00265A3E"/>
    <w:rsid w:val="002661E8"/>
    <w:rsid w:val="00266753"/>
    <w:rsid w:val="00272F32"/>
    <w:rsid w:val="00274B5B"/>
    <w:rsid w:val="00276572"/>
    <w:rsid w:val="00277DD4"/>
    <w:rsid w:val="002805AB"/>
    <w:rsid w:val="00280A64"/>
    <w:rsid w:val="00282037"/>
    <w:rsid w:val="00282A82"/>
    <w:rsid w:val="00283008"/>
    <w:rsid w:val="00284204"/>
    <w:rsid w:val="0029052B"/>
    <w:rsid w:val="00291773"/>
    <w:rsid w:val="00295F7D"/>
    <w:rsid w:val="002971E9"/>
    <w:rsid w:val="00297CF8"/>
    <w:rsid w:val="002A168C"/>
    <w:rsid w:val="002A1EF9"/>
    <w:rsid w:val="002A2F65"/>
    <w:rsid w:val="002A3DC7"/>
    <w:rsid w:val="002A6E66"/>
    <w:rsid w:val="002B259A"/>
    <w:rsid w:val="002B49E2"/>
    <w:rsid w:val="002B7556"/>
    <w:rsid w:val="002B76B9"/>
    <w:rsid w:val="002B7AF2"/>
    <w:rsid w:val="002B7B00"/>
    <w:rsid w:val="002B7C44"/>
    <w:rsid w:val="002C2B17"/>
    <w:rsid w:val="002C464D"/>
    <w:rsid w:val="002C54FB"/>
    <w:rsid w:val="002D17A8"/>
    <w:rsid w:val="002D3DD0"/>
    <w:rsid w:val="002D40E9"/>
    <w:rsid w:val="002D645E"/>
    <w:rsid w:val="002D6CCB"/>
    <w:rsid w:val="002D74F4"/>
    <w:rsid w:val="002E1F3A"/>
    <w:rsid w:val="002E298A"/>
    <w:rsid w:val="002E30A9"/>
    <w:rsid w:val="002E38F4"/>
    <w:rsid w:val="002E425C"/>
    <w:rsid w:val="002F13AD"/>
    <w:rsid w:val="002F1508"/>
    <w:rsid w:val="002F5B54"/>
    <w:rsid w:val="002F635D"/>
    <w:rsid w:val="003008AB"/>
    <w:rsid w:val="00301978"/>
    <w:rsid w:val="00301C03"/>
    <w:rsid w:val="00302957"/>
    <w:rsid w:val="0030332C"/>
    <w:rsid w:val="00303D02"/>
    <w:rsid w:val="003050F4"/>
    <w:rsid w:val="003051C2"/>
    <w:rsid w:val="00306616"/>
    <w:rsid w:val="003071BB"/>
    <w:rsid w:val="00307A7F"/>
    <w:rsid w:val="00312296"/>
    <w:rsid w:val="00314F0E"/>
    <w:rsid w:val="003200BB"/>
    <w:rsid w:val="0032049A"/>
    <w:rsid w:val="00321D8E"/>
    <w:rsid w:val="00322D61"/>
    <w:rsid w:val="00325928"/>
    <w:rsid w:val="00325F40"/>
    <w:rsid w:val="00327271"/>
    <w:rsid w:val="00327DD5"/>
    <w:rsid w:val="00331434"/>
    <w:rsid w:val="00332863"/>
    <w:rsid w:val="0033318B"/>
    <w:rsid w:val="0033553A"/>
    <w:rsid w:val="00335BB8"/>
    <w:rsid w:val="0033684D"/>
    <w:rsid w:val="00336988"/>
    <w:rsid w:val="003370B4"/>
    <w:rsid w:val="00337B42"/>
    <w:rsid w:val="00337B6C"/>
    <w:rsid w:val="00341B42"/>
    <w:rsid w:val="0034348F"/>
    <w:rsid w:val="00344210"/>
    <w:rsid w:val="003472E6"/>
    <w:rsid w:val="003501BB"/>
    <w:rsid w:val="0035333F"/>
    <w:rsid w:val="0035407D"/>
    <w:rsid w:val="003546BA"/>
    <w:rsid w:val="00354B0E"/>
    <w:rsid w:val="00356653"/>
    <w:rsid w:val="0035743F"/>
    <w:rsid w:val="00357BE2"/>
    <w:rsid w:val="0036170C"/>
    <w:rsid w:val="00361D92"/>
    <w:rsid w:val="00361D9C"/>
    <w:rsid w:val="00364493"/>
    <w:rsid w:val="00366E0F"/>
    <w:rsid w:val="003672A8"/>
    <w:rsid w:val="003761F2"/>
    <w:rsid w:val="00376AB4"/>
    <w:rsid w:val="00376C9E"/>
    <w:rsid w:val="00381A72"/>
    <w:rsid w:val="003822A5"/>
    <w:rsid w:val="00383D7C"/>
    <w:rsid w:val="00384676"/>
    <w:rsid w:val="00384730"/>
    <w:rsid w:val="003868C5"/>
    <w:rsid w:val="00390857"/>
    <w:rsid w:val="003918C5"/>
    <w:rsid w:val="00391AC0"/>
    <w:rsid w:val="00392EF4"/>
    <w:rsid w:val="00397949"/>
    <w:rsid w:val="00397C4A"/>
    <w:rsid w:val="003A2FCF"/>
    <w:rsid w:val="003A4BF3"/>
    <w:rsid w:val="003A7918"/>
    <w:rsid w:val="003B011E"/>
    <w:rsid w:val="003B2B4D"/>
    <w:rsid w:val="003B3D6F"/>
    <w:rsid w:val="003B420D"/>
    <w:rsid w:val="003C0D7B"/>
    <w:rsid w:val="003C4CC0"/>
    <w:rsid w:val="003C5528"/>
    <w:rsid w:val="003C6C16"/>
    <w:rsid w:val="003D15BC"/>
    <w:rsid w:val="003D1D1E"/>
    <w:rsid w:val="003D3E87"/>
    <w:rsid w:val="003D44C8"/>
    <w:rsid w:val="003D4BFC"/>
    <w:rsid w:val="003D794D"/>
    <w:rsid w:val="003E050C"/>
    <w:rsid w:val="003E1886"/>
    <w:rsid w:val="003E24BC"/>
    <w:rsid w:val="003E3058"/>
    <w:rsid w:val="003E4610"/>
    <w:rsid w:val="003E6994"/>
    <w:rsid w:val="003E76A9"/>
    <w:rsid w:val="003F015F"/>
    <w:rsid w:val="003F0809"/>
    <w:rsid w:val="003F30BB"/>
    <w:rsid w:val="003F5A2F"/>
    <w:rsid w:val="003F68AE"/>
    <w:rsid w:val="003F6A8C"/>
    <w:rsid w:val="003F755C"/>
    <w:rsid w:val="003F7B74"/>
    <w:rsid w:val="003F7D0C"/>
    <w:rsid w:val="0040431F"/>
    <w:rsid w:val="00405179"/>
    <w:rsid w:val="004058BE"/>
    <w:rsid w:val="00406F01"/>
    <w:rsid w:val="00407C2A"/>
    <w:rsid w:val="0041600B"/>
    <w:rsid w:val="00416010"/>
    <w:rsid w:val="00416196"/>
    <w:rsid w:val="0041641A"/>
    <w:rsid w:val="00416568"/>
    <w:rsid w:val="00416D50"/>
    <w:rsid w:val="00416FD5"/>
    <w:rsid w:val="00417002"/>
    <w:rsid w:val="00417772"/>
    <w:rsid w:val="00420BA4"/>
    <w:rsid w:val="00420E6A"/>
    <w:rsid w:val="00425A9E"/>
    <w:rsid w:val="00426D6B"/>
    <w:rsid w:val="00430C69"/>
    <w:rsid w:val="00431E6C"/>
    <w:rsid w:val="00433CE7"/>
    <w:rsid w:val="00435261"/>
    <w:rsid w:val="00437646"/>
    <w:rsid w:val="0044104D"/>
    <w:rsid w:val="00443F64"/>
    <w:rsid w:val="004449F3"/>
    <w:rsid w:val="00444B1C"/>
    <w:rsid w:val="004518F0"/>
    <w:rsid w:val="0045211A"/>
    <w:rsid w:val="00452738"/>
    <w:rsid w:val="004545CD"/>
    <w:rsid w:val="0045608C"/>
    <w:rsid w:val="00456091"/>
    <w:rsid w:val="0046131D"/>
    <w:rsid w:val="00462BA0"/>
    <w:rsid w:val="0046310D"/>
    <w:rsid w:val="00463375"/>
    <w:rsid w:val="004644E0"/>
    <w:rsid w:val="00466321"/>
    <w:rsid w:val="0047157E"/>
    <w:rsid w:val="00471857"/>
    <w:rsid w:val="00472684"/>
    <w:rsid w:val="00482C26"/>
    <w:rsid w:val="00483417"/>
    <w:rsid w:val="00484277"/>
    <w:rsid w:val="00484B9B"/>
    <w:rsid w:val="004855F6"/>
    <w:rsid w:val="00485A43"/>
    <w:rsid w:val="0048661E"/>
    <w:rsid w:val="00487387"/>
    <w:rsid w:val="00487A9A"/>
    <w:rsid w:val="00487FEB"/>
    <w:rsid w:val="00492846"/>
    <w:rsid w:val="004931F8"/>
    <w:rsid w:val="0049355C"/>
    <w:rsid w:val="00494670"/>
    <w:rsid w:val="004A077B"/>
    <w:rsid w:val="004A1A38"/>
    <w:rsid w:val="004A225E"/>
    <w:rsid w:val="004A37F5"/>
    <w:rsid w:val="004A3823"/>
    <w:rsid w:val="004A71B8"/>
    <w:rsid w:val="004A7B0E"/>
    <w:rsid w:val="004A7B7C"/>
    <w:rsid w:val="004B2C5D"/>
    <w:rsid w:val="004B5D76"/>
    <w:rsid w:val="004C0ABE"/>
    <w:rsid w:val="004C0C76"/>
    <w:rsid w:val="004C3F1D"/>
    <w:rsid w:val="004C3F1F"/>
    <w:rsid w:val="004C3F54"/>
    <w:rsid w:val="004C4C7C"/>
    <w:rsid w:val="004C5B35"/>
    <w:rsid w:val="004C5D0C"/>
    <w:rsid w:val="004C7488"/>
    <w:rsid w:val="004C7FA3"/>
    <w:rsid w:val="004E05C4"/>
    <w:rsid w:val="004E6946"/>
    <w:rsid w:val="004E724A"/>
    <w:rsid w:val="004F1AD8"/>
    <w:rsid w:val="004F5119"/>
    <w:rsid w:val="004F5F90"/>
    <w:rsid w:val="004F6E88"/>
    <w:rsid w:val="004F74E1"/>
    <w:rsid w:val="00500A0A"/>
    <w:rsid w:val="00500D15"/>
    <w:rsid w:val="005017AA"/>
    <w:rsid w:val="00501804"/>
    <w:rsid w:val="00502C9C"/>
    <w:rsid w:val="005039CB"/>
    <w:rsid w:val="00504B47"/>
    <w:rsid w:val="0050507E"/>
    <w:rsid w:val="0050558F"/>
    <w:rsid w:val="005057EE"/>
    <w:rsid w:val="00506286"/>
    <w:rsid w:val="005076FF"/>
    <w:rsid w:val="00507B9B"/>
    <w:rsid w:val="005102C1"/>
    <w:rsid w:val="00510813"/>
    <w:rsid w:val="00510BA3"/>
    <w:rsid w:val="00511990"/>
    <w:rsid w:val="00511DE0"/>
    <w:rsid w:val="00514870"/>
    <w:rsid w:val="00514B9B"/>
    <w:rsid w:val="005163CC"/>
    <w:rsid w:val="005163D6"/>
    <w:rsid w:val="00517F02"/>
    <w:rsid w:val="00522E39"/>
    <w:rsid w:val="00524303"/>
    <w:rsid w:val="005258A2"/>
    <w:rsid w:val="005259EB"/>
    <w:rsid w:val="00526C5F"/>
    <w:rsid w:val="00527801"/>
    <w:rsid w:val="00530F89"/>
    <w:rsid w:val="00534FA9"/>
    <w:rsid w:val="00537A84"/>
    <w:rsid w:val="005401AE"/>
    <w:rsid w:val="0054076E"/>
    <w:rsid w:val="005412E8"/>
    <w:rsid w:val="00542E07"/>
    <w:rsid w:val="00544D49"/>
    <w:rsid w:val="00545424"/>
    <w:rsid w:val="00545B6F"/>
    <w:rsid w:val="00550FD9"/>
    <w:rsid w:val="00554A7B"/>
    <w:rsid w:val="0055572C"/>
    <w:rsid w:val="0055778A"/>
    <w:rsid w:val="0056106A"/>
    <w:rsid w:val="00561B8A"/>
    <w:rsid w:val="0056248F"/>
    <w:rsid w:val="00566141"/>
    <w:rsid w:val="005720AE"/>
    <w:rsid w:val="00572E9A"/>
    <w:rsid w:val="00574A9D"/>
    <w:rsid w:val="00577682"/>
    <w:rsid w:val="00581843"/>
    <w:rsid w:val="00583911"/>
    <w:rsid w:val="00583963"/>
    <w:rsid w:val="00584224"/>
    <w:rsid w:val="00585AE6"/>
    <w:rsid w:val="0058721D"/>
    <w:rsid w:val="00587C68"/>
    <w:rsid w:val="0059263A"/>
    <w:rsid w:val="00592E5F"/>
    <w:rsid w:val="00594D77"/>
    <w:rsid w:val="005969E4"/>
    <w:rsid w:val="005A0290"/>
    <w:rsid w:val="005A06B7"/>
    <w:rsid w:val="005A0C65"/>
    <w:rsid w:val="005A1759"/>
    <w:rsid w:val="005A3B8B"/>
    <w:rsid w:val="005A4C61"/>
    <w:rsid w:val="005A5399"/>
    <w:rsid w:val="005A5E04"/>
    <w:rsid w:val="005A68A7"/>
    <w:rsid w:val="005A6BC4"/>
    <w:rsid w:val="005A741F"/>
    <w:rsid w:val="005A77ED"/>
    <w:rsid w:val="005B52DC"/>
    <w:rsid w:val="005C012A"/>
    <w:rsid w:val="005C1C63"/>
    <w:rsid w:val="005C287B"/>
    <w:rsid w:val="005C2DD5"/>
    <w:rsid w:val="005C39A9"/>
    <w:rsid w:val="005C4496"/>
    <w:rsid w:val="005C7CB3"/>
    <w:rsid w:val="005D0A65"/>
    <w:rsid w:val="005D36AB"/>
    <w:rsid w:val="005D5524"/>
    <w:rsid w:val="005D584B"/>
    <w:rsid w:val="005D66B7"/>
    <w:rsid w:val="005E1E77"/>
    <w:rsid w:val="005E3F4C"/>
    <w:rsid w:val="005E5687"/>
    <w:rsid w:val="005E5E3E"/>
    <w:rsid w:val="005F14C0"/>
    <w:rsid w:val="006007EC"/>
    <w:rsid w:val="0060213D"/>
    <w:rsid w:val="006026E8"/>
    <w:rsid w:val="00602E3E"/>
    <w:rsid w:val="00602EF0"/>
    <w:rsid w:val="0060497C"/>
    <w:rsid w:val="00604C4A"/>
    <w:rsid w:val="00606FB4"/>
    <w:rsid w:val="006101B8"/>
    <w:rsid w:val="00612241"/>
    <w:rsid w:val="006142F1"/>
    <w:rsid w:val="0061639E"/>
    <w:rsid w:val="00617AA0"/>
    <w:rsid w:val="00617CC3"/>
    <w:rsid w:val="006210B2"/>
    <w:rsid w:val="00621628"/>
    <w:rsid w:val="0062175C"/>
    <w:rsid w:val="00622527"/>
    <w:rsid w:val="00622567"/>
    <w:rsid w:val="006237D1"/>
    <w:rsid w:val="00627527"/>
    <w:rsid w:val="00631E3A"/>
    <w:rsid w:val="0063470A"/>
    <w:rsid w:val="00636AA2"/>
    <w:rsid w:val="006377A6"/>
    <w:rsid w:val="00637A3D"/>
    <w:rsid w:val="00637C9E"/>
    <w:rsid w:val="00640219"/>
    <w:rsid w:val="006411EF"/>
    <w:rsid w:val="00641AC3"/>
    <w:rsid w:val="00642371"/>
    <w:rsid w:val="00642B0B"/>
    <w:rsid w:val="00643464"/>
    <w:rsid w:val="00647319"/>
    <w:rsid w:val="006473E2"/>
    <w:rsid w:val="00656AA2"/>
    <w:rsid w:val="0066227E"/>
    <w:rsid w:val="00664247"/>
    <w:rsid w:val="00667898"/>
    <w:rsid w:val="006708EA"/>
    <w:rsid w:val="006717AA"/>
    <w:rsid w:val="006736E4"/>
    <w:rsid w:val="006748B8"/>
    <w:rsid w:val="00675021"/>
    <w:rsid w:val="006775C3"/>
    <w:rsid w:val="00680943"/>
    <w:rsid w:val="006910B3"/>
    <w:rsid w:val="0069290A"/>
    <w:rsid w:val="006957F8"/>
    <w:rsid w:val="00696A8B"/>
    <w:rsid w:val="0069775A"/>
    <w:rsid w:val="00697813"/>
    <w:rsid w:val="006A0F38"/>
    <w:rsid w:val="006A3EE8"/>
    <w:rsid w:val="006A4E0C"/>
    <w:rsid w:val="006A72BF"/>
    <w:rsid w:val="006B03F2"/>
    <w:rsid w:val="006B1B0A"/>
    <w:rsid w:val="006B37DC"/>
    <w:rsid w:val="006B4114"/>
    <w:rsid w:val="006B4A9E"/>
    <w:rsid w:val="006B4F68"/>
    <w:rsid w:val="006B7837"/>
    <w:rsid w:val="006B7AD9"/>
    <w:rsid w:val="006C0592"/>
    <w:rsid w:val="006C1EAE"/>
    <w:rsid w:val="006C272E"/>
    <w:rsid w:val="006C2F43"/>
    <w:rsid w:val="006C33AA"/>
    <w:rsid w:val="006C38C4"/>
    <w:rsid w:val="006C3BB0"/>
    <w:rsid w:val="006C5479"/>
    <w:rsid w:val="006D0007"/>
    <w:rsid w:val="006D13B5"/>
    <w:rsid w:val="006D19C8"/>
    <w:rsid w:val="006D75A8"/>
    <w:rsid w:val="006E00CD"/>
    <w:rsid w:val="006E12FF"/>
    <w:rsid w:val="006E2C33"/>
    <w:rsid w:val="006E3CD1"/>
    <w:rsid w:val="006E5B59"/>
    <w:rsid w:val="006E607E"/>
    <w:rsid w:val="006E6DB6"/>
    <w:rsid w:val="006E7338"/>
    <w:rsid w:val="006F00BC"/>
    <w:rsid w:val="006F160B"/>
    <w:rsid w:val="006F1B2A"/>
    <w:rsid w:val="006F27B0"/>
    <w:rsid w:val="006F2F33"/>
    <w:rsid w:val="006F5B16"/>
    <w:rsid w:val="006F7089"/>
    <w:rsid w:val="006F738A"/>
    <w:rsid w:val="00700E08"/>
    <w:rsid w:val="007020C9"/>
    <w:rsid w:val="007025D1"/>
    <w:rsid w:val="00702686"/>
    <w:rsid w:val="00703BB0"/>
    <w:rsid w:val="00705BAF"/>
    <w:rsid w:val="00706C5D"/>
    <w:rsid w:val="00706CF7"/>
    <w:rsid w:val="00707AA7"/>
    <w:rsid w:val="00707FDE"/>
    <w:rsid w:val="0071023E"/>
    <w:rsid w:val="007105B6"/>
    <w:rsid w:val="00713B2A"/>
    <w:rsid w:val="0071785D"/>
    <w:rsid w:val="00717D04"/>
    <w:rsid w:val="007206EF"/>
    <w:rsid w:val="007221D0"/>
    <w:rsid w:val="00723B5A"/>
    <w:rsid w:val="0072469A"/>
    <w:rsid w:val="00724913"/>
    <w:rsid w:val="00727992"/>
    <w:rsid w:val="00730B6C"/>
    <w:rsid w:val="00731623"/>
    <w:rsid w:val="00731820"/>
    <w:rsid w:val="00731E3F"/>
    <w:rsid w:val="00732223"/>
    <w:rsid w:val="00732922"/>
    <w:rsid w:val="007342C0"/>
    <w:rsid w:val="00740009"/>
    <w:rsid w:val="007470F8"/>
    <w:rsid w:val="0075162E"/>
    <w:rsid w:val="00754034"/>
    <w:rsid w:val="0075550A"/>
    <w:rsid w:val="00756556"/>
    <w:rsid w:val="00757A3B"/>
    <w:rsid w:val="007612AD"/>
    <w:rsid w:val="007618C4"/>
    <w:rsid w:val="00765CCA"/>
    <w:rsid w:val="00767980"/>
    <w:rsid w:val="00770300"/>
    <w:rsid w:val="00770B19"/>
    <w:rsid w:val="00771E78"/>
    <w:rsid w:val="00772255"/>
    <w:rsid w:val="00773497"/>
    <w:rsid w:val="0077463F"/>
    <w:rsid w:val="00774C52"/>
    <w:rsid w:val="00776C0E"/>
    <w:rsid w:val="007819A0"/>
    <w:rsid w:val="007836EA"/>
    <w:rsid w:val="00783728"/>
    <w:rsid w:val="00784CDA"/>
    <w:rsid w:val="007851BD"/>
    <w:rsid w:val="00785F96"/>
    <w:rsid w:val="0078731E"/>
    <w:rsid w:val="007906C4"/>
    <w:rsid w:val="00790A19"/>
    <w:rsid w:val="00791761"/>
    <w:rsid w:val="007940EA"/>
    <w:rsid w:val="007944FF"/>
    <w:rsid w:val="007967E8"/>
    <w:rsid w:val="007A2170"/>
    <w:rsid w:val="007A22BF"/>
    <w:rsid w:val="007A261F"/>
    <w:rsid w:val="007A3323"/>
    <w:rsid w:val="007A3C5C"/>
    <w:rsid w:val="007A4C50"/>
    <w:rsid w:val="007A52E8"/>
    <w:rsid w:val="007A775C"/>
    <w:rsid w:val="007A7E19"/>
    <w:rsid w:val="007B002A"/>
    <w:rsid w:val="007B2E57"/>
    <w:rsid w:val="007B376E"/>
    <w:rsid w:val="007B72B8"/>
    <w:rsid w:val="007B7A58"/>
    <w:rsid w:val="007C1280"/>
    <w:rsid w:val="007C21B5"/>
    <w:rsid w:val="007C2958"/>
    <w:rsid w:val="007C700D"/>
    <w:rsid w:val="007C7E05"/>
    <w:rsid w:val="007D018A"/>
    <w:rsid w:val="007D0981"/>
    <w:rsid w:val="007D1106"/>
    <w:rsid w:val="007D20B6"/>
    <w:rsid w:val="007D240F"/>
    <w:rsid w:val="007D2780"/>
    <w:rsid w:val="007D472A"/>
    <w:rsid w:val="007D4D1E"/>
    <w:rsid w:val="007D71E2"/>
    <w:rsid w:val="007E3809"/>
    <w:rsid w:val="007E39F6"/>
    <w:rsid w:val="007E406B"/>
    <w:rsid w:val="007E42FB"/>
    <w:rsid w:val="007E4BD2"/>
    <w:rsid w:val="007E5A5F"/>
    <w:rsid w:val="007E6204"/>
    <w:rsid w:val="007E6301"/>
    <w:rsid w:val="007E784F"/>
    <w:rsid w:val="007F284F"/>
    <w:rsid w:val="007F4073"/>
    <w:rsid w:val="007F4351"/>
    <w:rsid w:val="007F4EAD"/>
    <w:rsid w:val="007F6EEC"/>
    <w:rsid w:val="007F7CCC"/>
    <w:rsid w:val="00801393"/>
    <w:rsid w:val="0080167D"/>
    <w:rsid w:val="00802F88"/>
    <w:rsid w:val="00803A3A"/>
    <w:rsid w:val="00807A4F"/>
    <w:rsid w:val="00811346"/>
    <w:rsid w:val="0081180B"/>
    <w:rsid w:val="00811E95"/>
    <w:rsid w:val="0081293E"/>
    <w:rsid w:val="008131BE"/>
    <w:rsid w:val="008143F7"/>
    <w:rsid w:val="00815465"/>
    <w:rsid w:val="0081651F"/>
    <w:rsid w:val="00817E9A"/>
    <w:rsid w:val="008209C8"/>
    <w:rsid w:val="0082343D"/>
    <w:rsid w:val="00823CC7"/>
    <w:rsid w:val="00824CD0"/>
    <w:rsid w:val="008261B2"/>
    <w:rsid w:val="00827AB4"/>
    <w:rsid w:val="008306BD"/>
    <w:rsid w:val="00830F47"/>
    <w:rsid w:val="00831859"/>
    <w:rsid w:val="00831A80"/>
    <w:rsid w:val="00833743"/>
    <w:rsid w:val="008340A4"/>
    <w:rsid w:val="00835ED2"/>
    <w:rsid w:val="008365F6"/>
    <w:rsid w:val="00837225"/>
    <w:rsid w:val="0084056E"/>
    <w:rsid w:val="0084371C"/>
    <w:rsid w:val="00846978"/>
    <w:rsid w:val="00847D7A"/>
    <w:rsid w:val="00850A0E"/>
    <w:rsid w:val="00853044"/>
    <w:rsid w:val="008530EA"/>
    <w:rsid w:val="00853733"/>
    <w:rsid w:val="00853E34"/>
    <w:rsid w:val="008548A9"/>
    <w:rsid w:val="0086117F"/>
    <w:rsid w:val="008628FA"/>
    <w:rsid w:val="00863204"/>
    <w:rsid w:val="00864C55"/>
    <w:rsid w:val="00866CD1"/>
    <w:rsid w:val="0087135F"/>
    <w:rsid w:val="00872D32"/>
    <w:rsid w:val="00872D94"/>
    <w:rsid w:val="008754D0"/>
    <w:rsid w:val="008767C3"/>
    <w:rsid w:val="0087789A"/>
    <w:rsid w:val="00880364"/>
    <w:rsid w:val="00884665"/>
    <w:rsid w:val="0088648A"/>
    <w:rsid w:val="00891592"/>
    <w:rsid w:val="00891E9E"/>
    <w:rsid w:val="0089305A"/>
    <w:rsid w:val="008A0A74"/>
    <w:rsid w:val="008A0CFC"/>
    <w:rsid w:val="008A15A2"/>
    <w:rsid w:val="008A2F68"/>
    <w:rsid w:val="008A3C9D"/>
    <w:rsid w:val="008A4147"/>
    <w:rsid w:val="008A4CDD"/>
    <w:rsid w:val="008A7C04"/>
    <w:rsid w:val="008B4FA6"/>
    <w:rsid w:val="008B5282"/>
    <w:rsid w:val="008B53F8"/>
    <w:rsid w:val="008B5524"/>
    <w:rsid w:val="008B78AA"/>
    <w:rsid w:val="008B7C17"/>
    <w:rsid w:val="008B7F43"/>
    <w:rsid w:val="008C04D8"/>
    <w:rsid w:val="008C26E5"/>
    <w:rsid w:val="008C2D01"/>
    <w:rsid w:val="008C369F"/>
    <w:rsid w:val="008C3F5D"/>
    <w:rsid w:val="008C40E6"/>
    <w:rsid w:val="008C6647"/>
    <w:rsid w:val="008C6B8E"/>
    <w:rsid w:val="008D0F7A"/>
    <w:rsid w:val="008D28F2"/>
    <w:rsid w:val="008D315D"/>
    <w:rsid w:val="008D68E4"/>
    <w:rsid w:val="008D70E9"/>
    <w:rsid w:val="008D7968"/>
    <w:rsid w:val="008E0506"/>
    <w:rsid w:val="008E0CFF"/>
    <w:rsid w:val="008E33EA"/>
    <w:rsid w:val="008E3666"/>
    <w:rsid w:val="008E4615"/>
    <w:rsid w:val="008E5D6B"/>
    <w:rsid w:val="008E76F0"/>
    <w:rsid w:val="008E789E"/>
    <w:rsid w:val="008F15FE"/>
    <w:rsid w:val="008F19FE"/>
    <w:rsid w:val="008F2D29"/>
    <w:rsid w:val="008F3701"/>
    <w:rsid w:val="008F5187"/>
    <w:rsid w:val="008F5598"/>
    <w:rsid w:val="008F60D8"/>
    <w:rsid w:val="008F6213"/>
    <w:rsid w:val="009005CF"/>
    <w:rsid w:val="00901CDA"/>
    <w:rsid w:val="009023E0"/>
    <w:rsid w:val="00902727"/>
    <w:rsid w:val="00902D88"/>
    <w:rsid w:val="0090312B"/>
    <w:rsid w:val="009135DB"/>
    <w:rsid w:val="009160C4"/>
    <w:rsid w:val="0091736D"/>
    <w:rsid w:val="00920A83"/>
    <w:rsid w:val="00921667"/>
    <w:rsid w:val="00922727"/>
    <w:rsid w:val="009227C4"/>
    <w:rsid w:val="00923F27"/>
    <w:rsid w:val="00926B9A"/>
    <w:rsid w:val="00926B9D"/>
    <w:rsid w:val="00927235"/>
    <w:rsid w:val="0093037A"/>
    <w:rsid w:val="009310F0"/>
    <w:rsid w:val="009310F9"/>
    <w:rsid w:val="00931BFB"/>
    <w:rsid w:val="009350C2"/>
    <w:rsid w:val="009366A5"/>
    <w:rsid w:val="0094154D"/>
    <w:rsid w:val="0094237B"/>
    <w:rsid w:val="009432DC"/>
    <w:rsid w:val="00943D5E"/>
    <w:rsid w:val="00943DFB"/>
    <w:rsid w:val="0095155F"/>
    <w:rsid w:val="00951D7B"/>
    <w:rsid w:val="00952C32"/>
    <w:rsid w:val="009538D9"/>
    <w:rsid w:val="00953B4D"/>
    <w:rsid w:val="00954429"/>
    <w:rsid w:val="00954CEC"/>
    <w:rsid w:val="009563CE"/>
    <w:rsid w:val="00957409"/>
    <w:rsid w:val="00962C48"/>
    <w:rsid w:val="0096410F"/>
    <w:rsid w:val="0096737C"/>
    <w:rsid w:val="00972A54"/>
    <w:rsid w:val="00972D04"/>
    <w:rsid w:val="00974036"/>
    <w:rsid w:val="00976328"/>
    <w:rsid w:val="0097680D"/>
    <w:rsid w:val="00982438"/>
    <w:rsid w:val="00982595"/>
    <w:rsid w:val="0098404C"/>
    <w:rsid w:val="00985283"/>
    <w:rsid w:val="009872D1"/>
    <w:rsid w:val="00987563"/>
    <w:rsid w:val="00987EB0"/>
    <w:rsid w:val="00992461"/>
    <w:rsid w:val="00992641"/>
    <w:rsid w:val="00992F1B"/>
    <w:rsid w:val="009933A4"/>
    <w:rsid w:val="0099584C"/>
    <w:rsid w:val="00995992"/>
    <w:rsid w:val="0099673A"/>
    <w:rsid w:val="009A03E5"/>
    <w:rsid w:val="009A067C"/>
    <w:rsid w:val="009A0F3B"/>
    <w:rsid w:val="009A1BB4"/>
    <w:rsid w:val="009A2628"/>
    <w:rsid w:val="009A2B3F"/>
    <w:rsid w:val="009A3200"/>
    <w:rsid w:val="009A3827"/>
    <w:rsid w:val="009A4996"/>
    <w:rsid w:val="009A7296"/>
    <w:rsid w:val="009B0897"/>
    <w:rsid w:val="009B1A58"/>
    <w:rsid w:val="009B2FC9"/>
    <w:rsid w:val="009B32E6"/>
    <w:rsid w:val="009B4AD0"/>
    <w:rsid w:val="009B7BD9"/>
    <w:rsid w:val="009B7D51"/>
    <w:rsid w:val="009C6A8D"/>
    <w:rsid w:val="009C7BF7"/>
    <w:rsid w:val="009C7DD5"/>
    <w:rsid w:val="009D3F7E"/>
    <w:rsid w:val="009D4067"/>
    <w:rsid w:val="009D4613"/>
    <w:rsid w:val="009D4F3C"/>
    <w:rsid w:val="009E11A9"/>
    <w:rsid w:val="009E1CFF"/>
    <w:rsid w:val="009E1FF4"/>
    <w:rsid w:val="009E227D"/>
    <w:rsid w:val="009E250D"/>
    <w:rsid w:val="009E4D97"/>
    <w:rsid w:val="009E5019"/>
    <w:rsid w:val="009E5066"/>
    <w:rsid w:val="009E665E"/>
    <w:rsid w:val="009E6D61"/>
    <w:rsid w:val="009E6E63"/>
    <w:rsid w:val="009F24F2"/>
    <w:rsid w:val="009F6215"/>
    <w:rsid w:val="00A0104A"/>
    <w:rsid w:val="00A021D1"/>
    <w:rsid w:val="00A02DCF"/>
    <w:rsid w:val="00A03115"/>
    <w:rsid w:val="00A037DF"/>
    <w:rsid w:val="00A0411D"/>
    <w:rsid w:val="00A04F1B"/>
    <w:rsid w:val="00A0501B"/>
    <w:rsid w:val="00A0793A"/>
    <w:rsid w:val="00A11673"/>
    <w:rsid w:val="00A11AAA"/>
    <w:rsid w:val="00A13116"/>
    <w:rsid w:val="00A14947"/>
    <w:rsid w:val="00A254B5"/>
    <w:rsid w:val="00A27335"/>
    <w:rsid w:val="00A278F9"/>
    <w:rsid w:val="00A320F5"/>
    <w:rsid w:val="00A32A83"/>
    <w:rsid w:val="00A34A88"/>
    <w:rsid w:val="00A365B3"/>
    <w:rsid w:val="00A368DB"/>
    <w:rsid w:val="00A3700D"/>
    <w:rsid w:val="00A37C92"/>
    <w:rsid w:val="00A423AA"/>
    <w:rsid w:val="00A4267D"/>
    <w:rsid w:val="00A45A6A"/>
    <w:rsid w:val="00A47452"/>
    <w:rsid w:val="00A47527"/>
    <w:rsid w:val="00A50F6B"/>
    <w:rsid w:val="00A51EF6"/>
    <w:rsid w:val="00A520AF"/>
    <w:rsid w:val="00A53EC6"/>
    <w:rsid w:val="00A54228"/>
    <w:rsid w:val="00A55C0F"/>
    <w:rsid w:val="00A5715D"/>
    <w:rsid w:val="00A63D92"/>
    <w:rsid w:val="00A65C0D"/>
    <w:rsid w:val="00A7026B"/>
    <w:rsid w:val="00A72B75"/>
    <w:rsid w:val="00A73BF8"/>
    <w:rsid w:val="00A74B5A"/>
    <w:rsid w:val="00A818A2"/>
    <w:rsid w:val="00A8246A"/>
    <w:rsid w:val="00A8379E"/>
    <w:rsid w:val="00A83805"/>
    <w:rsid w:val="00A83D73"/>
    <w:rsid w:val="00A84ADC"/>
    <w:rsid w:val="00A85161"/>
    <w:rsid w:val="00A85C5A"/>
    <w:rsid w:val="00A8713F"/>
    <w:rsid w:val="00A872A6"/>
    <w:rsid w:val="00A90BA1"/>
    <w:rsid w:val="00A93B43"/>
    <w:rsid w:val="00A97778"/>
    <w:rsid w:val="00A97A9A"/>
    <w:rsid w:val="00AA04B1"/>
    <w:rsid w:val="00AA0671"/>
    <w:rsid w:val="00AA1EAB"/>
    <w:rsid w:val="00AA2531"/>
    <w:rsid w:val="00AA3F88"/>
    <w:rsid w:val="00AA4C82"/>
    <w:rsid w:val="00AB052C"/>
    <w:rsid w:val="00AB1E09"/>
    <w:rsid w:val="00AB4B8C"/>
    <w:rsid w:val="00AB5330"/>
    <w:rsid w:val="00AB5436"/>
    <w:rsid w:val="00AB6A63"/>
    <w:rsid w:val="00AB7747"/>
    <w:rsid w:val="00AC14CE"/>
    <w:rsid w:val="00AC21A0"/>
    <w:rsid w:val="00AC2A56"/>
    <w:rsid w:val="00AC613F"/>
    <w:rsid w:val="00AC6CE2"/>
    <w:rsid w:val="00AD055E"/>
    <w:rsid w:val="00AD11E2"/>
    <w:rsid w:val="00AD2D7D"/>
    <w:rsid w:val="00AD2F1F"/>
    <w:rsid w:val="00AD3352"/>
    <w:rsid w:val="00AD3682"/>
    <w:rsid w:val="00AD38E3"/>
    <w:rsid w:val="00AD47A7"/>
    <w:rsid w:val="00AD577E"/>
    <w:rsid w:val="00AD57C4"/>
    <w:rsid w:val="00AD5BA1"/>
    <w:rsid w:val="00AD609D"/>
    <w:rsid w:val="00AD6506"/>
    <w:rsid w:val="00AE60EA"/>
    <w:rsid w:val="00AF0CBF"/>
    <w:rsid w:val="00AF146E"/>
    <w:rsid w:val="00AF202E"/>
    <w:rsid w:val="00AF257F"/>
    <w:rsid w:val="00AF33CF"/>
    <w:rsid w:val="00AF43BE"/>
    <w:rsid w:val="00AF4D50"/>
    <w:rsid w:val="00AF53E8"/>
    <w:rsid w:val="00AF6179"/>
    <w:rsid w:val="00B032EE"/>
    <w:rsid w:val="00B12460"/>
    <w:rsid w:val="00B1295A"/>
    <w:rsid w:val="00B1467E"/>
    <w:rsid w:val="00B15A9F"/>
    <w:rsid w:val="00B171A7"/>
    <w:rsid w:val="00B20454"/>
    <w:rsid w:val="00B209D7"/>
    <w:rsid w:val="00B20A45"/>
    <w:rsid w:val="00B21CE3"/>
    <w:rsid w:val="00B22B43"/>
    <w:rsid w:val="00B22C5C"/>
    <w:rsid w:val="00B249F8"/>
    <w:rsid w:val="00B24F30"/>
    <w:rsid w:val="00B2550D"/>
    <w:rsid w:val="00B30193"/>
    <w:rsid w:val="00B31ABF"/>
    <w:rsid w:val="00B33BE3"/>
    <w:rsid w:val="00B34E94"/>
    <w:rsid w:val="00B4299E"/>
    <w:rsid w:val="00B42AB2"/>
    <w:rsid w:val="00B47092"/>
    <w:rsid w:val="00B510CC"/>
    <w:rsid w:val="00B53B5D"/>
    <w:rsid w:val="00B56802"/>
    <w:rsid w:val="00B57D29"/>
    <w:rsid w:val="00B6055E"/>
    <w:rsid w:val="00B62E3D"/>
    <w:rsid w:val="00B6317D"/>
    <w:rsid w:val="00B63395"/>
    <w:rsid w:val="00B63789"/>
    <w:rsid w:val="00B647D2"/>
    <w:rsid w:val="00B66634"/>
    <w:rsid w:val="00B66A8E"/>
    <w:rsid w:val="00B67288"/>
    <w:rsid w:val="00B674D6"/>
    <w:rsid w:val="00B71ABB"/>
    <w:rsid w:val="00B7723F"/>
    <w:rsid w:val="00B80534"/>
    <w:rsid w:val="00B81820"/>
    <w:rsid w:val="00B83AE1"/>
    <w:rsid w:val="00B8433C"/>
    <w:rsid w:val="00B860CF"/>
    <w:rsid w:val="00B863BA"/>
    <w:rsid w:val="00B87491"/>
    <w:rsid w:val="00B90B5D"/>
    <w:rsid w:val="00B9145C"/>
    <w:rsid w:val="00B92085"/>
    <w:rsid w:val="00B94017"/>
    <w:rsid w:val="00B94DF2"/>
    <w:rsid w:val="00B95BD3"/>
    <w:rsid w:val="00B963C3"/>
    <w:rsid w:val="00B96E21"/>
    <w:rsid w:val="00BA29E9"/>
    <w:rsid w:val="00BA34D6"/>
    <w:rsid w:val="00BA3A76"/>
    <w:rsid w:val="00BA4C38"/>
    <w:rsid w:val="00BA562A"/>
    <w:rsid w:val="00BA7142"/>
    <w:rsid w:val="00BB0D8E"/>
    <w:rsid w:val="00BB237C"/>
    <w:rsid w:val="00BB2B40"/>
    <w:rsid w:val="00BB41A3"/>
    <w:rsid w:val="00BB5433"/>
    <w:rsid w:val="00BB5C9E"/>
    <w:rsid w:val="00BC0C77"/>
    <w:rsid w:val="00BC130E"/>
    <w:rsid w:val="00BC178A"/>
    <w:rsid w:val="00BC280B"/>
    <w:rsid w:val="00BC32DC"/>
    <w:rsid w:val="00BC35B6"/>
    <w:rsid w:val="00BC3609"/>
    <w:rsid w:val="00BC4441"/>
    <w:rsid w:val="00BC66CE"/>
    <w:rsid w:val="00BC7F89"/>
    <w:rsid w:val="00BD1B51"/>
    <w:rsid w:val="00BD4389"/>
    <w:rsid w:val="00BD4596"/>
    <w:rsid w:val="00BD5B5C"/>
    <w:rsid w:val="00BD66A5"/>
    <w:rsid w:val="00BD721F"/>
    <w:rsid w:val="00BE0A89"/>
    <w:rsid w:val="00BE1405"/>
    <w:rsid w:val="00BE1545"/>
    <w:rsid w:val="00BE1B92"/>
    <w:rsid w:val="00BE312D"/>
    <w:rsid w:val="00BE5BAE"/>
    <w:rsid w:val="00BF1C20"/>
    <w:rsid w:val="00BF1F5D"/>
    <w:rsid w:val="00BF655F"/>
    <w:rsid w:val="00BF6A28"/>
    <w:rsid w:val="00C000E4"/>
    <w:rsid w:val="00C00BA6"/>
    <w:rsid w:val="00C025CF"/>
    <w:rsid w:val="00C05E05"/>
    <w:rsid w:val="00C06E86"/>
    <w:rsid w:val="00C10330"/>
    <w:rsid w:val="00C103B3"/>
    <w:rsid w:val="00C10578"/>
    <w:rsid w:val="00C114FF"/>
    <w:rsid w:val="00C11AD1"/>
    <w:rsid w:val="00C135BC"/>
    <w:rsid w:val="00C14167"/>
    <w:rsid w:val="00C150DB"/>
    <w:rsid w:val="00C15C95"/>
    <w:rsid w:val="00C16CE2"/>
    <w:rsid w:val="00C173D7"/>
    <w:rsid w:val="00C17526"/>
    <w:rsid w:val="00C22781"/>
    <w:rsid w:val="00C2596A"/>
    <w:rsid w:val="00C26A9B"/>
    <w:rsid w:val="00C27537"/>
    <w:rsid w:val="00C27B89"/>
    <w:rsid w:val="00C30705"/>
    <w:rsid w:val="00C32830"/>
    <w:rsid w:val="00C328FE"/>
    <w:rsid w:val="00C33507"/>
    <w:rsid w:val="00C35E0D"/>
    <w:rsid w:val="00C35F92"/>
    <w:rsid w:val="00C37AFD"/>
    <w:rsid w:val="00C4120F"/>
    <w:rsid w:val="00C4409D"/>
    <w:rsid w:val="00C44E72"/>
    <w:rsid w:val="00C45A06"/>
    <w:rsid w:val="00C460A2"/>
    <w:rsid w:val="00C462F1"/>
    <w:rsid w:val="00C46E0E"/>
    <w:rsid w:val="00C478BB"/>
    <w:rsid w:val="00C47E5B"/>
    <w:rsid w:val="00C515AB"/>
    <w:rsid w:val="00C534FA"/>
    <w:rsid w:val="00C55E9D"/>
    <w:rsid w:val="00C600C5"/>
    <w:rsid w:val="00C61E4B"/>
    <w:rsid w:val="00C64430"/>
    <w:rsid w:val="00C64BFF"/>
    <w:rsid w:val="00C65C07"/>
    <w:rsid w:val="00C665CC"/>
    <w:rsid w:val="00C67220"/>
    <w:rsid w:val="00C704E9"/>
    <w:rsid w:val="00C73B43"/>
    <w:rsid w:val="00C7490F"/>
    <w:rsid w:val="00C75E92"/>
    <w:rsid w:val="00C75F74"/>
    <w:rsid w:val="00C763C9"/>
    <w:rsid w:val="00C7754E"/>
    <w:rsid w:val="00C77943"/>
    <w:rsid w:val="00C80057"/>
    <w:rsid w:val="00C813A2"/>
    <w:rsid w:val="00C82232"/>
    <w:rsid w:val="00C82913"/>
    <w:rsid w:val="00C83051"/>
    <w:rsid w:val="00C93B14"/>
    <w:rsid w:val="00C94DBE"/>
    <w:rsid w:val="00C94FD9"/>
    <w:rsid w:val="00C96B40"/>
    <w:rsid w:val="00C972B1"/>
    <w:rsid w:val="00CA0621"/>
    <w:rsid w:val="00CA1523"/>
    <w:rsid w:val="00CA295A"/>
    <w:rsid w:val="00CA2CCE"/>
    <w:rsid w:val="00CA43FD"/>
    <w:rsid w:val="00CA54AB"/>
    <w:rsid w:val="00CA7156"/>
    <w:rsid w:val="00CA7EF8"/>
    <w:rsid w:val="00CB1D6F"/>
    <w:rsid w:val="00CB2259"/>
    <w:rsid w:val="00CB297A"/>
    <w:rsid w:val="00CB719A"/>
    <w:rsid w:val="00CB7A04"/>
    <w:rsid w:val="00CB7CF1"/>
    <w:rsid w:val="00CC0A39"/>
    <w:rsid w:val="00CC198A"/>
    <w:rsid w:val="00CC1E57"/>
    <w:rsid w:val="00CC2DE8"/>
    <w:rsid w:val="00CC3D4E"/>
    <w:rsid w:val="00CC489B"/>
    <w:rsid w:val="00CC64D3"/>
    <w:rsid w:val="00CC681E"/>
    <w:rsid w:val="00CC7E81"/>
    <w:rsid w:val="00CD0B9A"/>
    <w:rsid w:val="00CD2BCD"/>
    <w:rsid w:val="00CD3250"/>
    <w:rsid w:val="00CD3A4C"/>
    <w:rsid w:val="00CD3A7D"/>
    <w:rsid w:val="00CD40E3"/>
    <w:rsid w:val="00CD4ADB"/>
    <w:rsid w:val="00CD5A62"/>
    <w:rsid w:val="00CD5B50"/>
    <w:rsid w:val="00CD5E5D"/>
    <w:rsid w:val="00CE0E0D"/>
    <w:rsid w:val="00CE10E9"/>
    <w:rsid w:val="00CE2910"/>
    <w:rsid w:val="00CE3D3F"/>
    <w:rsid w:val="00CE475E"/>
    <w:rsid w:val="00CE49FE"/>
    <w:rsid w:val="00CE5393"/>
    <w:rsid w:val="00CF2272"/>
    <w:rsid w:val="00CF3119"/>
    <w:rsid w:val="00CF36BE"/>
    <w:rsid w:val="00CF3703"/>
    <w:rsid w:val="00CF421F"/>
    <w:rsid w:val="00CF49D8"/>
    <w:rsid w:val="00CF58C0"/>
    <w:rsid w:val="00CF6000"/>
    <w:rsid w:val="00D003F3"/>
    <w:rsid w:val="00D006DC"/>
    <w:rsid w:val="00D01FC3"/>
    <w:rsid w:val="00D0364F"/>
    <w:rsid w:val="00D062B6"/>
    <w:rsid w:val="00D06834"/>
    <w:rsid w:val="00D06F1E"/>
    <w:rsid w:val="00D079E4"/>
    <w:rsid w:val="00D1131D"/>
    <w:rsid w:val="00D15212"/>
    <w:rsid w:val="00D16553"/>
    <w:rsid w:val="00D24048"/>
    <w:rsid w:val="00D27857"/>
    <w:rsid w:val="00D308ED"/>
    <w:rsid w:val="00D30AC0"/>
    <w:rsid w:val="00D34A2F"/>
    <w:rsid w:val="00D34C8F"/>
    <w:rsid w:val="00D363F0"/>
    <w:rsid w:val="00D36D86"/>
    <w:rsid w:val="00D37F6B"/>
    <w:rsid w:val="00D416F3"/>
    <w:rsid w:val="00D428AA"/>
    <w:rsid w:val="00D42C37"/>
    <w:rsid w:val="00D42D0F"/>
    <w:rsid w:val="00D44612"/>
    <w:rsid w:val="00D457A2"/>
    <w:rsid w:val="00D470BE"/>
    <w:rsid w:val="00D475D8"/>
    <w:rsid w:val="00D50A34"/>
    <w:rsid w:val="00D53EFA"/>
    <w:rsid w:val="00D6176A"/>
    <w:rsid w:val="00D62365"/>
    <w:rsid w:val="00D652C9"/>
    <w:rsid w:val="00D660F4"/>
    <w:rsid w:val="00D70CF5"/>
    <w:rsid w:val="00D7163D"/>
    <w:rsid w:val="00D730A3"/>
    <w:rsid w:val="00D732EB"/>
    <w:rsid w:val="00D74EEC"/>
    <w:rsid w:val="00D77B3E"/>
    <w:rsid w:val="00D800C7"/>
    <w:rsid w:val="00D80F33"/>
    <w:rsid w:val="00D82C6E"/>
    <w:rsid w:val="00D83500"/>
    <w:rsid w:val="00D9009C"/>
    <w:rsid w:val="00D92D47"/>
    <w:rsid w:val="00D93EC5"/>
    <w:rsid w:val="00D94A7C"/>
    <w:rsid w:val="00D95896"/>
    <w:rsid w:val="00D977FA"/>
    <w:rsid w:val="00DA05A6"/>
    <w:rsid w:val="00DA183E"/>
    <w:rsid w:val="00DA212F"/>
    <w:rsid w:val="00DA7ACD"/>
    <w:rsid w:val="00DB0679"/>
    <w:rsid w:val="00DB1B7A"/>
    <w:rsid w:val="00DB2443"/>
    <w:rsid w:val="00DB2983"/>
    <w:rsid w:val="00DB3F3C"/>
    <w:rsid w:val="00DB565E"/>
    <w:rsid w:val="00DB5862"/>
    <w:rsid w:val="00DB5EBC"/>
    <w:rsid w:val="00DB64D2"/>
    <w:rsid w:val="00DC04DD"/>
    <w:rsid w:val="00DC1257"/>
    <w:rsid w:val="00DC1280"/>
    <w:rsid w:val="00DC1897"/>
    <w:rsid w:val="00DC1908"/>
    <w:rsid w:val="00DC1E8C"/>
    <w:rsid w:val="00DC3DC0"/>
    <w:rsid w:val="00DC51E3"/>
    <w:rsid w:val="00DC5B2B"/>
    <w:rsid w:val="00DD28FF"/>
    <w:rsid w:val="00DD318D"/>
    <w:rsid w:val="00DD3CF1"/>
    <w:rsid w:val="00DD3E65"/>
    <w:rsid w:val="00DD5B53"/>
    <w:rsid w:val="00DD631C"/>
    <w:rsid w:val="00DD650A"/>
    <w:rsid w:val="00DE2D96"/>
    <w:rsid w:val="00DE43C5"/>
    <w:rsid w:val="00DE57FD"/>
    <w:rsid w:val="00DE5C3B"/>
    <w:rsid w:val="00DF1F8A"/>
    <w:rsid w:val="00DF2647"/>
    <w:rsid w:val="00DF2E12"/>
    <w:rsid w:val="00DF2F52"/>
    <w:rsid w:val="00DF3417"/>
    <w:rsid w:val="00DF3E14"/>
    <w:rsid w:val="00DF514A"/>
    <w:rsid w:val="00DF6690"/>
    <w:rsid w:val="00DF6804"/>
    <w:rsid w:val="00DF7596"/>
    <w:rsid w:val="00DF7F49"/>
    <w:rsid w:val="00E00C88"/>
    <w:rsid w:val="00E013BD"/>
    <w:rsid w:val="00E01D3B"/>
    <w:rsid w:val="00E0358D"/>
    <w:rsid w:val="00E04323"/>
    <w:rsid w:val="00E06FF9"/>
    <w:rsid w:val="00E070A2"/>
    <w:rsid w:val="00E07DFB"/>
    <w:rsid w:val="00E107EE"/>
    <w:rsid w:val="00E12E44"/>
    <w:rsid w:val="00E20446"/>
    <w:rsid w:val="00E20EF4"/>
    <w:rsid w:val="00E21E6F"/>
    <w:rsid w:val="00E21FE1"/>
    <w:rsid w:val="00E23957"/>
    <w:rsid w:val="00E2656A"/>
    <w:rsid w:val="00E27D0E"/>
    <w:rsid w:val="00E323BA"/>
    <w:rsid w:val="00E34B04"/>
    <w:rsid w:val="00E3579A"/>
    <w:rsid w:val="00E35ADE"/>
    <w:rsid w:val="00E3665D"/>
    <w:rsid w:val="00E40A87"/>
    <w:rsid w:val="00E412D0"/>
    <w:rsid w:val="00E42AD0"/>
    <w:rsid w:val="00E42CA6"/>
    <w:rsid w:val="00E43EFB"/>
    <w:rsid w:val="00E445F6"/>
    <w:rsid w:val="00E449CC"/>
    <w:rsid w:val="00E44C5D"/>
    <w:rsid w:val="00E47535"/>
    <w:rsid w:val="00E50E98"/>
    <w:rsid w:val="00E56322"/>
    <w:rsid w:val="00E5676B"/>
    <w:rsid w:val="00E56C9E"/>
    <w:rsid w:val="00E57D1B"/>
    <w:rsid w:val="00E608AF"/>
    <w:rsid w:val="00E60982"/>
    <w:rsid w:val="00E62382"/>
    <w:rsid w:val="00E62C62"/>
    <w:rsid w:val="00E64958"/>
    <w:rsid w:val="00E654C1"/>
    <w:rsid w:val="00E6585F"/>
    <w:rsid w:val="00E65BE0"/>
    <w:rsid w:val="00E65D97"/>
    <w:rsid w:val="00E66B0B"/>
    <w:rsid w:val="00E66E0D"/>
    <w:rsid w:val="00E674DB"/>
    <w:rsid w:val="00E72A5A"/>
    <w:rsid w:val="00E73354"/>
    <w:rsid w:val="00E771C9"/>
    <w:rsid w:val="00E8224F"/>
    <w:rsid w:val="00E82665"/>
    <w:rsid w:val="00E9242D"/>
    <w:rsid w:val="00E93421"/>
    <w:rsid w:val="00E96194"/>
    <w:rsid w:val="00E961AB"/>
    <w:rsid w:val="00EA1247"/>
    <w:rsid w:val="00EA1A52"/>
    <w:rsid w:val="00EA2BEC"/>
    <w:rsid w:val="00EB38F4"/>
    <w:rsid w:val="00EB43D5"/>
    <w:rsid w:val="00EB5255"/>
    <w:rsid w:val="00EB5C47"/>
    <w:rsid w:val="00EB60D4"/>
    <w:rsid w:val="00EC064F"/>
    <w:rsid w:val="00EC19FF"/>
    <w:rsid w:val="00EC365D"/>
    <w:rsid w:val="00EC4FB7"/>
    <w:rsid w:val="00EC59FF"/>
    <w:rsid w:val="00EC660D"/>
    <w:rsid w:val="00EC7C62"/>
    <w:rsid w:val="00ED0639"/>
    <w:rsid w:val="00ED1981"/>
    <w:rsid w:val="00ED38FB"/>
    <w:rsid w:val="00ED4C06"/>
    <w:rsid w:val="00ED5452"/>
    <w:rsid w:val="00ED5B9A"/>
    <w:rsid w:val="00ED7F6C"/>
    <w:rsid w:val="00EE12B4"/>
    <w:rsid w:val="00EE4148"/>
    <w:rsid w:val="00EE4AA6"/>
    <w:rsid w:val="00EE64AA"/>
    <w:rsid w:val="00EF063A"/>
    <w:rsid w:val="00EF3045"/>
    <w:rsid w:val="00EF4755"/>
    <w:rsid w:val="00EF5336"/>
    <w:rsid w:val="00EF7135"/>
    <w:rsid w:val="00F027DB"/>
    <w:rsid w:val="00F03EE5"/>
    <w:rsid w:val="00F04414"/>
    <w:rsid w:val="00F05061"/>
    <w:rsid w:val="00F0593E"/>
    <w:rsid w:val="00F106F7"/>
    <w:rsid w:val="00F11D4A"/>
    <w:rsid w:val="00F12D81"/>
    <w:rsid w:val="00F13797"/>
    <w:rsid w:val="00F14A7A"/>
    <w:rsid w:val="00F1734E"/>
    <w:rsid w:val="00F17B9B"/>
    <w:rsid w:val="00F22985"/>
    <w:rsid w:val="00F243C1"/>
    <w:rsid w:val="00F27FFC"/>
    <w:rsid w:val="00F30158"/>
    <w:rsid w:val="00F3208A"/>
    <w:rsid w:val="00F3245B"/>
    <w:rsid w:val="00F3383E"/>
    <w:rsid w:val="00F345E2"/>
    <w:rsid w:val="00F36C5C"/>
    <w:rsid w:val="00F37C07"/>
    <w:rsid w:val="00F44DA2"/>
    <w:rsid w:val="00F465A7"/>
    <w:rsid w:val="00F50B7C"/>
    <w:rsid w:val="00F51962"/>
    <w:rsid w:val="00F51DBB"/>
    <w:rsid w:val="00F52742"/>
    <w:rsid w:val="00F53B7D"/>
    <w:rsid w:val="00F550E6"/>
    <w:rsid w:val="00F5528B"/>
    <w:rsid w:val="00F5536D"/>
    <w:rsid w:val="00F567ED"/>
    <w:rsid w:val="00F63A15"/>
    <w:rsid w:val="00F65043"/>
    <w:rsid w:val="00F67BD2"/>
    <w:rsid w:val="00F7036A"/>
    <w:rsid w:val="00F716DF"/>
    <w:rsid w:val="00F72F37"/>
    <w:rsid w:val="00F74345"/>
    <w:rsid w:val="00F74F15"/>
    <w:rsid w:val="00F757E3"/>
    <w:rsid w:val="00F778B5"/>
    <w:rsid w:val="00F80A0A"/>
    <w:rsid w:val="00F82B19"/>
    <w:rsid w:val="00F82DBB"/>
    <w:rsid w:val="00F8356A"/>
    <w:rsid w:val="00F859AD"/>
    <w:rsid w:val="00F909B4"/>
    <w:rsid w:val="00F9158B"/>
    <w:rsid w:val="00F9170A"/>
    <w:rsid w:val="00F9212D"/>
    <w:rsid w:val="00F94C42"/>
    <w:rsid w:val="00F95369"/>
    <w:rsid w:val="00F963AD"/>
    <w:rsid w:val="00F965DA"/>
    <w:rsid w:val="00F97FE3"/>
    <w:rsid w:val="00FA096E"/>
    <w:rsid w:val="00FA137D"/>
    <w:rsid w:val="00FA406A"/>
    <w:rsid w:val="00FA55C8"/>
    <w:rsid w:val="00FA7B90"/>
    <w:rsid w:val="00FA7CA0"/>
    <w:rsid w:val="00FB1C87"/>
    <w:rsid w:val="00FB503A"/>
    <w:rsid w:val="00FB516C"/>
    <w:rsid w:val="00FB5371"/>
    <w:rsid w:val="00FB7C80"/>
    <w:rsid w:val="00FC3208"/>
    <w:rsid w:val="00FC34D1"/>
    <w:rsid w:val="00FC3E98"/>
    <w:rsid w:val="00FC5272"/>
    <w:rsid w:val="00FC627C"/>
    <w:rsid w:val="00FD0236"/>
    <w:rsid w:val="00FD08DF"/>
    <w:rsid w:val="00FD11E8"/>
    <w:rsid w:val="00FD18F4"/>
    <w:rsid w:val="00FD2A95"/>
    <w:rsid w:val="00FD54DB"/>
    <w:rsid w:val="00FD5B1F"/>
    <w:rsid w:val="00FD5EE4"/>
    <w:rsid w:val="00FD619F"/>
    <w:rsid w:val="00FE3875"/>
    <w:rsid w:val="00FE3A9A"/>
    <w:rsid w:val="00FF0331"/>
    <w:rsid w:val="00FF46F1"/>
    <w:rsid w:val="00FF4EB7"/>
    <w:rsid w:val="00FF6318"/>
    <w:rsid w:val="00FF6CF6"/>
    <w:rsid w:val="01032B4D"/>
    <w:rsid w:val="01290F7E"/>
    <w:rsid w:val="015D1E09"/>
    <w:rsid w:val="02697903"/>
    <w:rsid w:val="02731CEE"/>
    <w:rsid w:val="02A209F3"/>
    <w:rsid w:val="02DD1B51"/>
    <w:rsid w:val="02F96569"/>
    <w:rsid w:val="032D6289"/>
    <w:rsid w:val="038109DD"/>
    <w:rsid w:val="03EA7B21"/>
    <w:rsid w:val="059F4B3D"/>
    <w:rsid w:val="05F83EAE"/>
    <w:rsid w:val="06265555"/>
    <w:rsid w:val="063E7D85"/>
    <w:rsid w:val="06540C9E"/>
    <w:rsid w:val="07293586"/>
    <w:rsid w:val="07295285"/>
    <w:rsid w:val="07395FE7"/>
    <w:rsid w:val="0753156D"/>
    <w:rsid w:val="07636392"/>
    <w:rsid w:val="07770C56"/>
    <w:rsid w:val="087B40DF"/>
    <w:rsid w:val="091437E0"/>
    <w:rsid w:val="092217DD"/>
    <w:rsid w:val="09300252"/>
    <w:rsid w:val="093A7294"/>
    <w:rsid w:val="098036C1"/>
    <w:rsid w:val="09956BE1"/>
    <w:rsid w:val="09C7642C"/>
    <w:rsid w:val="09E92FD5"/>
    <w:rsid w:val="0A263993"/>
    <w:rsid w:val="0A2D3AC2"/>
    <w:rsid w:val="0AA755DF"/>
    <w:rsid w:val="0B086725"/>
    <w:rsid w:val="0B120D44"/>
    <w:rsid w:val="0B283B02"/>
    <w:rsid w:val="0B9B77FA"/>
    <w:rsid w:val="0BD27BF6"/>
    <w:rsid w:val="0BDE296A"/>
    <w:rsid w:val="0BFE3365"/>
    <w:rsid w:val="0C3B3C7D"/>
    <w:rsid w:val="0CAB2EAE"/>
    <w:rsid w:val="0CC75974"/>
    <w:rsid w:val="0CD770B6"/>
    <w:rsid w:val="0CFE496F"/>
    <w:rsid w:val="0D2F0203"/>
    <w:rsid w:val="0D3C216F"/>
    <w:rsid w:val="0D621C7D"/>
    <w:rsid w:val="0D63222F"/>
    <w:rsid w:val="0E02558C"/>
    <w:rsid w:val="0E3E731D"/>
    <w:rsid w:val="0E73034D"/>
    <w:rsid w:val="0E854136"/>
    <w:rsid w:val="0EE00D29"/>
    <w:rsid w:val="0F13775A"/>
    <w:rsid w:val="0F5F45FE"/>
    <w:rsid w:val="0F6933E8"/>
    <w:rsid w:val="0F780CB9"/>
    <w:rsid w:val="0F9A112B"/>
    <w:rsid w:val="100D1503"/>
    <w:rsid w:val="106D2F64"/>
    <w:rsid w:val="10B63710"/>
    <w:rsid w:val="10F10820"/>
    <w:rsid w:val="111C2F7A"/>
    <w:rsid w:val="11665CA1"/>
    <w:rsid w:val="119E0780"/>
    <w:rsid w:val="11A007F3"/>
    <w:rsid w:val="11BD45BD"/>
    <w:rsid w:val="12D4768A"/>
    <w:rsid w:val="12E4336B"/>
    <w:rsid w:val="138D0DCE"/>
    <w:rsid w:val="13951726"/>
    <w:rsid w:val="13DC673E"/>
    <w:rsid w:val="14396509"/>
    <w:rsid w:val="1440306C"/>
    <w:rsid w:val="14637E7B"/>
    <w:rsid w:val="14DD2C3C"/>
    <w:rsid w:val="1554270E"/>
    <w:rsid w:val="15CD5209"/>
    <w:rsid w:val="16087E1D"/>
    <w:rsid w:val="1651140F"/>
    <w:rsid w:val="1695469E"/>
    <w:rsid w:val="17701D14"/>
    <w:rsid w:val="17735226"/>
    <w:rsid w:val="184A4865"/>
    <w:rsid w:val="189F624C"/>
    <w:rsid w:val="18B848C3"/>
    <w:rsid w:val="18C8519D"/>
    <w:rsid w:val="19052A19"/>
    <w:rsid w:val="19AB10F3"/>
    <w:rsid w:val="19D32B51"/>
    <w:rsid w:val="1A1C66C0"/>
    <w:rsid w:val="1A42393B"/>
    <w:rsid w:val="1AAD45DE"/>
    <w:rsid w:val="1ABF7A84"/>
    <w:rsid w:val="1AEB783A"/>
    <w:rsid w:val="1B046F80"/>
    <w:rsid w:val="1B3267B5"/>
    <w:rsid w:val="1B40161D"/>
    <w:rsid w:val="1B441859"/>
    <w:rsid w:val="1B6606B1"/>
    <w:rsid w:val="1C3C2786"/>
    <w:rsid w:val="1C43256F"/>
    <w:rsid w:val="1C5E7925"/>
    <w:rsid w:val="1CFD070F"/>
    <w:rsid w:val="1D0A7989"/>
    <w:rsid w:val="1D5F6196"/>
    <w:rsid w:val="1D6132A5"/>
    <w:rsid w:val="1D8E56D5"/>
    <w:rsid w:val="1DB74A96"/>
    <w:rsid w:val="1E000A36"/>
    <w:rsid w:val="1E4E1770"/>
    <w:rsid w:val="1E7A43DA"/>
    <w:rsid w:val="1E9B4421"/>
    <w:rsid w:val="1FBB33C8"/>
    <w:rsid w:val="1FE7539E"/>
    <w:rsid w:val="1FF53350"/>
    <w:rsid w:val="20671BE0"/>
    <w:rsid w:val="20963CB8"/>
    <w:rsid w:val="20A81A1B"/>
    <w:rsid w:val="20B07FB6"/>
    <w:rsid w:val="20B646FB"/>
    <w:rsid w:val="213B74B1"/>
    <w:rsid w:val="215A2310"/>
    <w:rsid w:val="21DE318A"/>
    <w:rsid w:val="21EF5B80"/>
    <w:rsid w:val="22576990"/>
    <w:rsid w:val="22CC1448"/>
    <w:rsid w:val="22F47480"/>
    <w:rsid w:val="23995329"/>
    <w:rsid w:val="23DE1C48"/>
    <w:rsid w:val="23EB7B43"/>
    <w:rsid w:val="240210CD"/>
    <w:rsid w:val="24BF09F7"/>
    <w:rsid w:val="252D53FE"/>
    <w:rsid w:val="25337C60"/>
    <w:rsid w:val="25427359"/>
    <w:rsid w:val="258A09A0"/>
    <w:rsid w:val="25EC2D81"/>
    <w:rsid w:val="26480F7B"/>
    <w:rsid w:val="26D03FF4"/>
    <w:rsid w:val="275670C2"/>
    <w:rsid w:val="27630958"/>
    <w:rsid w:val="277057A2"/>
    <w:rsid w:val="27B75186"/>
    <w:rsid w:val="287B7721"/>
    <w:rsid w:val="288A614A"/>
    <w:rsid w:val="28F41F80"/>
    <w:rsid w:val="29206EB8"/>
    <w:rsid w:val="29595666"/>
    <w:rsid w:val="29874881"/>
    <w:rsid w:val="29E0105F"/>
    <w:rsid w:val="29E325E0"/>
    <w:rsid w:val="2A452503"/>
    <w:rsid w:val="2A453F10"/>
    <w:rsid w:val="2AA6138B"/>
    <w:rsid w:val="2BA936A8"/>
    <w:rsid w:val="2BCD6725"/>
    <w:rsid w:val="2BE801C6"/>
    <w:rsid w:val="2C30755C"/>
    <w:rsid w:val="2C315A5A"/>
    <w:rsid w:val="2C4B1C25"/>
    <w:rsid w:val="2C4F1150"/>
    <w:rsid w:val="2CC31B0E"/>
    <w:rsid w:val="2CCB6C14"/>
    <w:rsid w:val="2D3E1194"/>
    <w:rsid w:val="2D3F15C6"/>
    <w:rsid w:val="2D9E56F5"/>
    <w:rsid w:val="2DC12FCB"/>
    <w:rsid w:val="2E667F96"/>
    <w:rsid w:val="2E8226AB"/>
    <w:rsid w:val="2EB45457"/>
    <w:rsid w:val="2F060472"/>
    <w:rsid w:val="2FB23EA4"/>
    <w:rsid w:val="2FD065E6"/>
    <w:rsid w:val="2FD96870"/>
    <w:rsid w:val="2FEE0075"/>
    <w:rsid w:val="3019583F"/>
    <w:rsid w:val="30580BC9"/>
    <w:rsid w:val="30724747"/>
    <w:rsid w:val="30E30DE8"/>
    <w:rsid w:val="311E2ED7"/>
    <w:rsid w:val="315619EE"/>
    <w:rsid w:val="315C449C"/>
    <w:rsid w:val="31B82709"/>
    <w:rsid w:val="31D05482"/>
    <w:rsid w:val="31D64A87"/>
    <w:rsid w:val="3226783C"/>
    <w:rsid w:val="32400B34"/>
    <w:rsid w:val="329E6876"/>
    <w:rsid w:val="333015F2"/>
    <w:rsid w:val="334B6320"/>
    <w:rsid w:val="335E5C9C"/>
    <w:rsid w:val="33B67E29"/>
    <w:rsid w:val="33CC0AE6"/>
    <w:rsid w:val="33D934D4"/>
    <w:rsid w:val="33FE2F6A"/>
    <w:rsid w:val="340E07E5"/>
    <w:rsid w:val="34235BF7"/>
    <w:rsid w:val="35585FE3"/>
    <w:rsid w:val="358C5FA8"/>
    <w:rsid w:val="35C15DF1"/>
    <w:rsid w:val="36074A7F"/>
    <w:rsid w:val="36923549"/>
    <w:rsid w:val="36B75FBF"/>
    <w:rsid w:val="36BD0C45"/>
    <w:rsid w:val="36D82E7C"/>
    <w:rsid w:val="37120B6D"/>
    <w:rsid w:val="37E00298"/>
    <w:rsid w:val="38B302F9"/>
    <w:rsid w:val="38F12CD3"/>
    <w:rsid w:val="38F94775"/>
    <w:rsid w:val="392971ED"/>
    <w:rsid w:val="39325651"/>
    <w:rsid w:val="39CA4639"/>
    <w:rsid w:val="39DD7469"/>
    <w:rsid w:val="3A6C357A"/>
    <w:rsid w:val="3A872856"/>
    <w:rsid w:val="3AC0768C"/>
    <w:rsid w:val="3B107483"/>
    <w:rsid w:val="3B3763D1"/>
    <w:rsid w:val="3C2F6E1E"/>
    <w:rsid w:val="3C2F74F5"/>
    <w:rsid w:val="3C4F64BA"/>
    <w:rsid w:val="3CDA245A"/>
    <w:rsid w:val="3D1E06B7"/>
    <w:rsid w:val="3DC112E7"/>
    <w:rsid w:val="3E990F6D"/>
    <w:rsid w:val="3ECA5494"/>
    <w:rsid w:val="3EDA0523"/>
    <w:rsid w:val="3F025ACC"/>
    <w:rsid w:val="3F2056F0"/>
    <w:rsid w:val="40117CA6"/>
    <w:rsid w:val="40362117"/>
    <w:rsid w:val="407A6407"/>
    <w:rsid w:val="411B561D"/>
    <w:rsid w:val="41430F05"/>
    <w:rsid w:val="416C0117"/>
    <w:rsid w:val="41F35F10"/>
    <w:rsid w:val="4200449D"/>
    <w:rsid w:val="423A3BCC"/>
    <w:rsid w:val="424E57D2"/>
    <w:rsid w:val="4268268D"/>
    <w:rsid w:val="428E56EE"/>
    <w:rsid w:val="42B26C49"/>
    <w:rsid w:val="430B5878"/>
    <w:rsid w:val="433A6FE6"/>
    <w:rsid w:val="43480868"/>
    <w:rsid w:val="4350713C"/>
    <w:rsid w:val="436653E0"/>
    <w:rsid w:val="436D0CF6"/>
    <w:rsid w:val="43C4431A"/>
    <w:rsid w:val="44B5754D"/>
    <w:rsid w:val="44B951CC"/>
    <w:rsid w:val="44CD14E0"/>
    <w:rsid w:val="44F20B0B"/>
    <w:rsid w:val="452E5F4C"/>
    <w:rsid w:val="453201A3"/>
    <w:rsid w:val="45612018"/>
    <w:rsid w:val="458946E9"/>
    <w:rsid w:val="45A47C0E"/>
    <w:rsid w:val="46577FD6"/>
    <w:rsid w:val="468C7917"/>
    <w:rsid w:val="46A13F3E"/>
    <w:rsid w:val="46D955A7"/>
    <w:rsid w:val="47133957"/>
    <w:rsid w:val="47903263"/>
    <w:rsid w:val="47A07E0C"/>
    <w:rsid w:val="484839EE"/>
    <w:rsid w:val="48504E50"/>
    <w:rsid w:val="4870272E"/>
    <w:rsid w:val="48B94C45"/>
    <w:rsid w:val="49DC7715"/>
    <w:rsid w:val="4A023139"/>
    <w:rsid w:val="4A2319E6"/>
    <w:rsid w:val="4A7B576F"/>
    <w:rsid w:val="4A8F64C4"/>
    <w:rsid w:val="4AC9346D"/>
    <w:rsid w:val="4AD15122"/>
    <w:rsid w:val="4AF561A9"/>
    <w:rsid w:val="4BF22E0A"/>
    <w:rsid w:val="4BFD41B8"/>
    <w:rsid w:val="4C2465FE"/>
    <w:rsid w:val="4C357F36"/>
    <w:rsid w:val="4C4A0649"/>
    <w:rsid w:val="4C7E5ECA"/>
    <w:rsid w:val="4C876AA5"/>
    <w:rsid w:val="4CAA27AA"/>
    <w:rsid w:val="4D0E00FB"/>
    <w:rsid w:val="4D176606"/>
    <w:rsid w:val="4DEC4FB0"/>
    <w:rsid w:val="4E075D8A"/>
    <w:rsid w:val="4E0A78E9"/>
    <w:rsid w:val="4E3125AE"/>
    <w:rsid w:val="4E4034E1"/>
    <w:rsid w:val="4EC00FAD"/>
    <w:rsid w:val="4F812D57"/>
    <w:rsid w:val="4F9843DC"/>
    <w:rsid w:val="4FC17015"/>
    <w:rsid w:val="4FC60842"/>
    <w:rsid w:val="4FC62A8C"/>
    <w:rsid w:val="4FE20F0D"/>
    <w:rsid w:val="4FE51552"/>
    <w:rsid w:val="4FFE076C"/>
    <w:rsid w:val="50504C4B"/>
    <w:rsid w:val="509C6E7C"/>
    <w:rsid w:val="51495AC2"/>
    <w:rsid w:val="5162104E"/>
    <w:rsid w:val="51AE1944"/>
    <w:rsid w:val="51FC16EC"/>
    <w:rsid w:val="53803962"/>
    <w:rsid w:val="53A039CC"/>
    <w:rsid w:val="53A1505A"/>
    <w:rsid w:val="54063E08"/>
    <w:rsid w:val="543437E8"/>
    <w:rsid w:val="54526706"/>
    <w:rsid w:val="549A24E3"/>
    <w:rsid w:val="54CD478D"/>
    <w:rsid w:val="54F73313"/>
    <w:rsid w:val="54F80955"/>
    <w:rsid w:val="555170A7"/>
    <w:rsid w:val="55610ADD"/>
    <w:rsid w:val="5583158B"/>
    <w:rsid w:val="55844F93"/>
    <w:rsid w:val="5587536D"/>
    <w:rsid w:val="55955203"/>
    <w:rsid w:val="559B174B"/>
    <w:rsid w:val="55CE0CF4"/>
    <w:rsid w:val="55FD1330"/>
    <w:rsid w:val="56B22A9C"/>
    <w:rsid w:val="56D84C1E"/>
    <w:rsid w:val="5726245E"/>
    <w:rsid w:val="573A037B"/>
    <w:rsid w:val="577E6467"/>
    <w:rsid w:val="57A84215"/>
    <w:rsid w:val="57B72A76"/>
    <w:rsid w:val="57C3426C"/>
    <w:rsid w:val="57CE1F93"/>
    <w:rsid w:val="57E97A3B"/>
    <w:rsid w:val="586E207E"/>
    <w:rsid w:val="588743D1"/>
    <w:rsid w:val="5887701A"/>
    <w:rsid w:val="59C0439F"/>
    <w:rsid w:val="59C31CEE"/>
    <w:rsid w:val="5A706A23"/>
    <w:rsid w:val="5A8D6278"/>
    <w:rsid w:val="5ABE2233"/>
    <w:rsid w:val="5AEA0704"/>
    <w:rsid w:val="5BDF5D95"/>
    <w:rsid w:val="5BE0793F"/>
    <w:rsid w:val="5BFE666F"/>
    <w:rsid w:val="5BFE7528"/>
    <w:rsid w:val="5BFF2728"/>
    <w:rsid w:val="5C1E20A0"/>
    <w:rsid w:val="5D3F2709"/>
    <w:rsid w:val="5D41359E"/>
    <w:rsid w:val="5D4A687A"/>
    <w:rsid w:val="5D627EE0"/>
    <w:rsid w:val="5D6E241A"/>
    <w:rsid w:val="5D6F27F5"/>
    <w:rsid w:val="5DA56542"/>
    <w:rsid w:val="5DB46785"/>
    <w:rsid w:val="5DD253A2"/>
    <w:rsid w:val="5E2467F1"/>
    <w:rsid w:val="5E6D55A2"/>
    <w:rsid w:val="5F0313D1"/>
    <w:rsid w:val="5F1A2B43"/>
    <w:rsid w:val="5F9618D8"/>
    <w:rsid w:val="5FB837BB"/>
    <w:rsid w:val="60CC405A"/>
    <w:rsid w:val="60DC5176"/>
    <w:rsid w:val="60DD2B4C"/>
    <w:rsid w:val="61527B90"/>
    <w:rsid w:val="61B152BC"/>
    <w:rsid w:val="61D26EDC"/>
    <w:rsid w:val="61E215D8"/>
    <w:rsid w:val="62142A76"/>
    <w:rsid w:val="621B3775"/>
    <w:rsid w:val="62364782"/>
    <w:rsid w:val="63172044"/>
    <w:rsid w:val="63770981"/>
    <w:rsid w:val="6394356A"/>
    <w:rsid w:val="639872AE"/>
    <w:rsid w:val="63C61B2C"/>
    <w:rsid w:val="63D40BE9"/>
    <w:rsid w:val="63DA603B"/>
    <w:rsid w:val="640900E7"/>
    <w:rsid w:val="64102431"/>
    <w:rsid w:val="642B6C85"/>
    <w:rsid w:val="647E7DAB"/>
    <w:rsid w:val="64A5243A"/>
    <w:rsid w:val="64F531DE"/>
    <w:rsid w:val="65373578"/>
    <w:rsid w:val="65401204"/>
    <w:rsid w:val="65A54648"/>
    <w:rsid w:val="662B7800"/>
    <w:rsid w:val="671E1113"/>
    <w:rsid w:val="671F124A"/>
    <w:rsid w:val="677A33C6"/>
    <w:rsid w:val="67EB5C86"/>
    <w:rsid w:val="681F6961"/>
    <w:rsid w:val="68610A2F"/>
    <w:rsid w:val="68805514"/>
    <w:rsid w:val="69316E2F"/>
    <w:rsid w:val="694E2071"/>
    <w:rsid w:val="69766163"/>
    <w:rsid w:val="697A3B33"/>
    <w:rsid w:val="69D44760"/>
    <w:rsid w:val="69F267A5"/>
    <w:rsid w:val="6A520EC7"/>
    <w:rsid w:val="6AF87E20"/>
    <w:rsid w:val="6B1B6095"/>
    <w:rsid w:val="6B322639"/>
    <w:rsid w:val="6B592FDA"/>
    <w:rsid w:val="6C4E07D0"/>
    <w:rsid w:val="6C636C38"/>
    <w:rsid w:val="6C917BEE"/>
    <w:rsid w:val="6DAB4417"/>
    <w:rsid w:val="6DB34098"/>
    <w:rsid w:val="6DB545B6"/>
    <w:rsid w:val="6DE02FB4"/>
    <w:rsid w:val="6E514CED"/>
    <w:rsid w:val="6E8526C3"/>
    <w:rsid w:val="6E8A0A4E"/>
    <w:rsid w:val="6EB563D5"/>
    <w:rsid w:val="6ED92677"/>
    <w:rsid w:val="6F225983"/>
    <w:rsid w:val="6F2442B0"/>
    <w:rsid w:val="6F963F3C"/>
    <w:rsid w:val="6FFC5590"/>
    <w:rsid w:val="6FFE2DDB"/>
    <w:rsid w:val="70231520"/>
    <w:rsid w:val="706D1DD0"/>
    <w:rsid w:val="70856B87"/>
    <w:rsid w:val="70D527EE"/>
    <w:rsid w:val="715B5300"/>
    <w:rsid w:val="717F4365"/>
    <w:rsid w:val="71D27F8A"/>
    <w:rsid w:val="72553024"/>
    <w:rsid w:val="73122968"/>
    <w:rsid w:val="731F5D5E"/>
    <w:rsid w:val="73C51AD5"/>
    <w:rsid w:val="741E793C"/>
    <w:rsid w:val="745E3944"/>
    <w:rsid w:val="74616118"/>
    <w:rsid w:val="746F536B"/>
    <w:rsid w:val="74A41ED6"/>
    <w:rsid w:val="751F6B57"/>
    <w:rsid w:val="7635099D"/>
    <w:rsid w:val="7659566B"/>
    <w:rsid w:val="771E5778"/>
    <w:rsid w:val="77762421"/>
    <w:rsid w:val="77B56B1F"/>
    <w:rsid w:val="780F09F4"/>
    <w:rsid w:val="783F3F9D"/>
    <w:rsid w:val="784F194A"/>
    <w:rsid w:val="78A90480"/>
    <w:rsid w:val="78AC64BC"/>
    <w:rsid w:val="7A364017"/>
    <w:rsid w:val="7A8265E1"/>
    <w:rsid w:val="7AD00883"/>
    <w:rsid w:val="7B686D42"/>
    <w:rsid w:val="7B841746"/>
    <w:rsid w:val="7C6C5AC7"/>
    <w:rsid w:val="7CC6544B"/>
    <w:rsid w:val="7D0058C7"/>
    <w:rsid w:val="7D0239FF"/>
    <w:rsid w:val="7D5D253D"/>
    <w:rsid w:val="7D5E40CD"/>
    <w:rsid w:val="7D841FCB"/>
    <w:rsid w:val="7DA24857"/>
    <w:rsid w:val="7DCD56F2"/>
    <w:rsid w:val="7E9B01F3"/>
    <w:rsid w:val="7EA4299D"/>
    <w:rsid w:val="7F001CE7"/>
    <w:rsid w:val="7F216B54"/>
    <w:rsid w:val="7F8C79DF"/>
    <w:rsid w:val="7FE47E50"/>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qFormat="1" w:unhideWhenUsed="0" w:uiPriority="0" w:name="envelope return" w:locked="1"/>
    <w:lsdException w:unhideWhenUsed="0" w:uiPriority="0" w:semiHidden="0" w:name="footnote reference" w:locked="1"/>
    <w:lsdException w:qFormat="1"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qFormat="1"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qFormat="1"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qFormat="1" w:uiPriority="99"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22" w:semiHidden="0" w:name="Strong" w:locked="1"/>
    <w:lsdException w:qFormat="1" w:unhideWhenUsed="0" w:uiPriority="20" w:semiHidden="0" w:name="Emphasis" w:locked="1"/>
    <w:lsdException w:qFormat="1"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unhideWhenUsed="0" w:uiPriority="0" w:semiHidden="0" w:name="HTML Preformatted" w:locked="1"/>
    <w:lsdException w:qFormat="1" w:unhideWhenUsed="0" w:uiPriority="0" w:semiHidden="0" w:name="HTML Sample" w:locked="1"/>
    <w:lsdException w:unhideWhenUsed="0" w:uiPriority="0" w:semiHidden="0" w:name="HTML Typewriter" w:locked="1"/>
    <w:lsdException w:qFormat="1" w:unhideWhenUsed="0" w:uiPriority="0" w:semiHidden="0" w:name="HTML Variable" w:locked="1"/>
    <w:lsdException w:qFormat="1" w:uiPriority="99"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qFormat="1"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72"/>
    <w:autoRedefine/>
    <w:qFormat/>
    <w:locked/>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7">
    <w:name w:val="heading 2"/>
    <w:basedOn w:val="1"/>
    <w:next w:val="8"/>
    <w:link w:val="73"/>
    <w:autoRedefine/>
    <w:qFormat/>
    <w:locked/>
    <w:uiPriority w:val="0"/>
    <w:pPr>
      <w:keepNext/>
      <w:spacing w:afterLines="50" w:line="360" w:lineRule="auto"/>
      <w:jc w:val="center"/>
      <w:outlineLvl w:val="1"/>
    </w:pPr>
    <w:rPr>
      <w:rFonts w:ascii="宋体"/>
      <w:sz w:val="30"/>
    </w:rPr>
  </w:style>
  <w:style w:type="paragraph" w:styleId="10">
    <w:name w:val="heading 3"/>
    <w:basedOn w:val="7"/>
    <w:next w:val="1"/>
    <w:link w:val="74"/>
    <w:autoRedefine/>
    <w:qFormat/>
    <w:locked/>
    <w:uiPriority w:val="0"/>
    <w:pPr>
      <w:keepNext/>
      <w:keepLines/>
      <w:spacing w:before="260" w:after="260" w:line="416" w:lineRule="auto"/>
      <w:outlineLvl w:val="2"/>
    </w:pPr>
    <w:rPr>
      <w:b/>
      <w:bCs/>
      <w:sz w:val="32"/>
      <w:szCs w:val="32"/>
    </w:rPr>
  </w:style>
  <w:style w:type="paragraph" w:styleId="11">
    <w:name w:val="heading 4"/>
    <w:basedOn w:val="1"/>
    <w:next w:val="12"/>
    <w:link w:val="75"/>
    <w:autoRedefine/>
    <w:qFormat/>
    <w:locked/>
    <w:uiPriority w:val="0"/>
    <w:pPr>
      <w:keepNext/>
      <w:numPr>
        <w:ilvl w:val="0"/>
        <w:numId w:val="1"/>
      </w:numPr>
      <w:tabs>
        <w:tab w:val="clear" w:pos="1296"/>
      </w:tabs>
      <w:spacing w:line="350" w:lineRule="auto"/>
      <w:ind w:left="0" w:firstLine="720"/>
      <w:outlineLvl w:val="3"/>
    </w:pPr>
    <w:rPr>
      <w:rFonts w:ascii="宋体"/>
      <w:sz w:val="28"/>
      <w:szCs w:val="20"/>
    </w:rPr>
  </w:style>
  <w:style w:type="paragraph" w:styleId="13">
    <w:name w:val="heading 5"/>
    <w:basedOn w:val="1"/>
    <w:next w:val="1"/>
    <w:link w:val="77"/>
    <w:autoRedefine/>
    <w:qFormat/>
    <w:locked/>
    <w:uiPriority w:val="0"/>
    <w:pPr>
      <w:keepNext/>
      <w:keepLines/>
      <w:spacing w:before="280" w:after="290" w:line="376" w:lineRule="auto"/>
      <w:outlineLvl w:val="4"/>
    </w:pPr>
    <w:rPr>
      <w:b/>
      <w:bCs/>
      <w:sz w:val="28"/>
      <w:szCs w:val="28"/>
    </w:rPr>
  </w:style>
  <w:style w:type="paragraph" w:styleId="14">
    <w:name w:val="heading 6"/>
    <w:basedOn w:val="1"/>
    <w:next w:val="1"/>
    <w:link w:val="78"/>
    <w:autoRedefine/>
    <w:qFormat/>
    <w:locked/>
    <w:uiPriority w:val="0"/>
    <w:pPr>
      <w:keepNext/>
      <w:numPr>
        <w:ilvl w:val="0"/>
        <w:numId w:val="2"/>
      </w:numPr>
      <w:adjustRightInd w:val="0"/>
      <w:snapToGrid w:val="0"/>
      <w:spacing w:line="348" w:lineRule="auto"/>
      <w:outlineLvl w:val="5"/>
    </w:pPr>
    <w:rPr>
      <w:sz w:val="28"/>
      <w:szCs w:val="20"/>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customStyle="1" w:styleId="3">
    <w:name w:val="xl48"/>
    <w:basedOn w:val="1"/>
    <w:next w:val="4"/>
    <w:autoRedefine/>
    <w:qFormat/>
    <w:uiPriority w:val="0"/>
    <w:pPr>
      <w:widowControl/>
      <w:pBdr>
        <w:bottom w:val="single" w:color="auto" w:sz="4" w:space="0"/>
      </w:pBdr>
      <w:spacing w:before="100" w:beforeAutospacing="1" w:after="100" w:afterAutospacing="1"/>
      <w:textAlignment w:val="top"/>
    </w:pPr>
    <w:rPr>
      <w:rFonts w:ascii="Arial Unicode MS" w:hAnsi="Arial Unicode MS" w:eastAsia="Arial Unicode MS" w:cs="Arial Unicode MS"/>
    </w:rPr>
  </w:style>
  <w:style w:type="paragraph" w:styleId="4">
    <w:name w:val="List Continue 3"/>
    <w:basedOn w:val="1"/>
    <w:next w:val="5"/>
    <w:autoRedefine/>
    <w:qFormat/>
    <w:locked/>
    <w:uiPriority w:val="0"/>
    <w:pPr>
      <w:spacing w:after="120"/>
      <w:ind w:left="1260" w:leftChars="600"/>
    </w:pPr>
    <w:rPr>
      <w:sz w:val="24"/>
    </w:rPr>
  </w:style>
  <w:style w:type="paragraph" w:customStyle="1" w:styleId="5">
    <w:name w:val="表编号文字"/>
    <w:next w:val="6"/>
    <w:autoRedefine/>
    <w:semiHidden/>
    <w:qFormat/>
    <w:uiPriority w:val="0"/>
    <w:pPr>
      <w:widowControl w:val="0"/>
      <w:jc w:val="both"/>
    </w:pPr>
    <w:rPr>
      <w:rFonts w:ascii="Times New Roman" w:hAnsi="Times New Roman" w:eastAsia="宋体" w:cs="Times New Roman"/>
      <w:sz w:val="21"/>
      <w:lang w:val="en-US" w:eastAsia="zh-CN" w:bidi="ar-SA"/>
    </w:rPr>
  </w:style>
  <w:style w:type="paragraph" w:customStyle="1" w:styleId="6">
    <w:name w:val="默认段落字体 Para Char Char Char Char"/>
    <w:basedOn w:val="1"/>
    <w:next w:val="1"/>
    <w:autoRedefine/>
    <w:qFormat/>
    <w:uiPriority w:val="0"/>
    <w:rPr>
      <w:sz w:val="24"/>
    </w:rPr>
  </w:style>
  <w:style w:type="paragraph" w:styleId="8">
    <w:name w:val="Body Text First Indent"/>
    <w:basedOn w:val="1"/>
    <w:next w:val="9"/>
    <w:link w:val="71"/>
    <w:autoRedefine/>
    <w:qFormat/>
    <w:locked/>
    <w:uiPriority w:val="0"/>
    <w:pPr>
      <w:spacing w:after="120"/>
      <w:ind w:firstLine="420" w:firstLineChars="100"/>
    </w:pPr>
  </w:style>
  <w:style w:type="paragraph" w:styleId="9">
    <w:name w:val="Body Text"/>
    <w:basedOn w:val="1"/>
    <w:next w:val="8"/>
    <w:link w:val="70"/>
    <w:autoRedefine/>
    <w:qFormat/>
    <w:uiPriority w:val="0"/>
    <w:pPr>
      <w:widowControl/>
      <w:snapToGrid w:val="0"/>
      <w:spacing w:before="60" w:after="160" w:line="259" w:lineRule="auto"/>
      <w:ind w:right="113"/>
    </w:pPr>
    <w:rPr>
      <w:kern w:val="0"/>
      <w:sz w:val="18"/>
      <w:szCs w:val="20"/>
    </w:rPr>
  </w:style>
  <w:style w:type="paragraph" w:styleId="12">
    <w:name w:val="Normal Indent"/>
    <w:basedOn w:val="1"/>
    <w:link w:val="76"/>
    <w:autoRedefine/>
    <w:qFormat/>
    <w:locked/>
    <w:uiPriority w:val="0"/>
    <w:pPr>
      <w:ind w:firstLine="420" w:firstLineChars="200"/>
    </w:pPr>
  </w:style>
  <w:style w:type="paragraph" w:styleId="15">
    <w:name w:val="Note Heading"/>
    <w:basedOn w:val="1"/>
    <w:next w:val="1"/>
    <w:link w:val="79"/>
    <w:autoRedefine/>
    <w:unhideWhenUsed/>
    <w:qFormat/>
    <w:locked/>
    <w:uiPriority w:val="99"/>
    <w:pPr>
      <w:jc w:val="center"/>
    </w:pPr>
  </w:style>
  <w:style w:type="paragraph" w:styleId="16">
    <w:name w:val="caption"/>
    <w:basedOn w:val="1"/>
    <w:next w:val="1"/>
    <w:link w:val="80"/>
    <w:autoRedefine/>
    <w:qFormat/>
    <w:locked/>
    <w:uiPriority w:val="0"/>
    <w:pPr>
      <w:tabs>
        <w:tab w:val="center" w:pos="10467"/>
        <w:tab w:val="left" w:pos="13095"/>
      </w:tabs>
      <w:jc w:val="center"/>
    </w:pPr>
    <w:rPr>
      <w:rFonts w:ascii="Arial" w:hAnsi="Arial"/>
      <w:b/>
    </w:rPr>
  </w:style>
  <w:style w:type="paragraph" w:styleId="17">
    <w:name w:val="Document Map"/>
    <w:basedOn w:val="1"/>
    <w:link w:val="81"/>
    <w:autoRedefine/>
    <w:qFormat/>
    <w:locked/>
    <w:uiPriority w:val="0"/>
    <w:pPr>
      <w:shd w:val="clear" w:color="auto" w:fill="000080"/>
    </w:pPr>
  </w:style>
  <w:style w:type="paragraph" w:styleId="18">
    <w:name w:val="annotation text"/>
    <w:basedOn w:val="1"/>
    <w:link w:val="82"/>
    <w:autoRedefine/>
    <w:qFormat/>
    <w:uiPriority w:val="0"/>
    <w:pPr>
      <w:jc w:val="left"/>
    </w:pPr>
    <w:rPr>
      <w:kern w:val="0"/>
      <w:sz w:val="24"/>
      <w:szCs w:val="20"/>
    </w:rPr>
  </w:style>
  <w:style w:type="paragraph" w:styleId="19">
    <w:name w:val="Salutation"/>
    <w:basedOn w:val="1"/>
    <w:next w:val="1"/>
    <w:link w:val="83"/>
    <w:autoRedefine/>
    <w:qFormat/>
    <w:locked/>
    <w:uiPriority w:val="0"/>
  </w:style>
  <w:style w:type="paragraph" w:styleId="20">
    <w:name w:val="Closing"/>
    <w:basedOn w:val="1"/>
    <w:next w:val="21"/>
    <w:autoRedefine/>
    <w:qFormat/>
    <w:locked/>
    <w:uiPriority w:val="0"/>
    <w:pPr>
      <w:ind w:left="100" w:leftChars="2100"/>
    </w:pPr>
  </w:style>
  <w:style w:type="paragraph" w:customStyle="1" w:styleId="21">
    <w:name w:val="段落"/>
    <w:basedOn w:val="1"/>
    <w:next w:val="22"/>
    <w:link w:val="127"/>
    <w:autoRedefine/>
    <w:qFormat/>
    <w:uiPriority w:val="0"/>
    <w:pPr>
      <w:tabs>
        <w:tab w:val="left" w:pos="1021"/>
      </w:tabs>
      <w:spacing w:line="336" w:lineRule="auto"/>
      <w:ind w:firstLine="480" w:firstLineChars="200"/>
    </w:pPr>
    <w:rPr>
      <w:snapToGrid w:val="0"/>
      <w:color w:val="000000"/>
      <w:kern w:val="24"/>
      <w:sz w:val="24"/>
    </w:rPr>
  </w:style>
  <w:style w:type="paragraph" w:customStyle="1" w:styleId="22">
    <w:name w:val="默认段落字体 Para Char"/>
    <w:basedOn w:val="1"/>
    <w:next w:val="23"/>
    <w:autoRedefine/>
    <w:qFormat/>
    <w:uiPriority w:val="0"/>
  </w:style>
  <w:style w:type="paragraph" w:customStyle="1" w:styleId="23">
    <w:name w:val="样式 正文首行缩进 2 + 左侧:  2 字符 首行缩进:  2 字符 +"/>
    <w:basedOn w:val="1"/>
    <w:next w:val="24"/>
    <w:autoRedefine/>
    <w:semiHidden/>
    <w:qFormat/>
    <w:uiPriority w:val="0"/>
    <w:pPr>
      <w:spacing w:before="156" w:beforeLines="50"/>
      <w:ind w:firstLine="561"/>
    </w:pPr>
    <w:rPr>
      <w:rFonts w:cs="宋体"/>
    </w:rPr>
  </w:style>
  <w:style w:type="paragraph" w:customStyle="1" w:styleId="24">
    <w:name w:val="正文 32"/>
    <w:basedOn w:val="1"/>
    <w:next w:val="25"/>
    <w:autoRedefine/>
    <w:qFormat/>
    <w:uiPriority w:val="0"/>
    <w:pPr>
      <w:autoSpaceDE w:val="0"/>
      <w:autoSpaceDN w:val="0"/>
      <w:adjustRightInd w:val="0"/>
      <w:spacing w:line="300" w:lineRule="auto"/>
      <w:ind w:firstLine="567"/>
      <w:textAlignment w:val="baseline"/>
    </w:pPr>
    <w:rPr>
      <w:rFonts w:eastAsia="楷体_GB2312"/>
      <w:kern w:val="0"/>
      <w:sz w:val="24"/>
      <w:szCs w:val="22"/>
    </w:rPr>
  </w:style>
  <w:style w:type="paragraph" w:customStyle="1" w:styleId="25">
    <w:name w:val="xl30"/>
    <w:basedOn w:val="1"/>
    <w:next w:val="26"/>
    <w:autoRedefine/>
    <w:qFormat/>
    <w:uiPriority w:val="0"/>
    <w:pPr>
      <w:widowControl/>
      <w:pBdr>
        <w:bottom w:val="single" w:color="auto" w:sz="4" w:space="0"/>
      </w:pBdr>
      <w:spacing w:before="156" w:beforeLines="50"/>
      <w:jc w:val="center"/>
      <w:textAlignment w:val="center"/>
    </w:pPr>
    <w:rPr>
      <w:rFonts w:eastAsia="Arial Unicode MS"/>
      <w:kern w:val="0"/>
    </w:rPr>
  </w:style>
  <w:style w:type="paragraph" w:styleId="26">
    <w:name w:val="annotation subject"/>
    <w:basedOn w:val="18"/>
    <w:next w:val="27"/>
    <w:link w:val="94"/>
    <w:autoRedefine/>
    <w:semiHidden/>
    <w:qFormat/>
    <w:uiPriority w:val="0"/>
    <w:rPr>
      <w:b/>
      <w:kern w:val="2"/>
    </w:rPr>
  </w:style>
  <w:style w:type="paragraph" w:customStyle="1" w:styleId="27">
    <w:name w:val="样式 标题 1 + 黑色"/>
    <w:basedOn w:val="2"/>
    <w:next w:val="1"/>
    <w:autoRedefine/>
    <w:qFormat/>
    <w:uiPriority w:val="0"/>
    <w:pPr>
      <w:keepNext w:val="0"/>
      <w:pageBreakBefore/>
      <w:widowControl/>
      <w:numPr>
        <w:ilvl w:val="0"/>
        <w:numId w:val="0"/>
      </w:numPr>
      <w:tabs>
        <w:tab w:val="left" w:pos="567"/>
        <w:tab w:val="left" w:pos="5652"/>
      </w:tabs>
      <w:spacing w:before="240" w:line="240" w:lineRule="auto"/>
      <w:ind w:left="431" w:hanging="431"/>
      <w:jc w:val="left"/>
    </w:pPr>
    <w:rPr>
      <w:snapToGrid/>
      <w:color w:val="000000"/>
      <w:kern w:val="32"/>
      <w:sz w:val="32"/>
      <w:szCs w:val="32"/>
    </w:rPr>
  </w:style>
  <w:style w:type="paragraph" w:styleId="28">
    <w:name w:val="Body Text Indent"/>
    <w:basedOn w:val="1"/>
    <w:next w:val="29"/>
    <w:link w:val="68"/>
    <w:autoRedefine/>
    <w:qFormat/>
    <w:uiPriority w:val="0"/>
    <w:pPr>
      <w:spacing w:after="120"/>
      <w:ind w:left="420" w:leftChars="200"/>
    </w:pPr>
    <w:rPr>
      <w:kern w:val="0"/>
      <w:sz w:val="24"/>
      <w:szCs w:val="20"/>
    </w:rPr>
  </w:style>
  <w:style w:type="paragraph" w:styleId="29">
    <w:name w:val="envelope return"/>
    <w:basedOn w:val="1"/>
    <w:autoRedefine/>
    <w:semiHidden/>
    <w:qFormat/>
    <w:locked/>
    <w:uiPriority w:val="0"/>
    <w:pPr>
      <w:snapToGrid w:val="0"/>
    </w:pPr>
    <w:rPr>
      <w:rFonts w:ascii="Arial" w:hAnsi="Arial" w:cs="Arial"/>
    </w:rPr>
  </w:style>
  <w:style w:type="paragraph" w:styleId="30">
    <w:name w:val="Plain Text"/>
    <w:basedOn w:val="1"/>
    <w:next w:val="1"/>
    <w:link w:val="84"/>
    <w:autoRedefine/>
    <w:qFormat/>
    <w:locked/>
    <w:uiPriority w:val="0"/>
    <w:rPr>
      <w:rFonts w:ascii="宋体" w:hAnsi="Courier New"/>
      <w:sz w:val="24"/>
      <w:szCs w:val="20"/>
    </w:rPr>
  </w:style>
  <w:style w:type="paragraph" w:styleId="31">
    <w:name w:val="List Bullet 5"/>
    <w:basedOn w:val="1"/>
    <w:autoRedefine/>
    <w:qFormat/>
    <w:locked/>
    <w:uiPriority w:val="0"/>
    <w:pPr>
      <w:numPr>
        <w:ilvl w:val="0"/>
        <w:numId w:val="3"/>
      </w:numPr>
    </w:pPr>
  </w:style>
  <w:style w:type="paragraph" w:styleId="32">
    <w:name w:val="Date"/>
    <w:basedOn w:val="1"/>
    <w:next w:val="1"/>
    <w:link w:val="85"/>
    <w:autoRedefine/>
    <w:qFormat/>
    <w:uiPriority w:val="0"/>
    <w:pPr>
      <w:ind w:left="100" w:leftChars="2500"/>
    </w:pPr>
    <w:rPr>
      <w:kern w:val="0"/>
      <w:sz w:val="24"/>
      <w:szCs w:val="20"/>
    </w:rPr>
  </w:style>
  <w:style w:type="paragraph" w:styleId="33">
    <w:name w:val="Body Text Indent 2"/>
    <w:basedOn w:val="1"/>
    <w:next w:val="1"/>
    <w:link w:val="86"/>
    <w:autoRedefine/>
    <w:qFormat/>
    <w:locked/>
    <w:uiPriority w:val="0"/>
    <w:pPr>
      <w:spacing w:line="400" w:lineRule="exact"/>
      <w:ind w:firstLine="629"/>
    </w:pPr>
    <w:rPr>
      <w:rFonts w:eastAsia="仿宋_GB2312"/>
      <w:sz w:val="32"/>
    </w:rPr>
  </w:style>
  <w:style w:type="paragraph" w:styleId="34">
    <w:name w:val="Balloon Text"/>
    <w:basedOn w:val="1"/>
    <w:link w:val="87"/>
    <w:autoRedefine/>
    <w:semiHidden/>
    <w:qFormat/>
    <w:uiPriority w:val="0"/>
    <w:rPr>
      <w:kern w:val="0"/>
      <w:sz w:val="18"/>
      <w:szCs w:val="20"/>
    </w:rPr>
  </w:style>
  <w:style w:type="paragraph" w:styleId="35">
    <w:name w:val="footer"/>
    <w:basedOn w:val="1"/>
    <w:link w:val="88"/>
    <w:autoRedefine/>
    <w:qFormat/>
    <w:uiPriority w:val="99"/>
    <w:pPr>
      <w:tabs>
        <w:tab w:val="center" w:pos="4153"/>
        <w:tab w:val="right" w:pos="8306"/>
      </w:tabs>
      <w:snapToGrid w:val="0"/>
      <w:jc w:val="left"/>
    </w:pPr>
    <w:rPr>
      <w:kern w:val="0"/>
      <w:sz w:val="18"/>
      <w:szCs w:val="20"/>
    </w:rPr>
  </w:style>
  <w:style w:type="paragraph" w:styleId="36">
    <w:name w:val="header"/>
    <w:basedOn w:val="1"/>
    <w:link w:val="89"/>
    <w:autoRedefine/>
    <w:qFormat/>
    <w:uiPriority w:val="99"/>
    <w:pPr>
      <w:pBdr>
        <w:bottom w:val="single" w:color="auto" w:sz="6" w:space="1"/>
      </w:pBdr>
      <w:tabs>
        <w:tab w:val="center" w:pos="4153"/>
        <w:tab w:val="right" w:pos="8306"/>
      </w:tabs>
      <w:snapToGrid w:val="0"/>
      <w:jc w:val="center"/>
    </w:pPr>
    <w:rPr>
      <w:kern w:val="0"/>
      <w:sz w:val="18"/>
      <w:szCs w:val="20"/>
    </w:rPr>
  </w:style>
  <w:style w:type="paragraph" w:styleId="37">
    <w:name w:val="toc 1"/>
    <w:basedOn w:val="1"/>
    <w:next w:val="1"/>
    <w:autoRedefine/>
    <w:qFormat/>
    <w:locked/>
    <w:uiPriority w:val="0"/>
  </w:style>
  <w:style w:type="paragraph" w:styleId="38">
    <w:name w:val="Subtitle"/>
    <w:basedOn w:val="1"/>
    <w:link w:val="90"/>
    <w:autoRedefine/>
    <w:qFormat/>
    <w:locked/>
    <w:uiPriority w:val="0"/>
    <w:pPr>
      <w:widowControl/>
      <w:adjustRightInd w:val="0"/>
      <w:snapToGrid w:val="0"/>
      <w:spacing w:line="440" w:lineRule="exact"/>
      <w:jc w:val="center"/>
    </w:pPr>
    <w:rPr>
      <w:rFonts w:hAnsi="Calibri" w:eastAsia="Times New Roman"/>
      <w:b/>
      <w:bCs/>
      <w:kern w:val="28"/>
      <w:sz w:val="24"/>
    </w:rPr>
  </w:style>
  <w:style w:type="paragraph" w:styleId="39">
    <w:name w:val="List"/>
    <w:basedOn w:val="1"/>
    <w:next w:val="1"/>
    <w:autoRedefine/>
    <w:qFormat/>
    <w:locked/>
    <w:uiPriority w:val="0"/>
    <w:pPr>
      <w:ind w:left="200" w:hanging="200" w:hangingChars="200"/>
    </w:pPr>
  </w:style>
  <w:style w:type="paragraph" w:styleId="40">
    <w:name w:val="Body Text Indent 3"/>
    <w:basedOn w:val="1"/>
    <w:link w:val="91"/>
    <w:autoRedefine/>
    <w:qFormat/>
    <w:locked/>
    <w:uiPriority w:val="0"/>
    <w:pPr>
      <w:spacing w:after="120"/>
      <w:ind w:left="420" w:leftChars="200"/>
    </w:pPr>
    <w:rPr>
      <w:sz w:val="16"/>
      <w:szCs w:val="16"/>
    </w:rPr>
  </w:style>
  <w:style w:type="paragraph" w:styleId="41">
    <w:name w:val="toc 2"/>
    <w:basedOn w:val="1"/>
    <w:next w:val="1"/>
    <w:autoRedefine/>
    <w:unhideWhenUsed/>
    <w:qFormat/>
    <w:locked/>
    <w:uiPriority w:val="39"/>
    <w:pPr>
      <w:ind w:left="420" w:leftChars="200"/>
    </w:pPr>
  </w:style>
  <w:style w:type="paragraph" w:styleId="42">
    <w:name w:val="Body Text 2"/>
    <w:basedOn w:val="1"/>
    <w:link w:val="92"/>
    <w:autoRedefine/>
    <w:qFormat/>
    <w:locked/>
    <w:uiPriority w:val="0"/>
    <w:pPr>
      <w:spacing w:after="120" w:line="480" w:lineRule="auto"/>
    </w:pPr>
  </w:style>
  <w:style w:type="paragraph" w:styleId="43">
    <w:name w:val="Normal (Web)"/>
    <w:basedOn w:val="1"/>
    <w:link w:val="93"/>
    <w:autoRedefine/>
    <w:qFormat/>
    <w:uiPriority w:val="0"/>
    <w:pPr>
      <w:widowControl/>
      <w:spacing w:before="100" w:beforeAutospacing="1" w:after="100" w:afterAutospacing="1"/>
      <w:jc w:val="left"/>
    </w:pPr>
    <w:rPr>
      <w:rFonts w:ascii="宋体" w:hAnsi="宋体"/>
      <w:kern w:val="0"/>
      <w:sz w:val="24"/>
      <w:szCs w:val="20"/>
    </w:rPr>
  </w:style>
  <w:style w:type="paragraph" w:styleId="44">
    <w:name w:val="Body Text First Indent 2"/>
    <w:basedOn w:val="28"/>
    <w:next w:val="8"/>
    <w:link w:val="69"/>
    <w:autoRedefine/>
    <w:qFormat/>
    <w:locked/>
    <w:uiPriority w:val="0"/>
    <w:pPr>
      <w:ind w:firstLine="420" w:firstLineChars="200"/>
    </w:pPr>
    <w:rPr>
      <w:kern w:val="2"/>
      <w:sz w:val="21"/>
      <w:szCs w:val="24"/>
    </w:rPr>
  </w:style>
  <w:style w:type="table" w:styleId="46">
    <w:name w:val="Table Grid"/>
    <w:basedOn w:val="45"/>
    <w:autoRedefine/>
    <w:qFormat/>
    <w:uiPriority w:val="0"/>
    <w:tblPr>
      <w:jc w:val="center"/>
      <w:tblBorders>
        <w:top w:val="single" w:color="auto" w:sz="12" w:space="0"/>
        <w:bottom w:val="single" w:color="auto" w:sz="12" w:space="0"/>
        <w:insideH w:val="single" w:color="auto" w:sz="6" w:space="0"/>
        <w:insideV w:val="single" w:color="auto" w:sz="6" w:space="0"/>
      </w:tblBorders>
      <w:tblCellMar>
        <w:top w:w="0" w:type="dxa"/>
        <w:left w:w="108" w:type="dxa"/>
        <w:bottom w:w="0" w:type="dxa"/>
        <w:right w:w="108" w:type="dxa"/>
      </w:tblCellMar>
    </w:tblPr>
    <w:trPr>
      <w:jc w:val="center"/>
    </w:trPr>
    <w:tcPr>
      <w:vAlign w:val="center"/>
    </w:tcPr>
  </w:style>
  <w:style w:type="character" w:styleId="48">
    <w:name w:val="Strong"/>
    <w:autoRedefine/>
    <w:qFormat/>
    <w:locked/>
    <w:uiPriority w:val="22"/>
    <w:rPr>
      <w:b/>
      <w:bCs/>
    </w:rPr>
  </w:style>
  <w:style w:type="character" w:styleId="49">
    <w:name w:val="page number"/>
    <w:basedOn w:val="47"/>
    <w:autoRedefine/>
    <w:qFormat/>
    <w:locked/>
    <w:uiPriority w:val="0"/>
  </w:style>
  <w:style w:type="character" w:styleId="50">
    <w:name w:val="FollowedHyperlink"/>
    <w:basedOn w:val="47"/>
    <w:autoRedefine/>
    <w:qFormat/>
    <w:locked/>
    <w:uiPriority w:val="0"/>
    <w:rPr>
      <w:color w:val="800080"/>
      <w:u w:val="none"/>
    </w:rPr>
  </w:style>
  <w:style w:type="character" w:styleId="51">
    <w:name w:val="Emphasis"/>
    <w:autoRedefine/>
    <w:qFormat/>
    <w:locked/>
    <w:uiPriority w:val="20"/>
    <w:rPr>
      <w:i/>
      <w:iCs/>
    </w:rPr>
  </w:style>
  <w:style w:type="character" w:styleId="52">
    <w:name w:val="HTML Definition"/>
    <w:basedOn w:val="47"/>
    <w:autoRedefine/>
    <w:qFormat/>
    <w:locked/>
    <w:uiPriority w:val="0"/>
  </w:style>
  <w:style w:type="character" w:styleId="53">
    <w:name w:val="HTML Variable"/>
    <w:basedOn w:val="47"/>
    <w:autoRedefine/>
    <w:qFormat/>
    <w:locked/>
    <w:uiPriority w:val="0"/>
  </w:style>
  <w:style w:type="character" w:styleId="54">
    <w:name w:val="Hyperlink"/>
    <w:autoRedefine/>
    <w:qFormat/>
    <w:locked/>
    <w:uiPriority w:val="0"/>
    <w:rPr>
      <w:color w:val="3366CC"/>
      <w:u w:val="single"/>
    </w:rPr>
  </w:style>
  <w:style w:type="character" w:styleId="55">
    <w:name w:val="HTML Code"/>
    <w:basedOn w:val="47"/>
    <w:autoRedefine/>
    <w:qFormat/>
    <w:locked/>
    <w:uiPriority w:val="0"/>
    <w:rPr>
      <w:rFonts w:hint="default" w:ascii="Courier New" w:hAnsi="Courier New" w:eastAsia="Courier New" w:cs="Courier New"/>
      <w:sz w:val="21"/>
      <w:szCs w:val="21"/>
    </w:rPr>
  </w:style>
  <w:style w:type="character" w:styleId="56">
    <w:name w:val="annotation reference"/>
    <w:basedOn w:val="47"/>
    <w:autoRedefine/>
    <w:qFormat/>
    <w:uiPriority w:val="0"/>
    <w:rPr>
      <w:sz w:val="21"/>
    </w:rPr>
  </w:style>
  <w:style w:type="character" w:styleId="57">
    <w:name w:val="HTML Cite"/>
    <w:basedOn w:val="47"/>
    <w:autoRedefine/>
    <w:qFormat/>
    <w:locked/>
    <w:uiPriority w:val="0"/>
  </w:style>
  <w:style w:type="character" w:styleId="58">
    <w:name w:val="HTML Keyboard"/>
    <w:basedOn w:val="47"/>
    <w:autoRedefine/>
    <w:qFormat/>
    <w:locked/>
    <w:uiPriority w:val="0"/>
    <w:rPr>
      <w:rFonts w:ascii="Courier New" w:hAnsi="Courier New" w:eastAsia="Courier New" w:cs="Courier New"/>
      <w:sz w:val="21"/>
      <w:szCs w:val="21"/>
    </w:rPr>
  </w:style>
  <w:style w:type="character" w:styleId="59">
    <w:name w:val="HTML Sample"/>
    <w:basedOn w:val="47"/>
    <w:autoRedefine/>
    <w:qFormat/>
    <w:locked/>
    <w:uiPriority w:val="0"/>
    <w:rPr>
      <w:rFonts w:hint="default" w:ascii="Courier New" w:hAnsi="Courier New" w:eastAsia="Courier New" w:cs="Courier New"/>
      <w:sz w:val="21"/>
      <w:szCs w:val="21"/>
    </w:rPr>
  </w:style>
  <w:style w:type="paragraph" w:customStyle="1" w:styleId="60">
    <w:name w:val="Default"/>
    <w:basedOn w:val="61"/>
    <w:next w:val="1"/>
    <w:autoRedefine/>
    <w:qFormat/>
    <w:uiPriority w:val="0"/>
    <w:pPr>
      <w:autoSpaceDE w:val="0"/>
      <w:autoSpaceDN w:val="0"/>
    </w:pPr>
    <w:rPr>
      <w:rFonts w:ascii="宋体" w:hAnsi="宋体" w:cs="宋体"/>
      <w:color w:val="000000"/>
      <w:sz w:val="24"/>
    </w:rPr>
  </w:style>
  <w:style w:type="paragraph" w:customStyle="1" w:styleId="61">
    <w:name w:val="！正文 Alt+0"/>
    <w:basedOn w:val="1"/>
    <w:autoRedefine/>
    <w:qFormat/>
    <w:uiPriority w:val="0"/>
    <w:pPr>
      <w:ind w:firstLine="200"/>
    </w:pPr>
    <w:rPr>
      <w:sz w:val="28"/>
      <w:szCs w:val="28"/>
    </w:rPr>
  </w:style>
  <w:style w:type="paragraph" w:customStyle="1" w:styleId="62">
    <w:name w:val="xl27"/>
    <w:basedOn w:val="1"/>
    <w:next w:val="63"/>
    <w:autoRedefine/>
    <w:qFormat/>
    <w:uiPriority w:val="0"/>
    <w:pPr>
      <w:widowControl/>
      <w:spacing w:before="100" w:beforeAutospacing="1" w:after="100" w:afterAutospacing="1"/>
      <w:jc w:val="center"/>
    </w:pPr>
    <w:rPr>
      <w:rFonts w:ascii="新宋体-18030" w:hAnsi="新宋体-18030" w:eastAsia="新宋体-18030" w:cs="新宋体-18030"/>
      <w:kern w:val="0"/>
    </w:rPr>
  </w:style>
  <w:style w:type="paragraph" w:customStyle="1" w:styleId="63">
    <w:name w:val=" Char Char1 Char Char"/>
    <w:basedOn w:val="1"/>
    <w:next w:val="64"/>
    <w:autoRedefine/>
    <w:qFormat/>
    <w:uiPriority w:val="0"/>
    <w:pPr>
      <w:widowControl w:val="0"/>
      <w:autoSpaceDE/>
      <w:autoSpaceDN/>
      <w:spacing w:before="0" w:after="0" w:line="240" w:lineRule="auto"/>
      <w:ind w:left="0" w:firstLine="0"/>
      <w:jc w:val="both"/>
    </w:pPr>
    <w:rPr>
      <w:rFonts w:ascii="Times New Roman" w:eastAsia="宋体"/>
      <w:sz w:val="24"/>
    </w:rPr>
  </w:style>
  <w:style w:type="paragraph" w:customStyle="1" w:styleId="64">
    <w:name w:val="xl42"/>
    <w:basedOn w:val="1"/>
    <w:next w:val="20"/>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eastAsia="Arial Unicode MS"/>
      <w:kern w:val="0"/>
    </w:rPr>
  </w:style>
  <w:style w:type="paragraph" w:customStyle="1" w:styleId="65">
    <w:name w:val="文本"/>
    <w:basedOn w:val="1"/>
    <w:next w:val="1"/>
    <w:autoRedefine/>
    <w:qFormat/>
    <w:uiPriority w:val="0"/>
    <w:pPr>
      <w:autoSpaceDE w:val="0"/>
      <w:autoSpaceDN w:val="0"/>
      <w:ind w:firstLine="480"/>
    </w:pPr>
    <w:rPr>
      <w:rFonts w:cs="Times New Roman"/>
      <w:szCs w:val="24"/>
      <w:lang w:val="zh-CN"/>
    </w:rPr>
  </w:style>
  <w:style w:type="paragraph" w:customStyle="1" w:styleId="66">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纯文本1"/>
    <w:basedOn w:val="1"/>
    <w:autoRedefine/>
    <w:qFormat/>
    <w:uiPriority w:val="0"/>
    <w:pPr>
      <w:adjustRightInd w:val="0"/>
    </w:pPr>
    <w:rPr>
      <w:rFonts w:hAnsi="Courier New"/>
    </w:rPr>
  </w:style>
  <w:style w:type="character" w:customStyle="1" w:styleId="68">
    <w:name w:val="正文文本缩进 Char"/>
    <w:link w:val="28"/>
    <w:autoRedefine/>
    <w:qFormat/>
    <w:locked/>
    <w:uiPriority w:val="0"/>
    <w:rPr>
      <w:rFonts w:ascii="Times New Roman" w:hAnsi="Times New Roman" w:eastAsia="宋体"/>
      <w:sz w:val="24"/>
    </w:rPr>
  </w:style>
  <w:style w:type="character" w:customStyle="1" w:styleId="69">
    <w:name w:val="正文首行缩进 2 Char"/>
    <w:basedOn w:val="68"/>
    <w:link w:val="44"/>
    <w:autoRedefine/>
    <w:qFormat/>
    <w:uiPriority w:val="0"/>
    <w:rPr>
      <w:kern w:val="2"/>
      <w:sz w:val="21"/>
      <w:szCs w:val="24"/>
    </w:rPr>
  </w:style>
  <w:style w:type="character" w:customStyle="1" w:styleId="70">
    <w:name w:val="正文文本 Char"/>
    <w:link w:val="9"/>
    <w:autoRedefine/>
    <w:qFormat/>
    <w:locked/>
    <w:uiPriority w:val="0"/>
    <w:rPr>
      <w:sz w:val="18"/>
    </w:rPr>
  </w:style>
  <w:style w:type="character" w:customStyle="1" w:styleId="71">
    <w:name w:val="正文首行缩进 Char"/>
    <w:basedOn w:val="70"/>
    <w:link w:val="8"/>
    <w:autoRedefine/>
    <w:qFormat/>
    <w:uiPriority w:val="0"/>
    <w:rPr>
      <w:kern w:val="2"/>
      <w:sz w:val="21"/>
      <w:szCs w:val="24"/>
    </w:rPr>
  </w:style>
  <w:style w:type="character" w:customStyle="1" w:styleId="72">
    <w:name w:val="标题 1 Char"/>
    <w:basedOn w:val="47"/>
    <w:link w:val="2"/>
    <w:autoRedefine/>
    <w:qFormat/>
    <w:uiPriority w:val="0"/>
    <w:rPr>
      <w:rFonts w:eastAsia="黑体"/>
      <w:b/>
      <w:bCs/>
      <w:color w:val="000000"/>
      <w:kern w:val="44"/>
      <w:sz w:val="30"/>
      <w:szCs w:val="30"/>
    </w:rPr>
  </w:style>
  <w:style w:type="character" w:customStyle="1" w:styleId="73">
    <w:name w:val="标题 2 Char"/>
    <w:basedOn w:val="47"/>
    <w:link w:val="7"/>
    <w:autoRedefine/>
    <w:qFormat/>
    <w:uiPriority w:val="0"/>
    <w:rPr>
      <w:rFonts w:ascii="宋体"/>
      <w:kern w:val="2"/>
      <w:sz w:val="30"/>
      <w:szCs w:val="24"/>
    </w:rPr>
  </w:style>
  <w:style w:type="character" w:customStyle="1" w:styleId="74">
    <w:name w:val="标题 3 Char"/>
    <w:basedOn w:val="47"/>
    <w:link w:val="10"/>
    <w:autoRedefine/>
    <w:qFormat/>
    <w:uiPriority w:val="0"/>
    <w:rPr>
      <w:b/>
      <w:bCs/>
      <w:kern w:val="2"/>
      <w:sz w:val="32"/>
      <w:szCs w:val="32"/>
    </w:rPr>
  </w:style>
  <w:style w:type="character" w:customStyle="1" w:styleId="75">
    <w:name w:val="标题 4 Char"/>
    <w:basedOn w:val="47"/>
    <w:link w:val="11"/>
    <w:autoRedefine/>
    <w:qFormat/>
    <w:uiPriority w:val="0"/>
    <w:rPr>
      <w:rFonts w:ascii="宋体"/>
      <w:kern w:val="2"/>
      <w:sz w:val="28"/>
    </w:rPr>
  </w:style>
  <w:style w:type="character" w:customStyle="1" w:styleId="76">
    <w:name w:val="正文缩进 Char"/>
    <w:link w:val="12"/>
    <w:autoRedefine/>
    <w:qFormat/>
    <w:locked/>
    <w:uiPriority w:val="0"/>
    <w:rPr>
      <w:kern w:val="2"/>
      <w:sz w:val="21"/>
      <w:szCs w:val="24"/>
    </w:rPr>
  </w:style>
  <w:style w:type="character" w:customStyle="1" w:styleId="77">
    <w:name w:val="标题 5 Char"/>
    <w:basedOn w:val="47"/>
    <w:link w:val="13"/>
    <w:autoRedefine/>
    <w:qFormat/>
    <w:uiPriority w:val="0"/>
    <w:rPr>
      <w:b/>
      <w:bCs/>
      <w:kern w:val="2"/>
      <w:sz w:val="28"/>
      <w:szCs w:val="28"/>
    </w:rPr>
  </w:style>
  <w:style w:type="character" w:customStyle="1" w:styleId="78">
    <w:name w:val="标题 6 Char"/>
    <w:basedOn w:val="47"/>
    <w:link w:val="14"/>
    <w:autoRedefine/>
    <w:qFormat/>
    <w:uiPriority w:val="0"/>
    <w:rPr>
      <w:kern w:val="2"/>
      <w:sz w:val="28"/>
    </w:rPr>
  </w:style>
  <w:style w:type="character" w:customStyle="1" w:styleId="79">
    <w:name w:val="注释标题 Char"/>
    <w:basedOn w:val="47"/>
    <w:link w:val="15"/>
    <w:autoRedefine/>
    <w:qFormat/>
    <w:uiPriority w:val="99"/>
    <w:rPr>
      <w:kern w:val="2"/>
      <w:sz w:val="21"/>
      <w:szCs w:val="24"/>
    </w:rPr>
  </w:style>
  <w:style w:type="character" w:customStyle="1" w:styleId="80">
    <w:name w:val="题注 Char"/>
    <w:link w:val="16"/>
    <w:autoRedefine/>
    <w:qFormat/>
    <w:locked/>
    <w:uiPriority w:val="0"/>
    <w:rPr>
      <w:rFonts w:ascii="Arial" w:hAnsi="Arial" w:cs="Arial"/>
      <w:b/>
      <w:kern w:val="2"/>
      <w:sz w:val="21"/>
      <w:szCs w:val="24"/>
    </w:rPr>
  </w:style>
  <w:style w:type="character" w:customStyle="1" w:styleId="81">
    <w:name w:val="文档结构图 Char"/>
    <w:basedOn w:val="47"/>
    <w:link w:val="17"/>
    <w:autoRedefine/>
    <w:qFormat/>
    <w:uiPriority w:val="0"/>
    <w:rPr>
      <w:kern w:val="2"/>
      <w:sz w:val="21"/>
      <w:szCs w:val="24"/>
      <w:shd w:val="clear" w:color="auto" w:fill="000080"/>
    </w:rPr>
  </w:style>
  <w:style w:type="character" w:customStyle="1" w:styleId="82">
    <w:name w:val="批注文字 Char1"/>
    <w:basedOn w:val="47"/>
    <w:link w:val="18"/>
    <w:autoRedefine/>
    <w:qFormat/>
    <w:uiPriority w:val="0"/>
    <w:rPr>
      <w:kern w:val="2"/>
      <w:sz w:val="21"/>
      <w:szCs w:val="24"/>
    </w:rPr>
  </w:style>
  <w:style w:type="character" w:customStyle="1" w:styleId="83">
    <w:name w:val="称呼 Char2"/>
    <w:basedOn w:val="47"/>
    <w:link w:val="19"/>
    <w:autoRedefine/>
    <w:qFormat/>
    <w:uiPriority w:val="0"/>
    <w:rPr>
      <w:kern w:val="2"/>
      <w:sz w:val="21"/>
      <w:szCs w:val="24"/>
    </w:rPr>
  </w:style>
  <w:style w:type="character" w:customStyle="1" w:styleId="84">
    <w:name w:val="纯文本 Char1"/>
    <w:basedOn w:val="47"/>
    <w:link w:val="30"/>
    <w:autoRedefine/>
    <w:qFormat/>
    <w:uiPriority w:val="0"/>
    <w:rPr>
      <w:rFonts w:ascii="宋体" w:hAnsi="Courier New" w:cs="Courier New"/>
      <w:kern w:val="2"/>
      <w:sz w:val="21"/>
      <w:szCs w:val="21"/>
    </w:rPr>
  </w:style>
  <w:style w:type="character" w:customStyle="1" w:styleId="85">
    <w:name w:val="日期 Char"/>
    <w:link w:val="32"/>
    <w:autoRedefine/>
    <w:qFormat/>
    <w:locked/>
    <w:uiPriority w:val="0"/>
    <w:rPr>
      <w:rFonts w:ascii="Times New Roman" w:hAnsi="Times New Roman" w:eastAsia="宋体"/>
      <w:sz w:val="24"/>
    </w:rPr>
  </w:style>
  <w:style w:type="character" w:customStyle="1" w:styleId="86">
    <w:name w:val="正文文本缩进 2 Char1"/>
    <w:basedOn w:val="47"/>
    <w:link w:val="33"/>
    <w:autoRedefine/>
    <w:qFormat/>
    <w:uiPriority w:val="0"/>
    <w:rPr>
      <w:kern w:val="2"/>
      <w:sz w:val="21"/>
      <w:szCs w:val="24"/>
    </w:rPr>
  </w:style>
  <w:style w:type="character" w:customStyle="1" w:styleId="87">
    <w:name w:val="批注框文本 Char"/>
    <w:link w:val="34"/>
    <w:autoRedefine/>
    <w:semiHidden/>
    <w:qFormat/>
    <w:locked/>
    <w:uiPriority w:val="0"/>
    <w:rPr>
      <w:rFonts w:ascii="Times New Roman" w:hAnsi="Times New Roman" w:eastAsia="宋体"/>
      <w:sz w:val="18"/>
    </w:rPr>
  </w:style>
  <w:style w:type="character" w:customStyle="1" w:styleId="88">
    <w:name w:val="页脚 Char"/>
    <w:link w:val="35"/>
    <w:autoRedefine/>
    <w:qFormat/>
    <w:locked/>
    <w:uiPriority w:val="99"/>
    <w:rPr>
      <w:sz w:val="18"/>
    </w:rPr>
  </w:style>
  <w:style w:type="character" w:customStyle="1" w:styleId="89">
    <w:name w:val="页眉 Char"/>
    <w:link w:val="36"/>
    <w:autoRedefine/>
    <w:qFormat/>
    <w:locked/>
    <w:uiPriority w:val="99"/>
    <w:rPr>
      <w:sz w:val="18"/>
    </w:rPr>
  </w:style>
  <w:style w:type="character" w:customStyle="1" w:styleId="90">
    <w:name w:val="副标题 Char1"/>
    <w:basedOn w:val="47"/>
    <w:link w:val="38"/>
    <w:autoRedefine/>
    <w:qFormat/>
    <w:uiPriority w:val="0"/>
    <w:rPr>
      <w:rFonts w:hAnsi="Calibri" w:eastAsia="Times New Roman"/>
      <w:b/>
      <w:bCs/>
      <w:kern w:val="28"/>
      <w:sz w:val="24"/>
      <w:szCs w:val="24"/>
      <w:lang w:val="en-US" w:eastAsia="zh-CN"/>
    </w:rPr>
  </w:style>
  <w:style w:type="character" w:customStyle="1" w:styleId="91">
    <w:name w:val="正文文本缩进 3 Char"/>
    <w:basedOn w:val="47"/>
    <w:link w:val="40"/>
    <w:autoRedefine/>
    <w:qFormat/>
    <w:uiPriority w:val="0"/>
    <w:rPr>
      <w:kern w:val="2"/>
      <w:sz w:val="16"/>
      <w:szCs w:val="16"/>
    </w:rPr>
  </w:style>
  <w:style w:type="character" w:customStyle="1" w:styleId="92">
    <w:name w:val="正文文本 2 Char"/>
    <w:basedOn w:val="47"/>
    <w:link w:val="42"/>
    <w:autoRedefine/>
    <w:qFormat/>
    <w:uiPriority w:val="0"/>
    <w:rPr>
      <w:kern w:val="2"/>
      <w:sz w:val="21"/>
      <w:szCs w:val="24"/>
    </w:rPr>
  </w:style>
  <w:style w:type="character" w:customStyle="1" w:styleId="93">
    <w:name w:val="普通(网站) Char"/>
    <w:link w:val="43"/>
    <w:autoRedefine/>
    <w:qFormat/>
    <w:locked/>
    <w:uiPriority w:val="0"/>
    <w:rPr>
      <w:rFonts w:ascii="宋体" w:hAnsi="宋体" w:eastAsia="宋体"/>
      <w:sz w:val="24"/>
    </w:rPr>
  </w:style>
  <w:style w:type="character" w:customStyle="1" w:styleId="94">
    <w:name w:val="批注主题 Char"/>
    <w:link w:val="26"/>
    <w:autoRedefine/>
    <w:semiHidden/>
    <w:qFormat/>
    <w:locked/>
    <w:uiPriority w:val="0"/>
    <w:rPr>
      <w:rFonts w:ascii="Times New Roman" w:hAnsi="Times New Roman" w:eastAsia="宋体"/>
      <w:b/>
      <w:kern w:val="2"/>
      <w:sz w:val="24"/>
    </w:rPr>
  </w:style>
  <w:style w:type="character" w:customStyle="1" w:styleId="95">
    <w:name w:val="批注文字 Char"/>
    <w:autoRedefine/>
    <w:qFormat/>
    <w:locked/>
    <w:uiPriority w:val="0"/>
    <w:rPr>
      <w:rFonts w:ascii="Times New Roman" w:hAnsi="Times New Roman" w:eastAsia="宋体"/>
      <w:sz w:val="24"/>
    </w:rPr>
  </w:style>
  <w:style w:type="character" w:customStyle="1" w:styleId="96">
    <w:name w:val="页脚 字符"/>
    <w:basedOn w:val="47"/>
    <w:autoRedefine/>
    <w:qFormat/>
    <w:uiPriority w:val="99"/>
  </w:style>
  <w:style w:type="character" w:customStyle="1" w:styleId="97">
    <w:name w:val="正文文本 字符1"/>
    <w:autoRedefine/>
    <w:semiHidden/>
    <w:qFormat/>
    <w:uiPriority w:val="0"/>
    <w:rPr>
      <w:rFonts w:ascii="Times New Roman" w:hAnsi="Times New Roman" w:eastAsia="宋体"/>
      <w:sz w:val="24"/>
    </w:rPr>
  </w:style>
  <w:style w:type="character" w:customStyle="1" w:styleId="98">
    <w:name w:val="表格 Char"/>
    <w:link w:val="99"/>
    <w:autoRedefine/>
    <w:qFormat/>
    <w:locked/>
    <w:uiPriority w:val="0"/>
    <w:rPr>
      <w:rFonts w:ascii="宋体"/>
      <w:sz w:val="21"/>
    </w:rPr>
  </w:style>
  <w:style w:type="paragraph" w:customStyle="1" w:styleId="99">
    <w:name w:val="表格"/>
    <w:basedOn w:val="1"/>
    <w:next w:val="1"/>
    <w:link w:val="98"/>
    <w:autoRedefine/>
    <w:qFormat/>
    <w:uiPriority w:val="0"/>
    <w:pPr>
      <w:adjustRightInd w:val="0"/>
      <w:snapToGrid w:val="0"/>
      <w:spacing w:beforeLines="10" w:afterLines="10" w:line="259" w:lineRule="auto"/>
      <w:jc w:val="center"/>
    </w:pPr>
    <w:rPr>
      <w:rFonts w:ascii="宋体"/>
      <w:kern w:val="0"/>
      <w:szCs w:val="20"/>
    </w:rPr>
  </w:style>
  <w:style w:type="character" w:customStyle="1" w:styleId="100">
    <w:name w:val="日期 字符"/>
    <w:autoRedefine/>
    <w:semiHidden/>
    <w:qFormat/>
    <w:uiPriority w:val="0"/>
    <w:rPr>
      <w:rFonts w:ascii="Times New Roman" w:hAnsi="Times New Roman" w:eastAsia="宋体"/>
      <w:sz w:val="24"/>
    </w:rPr>
  </w:style>
  <w:style w:type="character" w:customStyle="1" w:styleId="101">
    <w:name w:val="批注文字 字符1"/>
    <w:autoRedefine/>
    <w:semiHidden/>
    <w:qFormat/>
    <w:uiPriority w:val="0"/>
    <w:rPr>
      <w:rFonts w:ascii="Times New Roman" w:hAnsi="Times New Roman" w:eastAsia="宋体"/>
      <w:sz w:val="24"/>
    </w:rPr>
  </w:style>
  <w:style w:type="paragraph" w:customStyle="1" w:styleId="102">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104">
    <w:name w:val="Heading 5"/>
    <w:basedOn w:val="1"/>
    <w:autoRedefine/>
    <w:qFormat/>
    <w:uiPriority w:val="1"/>
    <w:pPr>
      <w:autoSpaceDE w:val="0"/>
      <w:autoSpaceDN w:val="0"/>
      <w:adjustRightInd w:val="0"/>
      <w:spacing w:before="26" w:line="360" w:lineRule="auto"/>
      <w:ind w:left="257"/>
      <w:jc w:val="left"/>
      <w:outlineLvl w:val="4"/>
    </w:pPr>
    <w:rPr>
      <w:rFonts w:ascii="宋体" w:cs="宋体"/>
      <w:b/>
      <w:bCs/>
      <w:kern w:val="0"/>
      <w:sz w:val="24"/>
    </w:rPr>
  </w:style>
  <w:style w:type="paragraph" w:customStyle="1" w:styleId="105">
    <w:name w:val="Table Paragraph"/>
    <w:basedOn w:val="1"/>
    <w:autoRedefine/>
    <w:qFormat/>
    <w:uiPriority w:val="1"/>
    <w:pPr>
      <w:autoSpaceDE w:val="0"/>
      <w:autoSpaceDN w:val="0"/>
      <w:adjustRightInd w:val="0"/>
      <w:spacing w:line="360" w:lineRule="auto"/>
      <w:jc w:val="left"/>
    </w:pPr>
    <w:rPr>
      <w:kern w:val="0"/>
      <w:sz w:val="24"/>
    </w:rPr>
  </w:style>
  <w:style w:type="character" w:customStyle="1" w:styleId="106">
    <w:name w:val="纯文本 Char"/>
    <w:autoRedefine/>
    <w:qFormat/>
    <w:uiPriority w:val="0"/>
    <w:rPr>
      <w:rFonts w:ascii="宋体" w:hAnsi="Courier New"/>
      <w:kern w:val="2"/>
      <w:sz w:val="24"/>
    </w:rPr>
  </w:style>
  <w:style w:type="character" w:customStyle="1" w:styleId="107">
    <w:name w:val="正文文本缩进 2 Char"/>
    <w:autoRedefine/>
    <w:qFormat/>
    <w:uiPriority w:val="0"/>
    <w:rPr>
      <w:rFonts w:eastAsia="仿宋_GB2312"/>
      <w:kern w:val="2"/>
      <w:sz w:val="32"/>
      <w:szCs w:val="24"/>
    </w:rPr>
  </w:style>
  <w:style w:type="character" w:customStyle="1" w:styleId="108">
    <w:name w:val="表内格式 Char Char"/>
    <w:basedOn w:val="47"/>
    <w:link w:val="109"/>
    <w:autoRedefine/>
    <w:qFormat/>
    <w:uiPriority w:val="0"/>
    <w:rPr>
      <w:rFonts w:cs="宋体"/>
      <w:kern w:val="2"/>
      <w:sz w:val="21"/>
    </w:rPr>
  </w:style>
  <w:style w:type="paragraph" w:customStyle="1" w:styleId="109">
    <w:name w:val="表内格式"/>
    <w:basedOn w:val="1"/>
    <w:link w:val="108"/>
    <w:autoRedefine/>
    <w:qFormat/>
    <w:uiPriority w:val="0"/>
    <w:pPr>
      <w:jc w:val="center"/>
    </w:pPr>
    <w:rPr>
      <w:rFonts w:cs="宋体"/>
      <w:szCs w:val="20"/>
    </w:rPr>
  </w:style>
  <w:style w:type="character" w:customStyle="1" w:styleId="110">
    <w:name w:val="表文字 Char"/>
    <w:link w:val="111"/>
    <w:autoRedefine/>
    <w:qFormat/>
    <w:uiPriority w:val="0"/>
    <w:rPr>
      <w:rFonts w:ascii="宋体" w:hAnsi="宋体"/>
      <w:kern w:val="2"/>
      <w:sz w:val="21"/>
      <w:szCs w:val="28"/>
    </w:rPr>
  </w:style>
  <w:style w:type="paragraph" w:customStyle="1" w:styleId="111">
    <w:name w:val="表文字"/>
    <w:basedOn w:val="1"/>
    <w:next w:val="1"/>
    <w:link w:val="110"/>
    <w:autoRedefine/>
    <w:qFormat/>
    <w:uiPriority w:val="0"/>
    <w:pPr>
      <w:spacing w:line="240" w:lineRule="atLeast"/>
      <w:jc w:val="center"/>
    </w:pPr>
    <w:rPr>
      <w:rFonts w:ascii="宋体" w:hAnsi="宋体"/>
      <w:szCs w:val="28"/>
    </w:rPr>
  </w:style>
  <w:style w:type="paragraph" w:customStyle="1" w:styleId="112">
    <w:name w:val="表格内容"/>
    <w:basedOn w:val="9"/>
    <w:autoRedefine/>
    <w:qFormat/>
    <w:uiPriority w:val="0"/>
    <w:pPr>
      <w:widowControl w:val="0"/>
      <w:snapToGrid/>
      <w:spacing w:before="0" w:after="0" w:line="320" w:lineRule="exact"/>
      <w:ind w:right="0"/>
    </w:pPr>
    <w:rPr>
      <w:color w:val="000000"/>
      <w:kern w:val="2"/>
      <w:sz w:val="21"/>
      <w:szCs w:val="24"/>
    </w:rPr>
  </w:style>
  <w:style w:type="paragraph" w:customStyle="1" w:styleId="113">
    <w:name w:val="表格标题"/>
    <w:basedOn w:val="1"/>
    <w:autoRedefine/>
    <w:qFormat/>
    <w:uiPriority w:val="0"/>
    <w:pPr>
      <w:keepNext/>
      <w:autoSpaceDE w:val="0"/>
      <w:autoSpaceDN w:val="0"/>
      <w:adjustRightInd w:val="0"/>
      <w:snapToGrid w:val="0"/>
      <w:spacing w:line="480" w:lineRule="exact"/>
      <w:jc w:val="center"/>
      <w:outlineLvl w:val="5"/>
    </w:pPr>
    <w:rPr>
      <w:b/>
      <w:color w:val="000000"/>
      <w:sz w:val="24"/>
    </w:rPr>
  </w:style>
  <w:style w:type="character" w:customStyle="1" w:styleId="114">
    <w:name w:val="表格内容 Char"/>
    <w:autoRedefine/>
    <w:qFormat/>
    <w:uiPriority w:val="0"/>
    <w:rPr>
      <w:rFonts w:ascii="宋体" w:hAnsi="Courier New" w:eastAsia="宋体" w:cs="Courier New"/>
      <w:kern w:val="2"/>
      <w:sz w:val="21"/>
      <w:szCs w:val="21"/>
      <w:lang w:val="en-US" w:eastAsia="zh-CN" w:bidi="ar-SA"/>
    </w:rPr>
  </w:style>
  <w:style w:type="character" w:customStyle="1" w:styleId="115">
    <w:name w:val="正文标准样式 Char"/>
    <w:link w:val="116"/>
    <w:autoRedefine/>
    <w:qFormat/>
    <w:locked/>
    <w:uiPriority w:val="0"/>
    <w:rPr>
      <w:rFonts w:ascii="宋体" w:hAnsi="宋体"/>
      <w:sz w:val="24"/>
    </w:rPr>
  </w:style>
  <w:style w:type="paragraph" w:customStyle="1" w:styleId="116">
    <w:name w:val="正文标准样式"/>
    <w:basedOn w:val="1"/>
    <w:link w:val="115"/>
    <w:autoRedefine/>
    <w:qFormat/>
    <w:uiPriority w:val="0"/>
    <w:pPr>
      <w:adjustRightInd w:val="0"/>
      <w:spacing w:before="100" w:line="360" w:lineRule="auto"/>
      <w:ind w:firstLine="482"/>
    </w:pPr>
    <w:rPr>
      <w:rFonts w:ascii="宋体" w:hAnsi="宋体"/>
      <w:kern w:val="0"/>
      <w:sz w:val="24"/>
      <w:szCs w:val="20"/>
    </w:rPr>
  </w:style>
  <w:style w:type="character" w:customStyle="1" w:styleId="117">
    <w:name w:val="三级 Char"/>
    <w:link w:val="118"/>
    <w:autoRedefine/>
    <w:qFormat/>
    <w:locked/>
    <w:uiPriority w:val="0"/>
    <w:rPr>
      <w:b/>
      <w:kern w:val="2"/>
      <w:sz w:val="24"/>
      <w:szCs w:val="22"/>
    </w:rPr>
  </w:style>
  <w:style w:type="paragraph" w:customStyle="1" w:styleId="118">
    <w:name w:val="三级"/>
    <w:basedOn w:val="1"/>
    <w:link w:val="117"/>
    <w:autoRedefine/>
    <w:qFormat/>
    <w:uiPriority w:val="0"/>
    <w:pPr>
      <w:adjustRightInd w:val="0"/>
      <w:snapToGrid w:val="0"/>
      <w:spacing w:line="360" w:lineRule="auto"/>
      <w:jc w:val="left"/>
      <w:outlineLvl w:val="2"/>
    </w:pPr>
    <w:rPr>
      <w:b/>
      <w:sz w:val="24"/>
      <w:szCs w:val="22"/>
    </w:rPr>
  </w:style>
  <w:style w:type="character" w:customStyle="1" w:styleId="119">
    <w:name w:val="表字居中O Char"/>
    <w:link w:val="120"/>
    <w:autoRedefine/>
    <w:qFormat/>
    <w:uiPriority w:val="0"/>
    <w:rPr>
      <w:spacing w:val="-4"/>
      <w:sz w:val="21"/>
      <w:szCs w:val="21"/>
      <w:lang w:val="zh-CN"/>
    </w:rPr>
  </w:style>
  <w:style w:type="paragraph" w:customStyle="1" w:styleId="120">
    <w:name w:val="表字居中O"/>
    <w:basedOn w:val="1"/>
    <w:link w:val="119"/>
    <w:autoRedefine/>
    <w:qFormat/>
    <w:uiPriority w:val="0"/>
    <w:pPr>
      <w:spacing w:line="0" w:lineRule="atLeast"/>
      <w:jc w:val="center"/>
    </w:pPr>
    <w:rPr>
      <w:spacing w:val="-4"/>
      <w:kern w:val="0"/>
      <w:szCs w:val="21"/>
      <w:lang w:val="zh-CN"/>
    </w:rPr>
  </w:style>
  <w:style w:type="character" w:customStyle="1" w:styleId="121">
    <w:name w:val="apple-converted-space"/>
    <w:basedOn w:val="47"/>
    <w:autoRedefine/>
    <w:qFormat/>
    <w:uiPriority w:val="0"/>
  </w:style>
  <w:style w:type="character" w:customStyle="1" w:styleId="122">
    <w:name w:val="表标题 Char"/>
    <w:link w:val="123"/>
    <w:autoRedefine/>
    <w:qFormat/>
    <w:uiPriority w:val="0"/>
    <w:rPr>
      <w:color w:val="000000"/>
      <w:kern w:val="2"/>
      <w:sz w:val="24"/>
      <w:szCs w:val="24"/>
    </w:rPr>
  </w:style>
  <w:style w:type="paragraph" w:customStyle="1" w:styleId="123">
    <w:name w:val="表标题"/>
    <w:basedOn w:val="1"/>
    <w:link w:val="122"/>
    <w:autoRedefine/>
    <w:qFormat/>
    <w:uiPriority w:val="0"/>
    <w:pPr>
      <w:spacing w:line="360" w:lineRule="auto"/>
      <w:jc w:val="center"/>
    </w:pPr>
    <w:rPr>
      <w:color w:val="000000"/>
      <w:sz w:val="24"/>
    </w:rPr>
  </w:style>
  <w:style w:type="character" w:customStyle="1" w:styleId="124">
    <w:name w:val="表头 Char"/>
    <w:link w:val="125"/>
    <w:autoRedefine/>
    <w:qFormat/>
    <w:uiPriority w:val="0"/>
    <w:rPr>
      <w:rFonts w:hAnsi="宋体"/>
      <w:b/>
      <w:color w:val="000000"/>
      <w:kern w:val="24"/>
      <w:sz w:val="24"/>
      <w:szCs w:val="24"/>
    </w:rPr>
  </w:style>
  <w:style w:type="paragraph" w:customStyle="1" w:styleId="125">
    <w:name w:val="表头"/>
    <w:basedOn w:val="111"/>
    <w:next w:val="12"/>
    <w:link w:val="124"/>
    <w:autoRedefine/>
    <w:qFormat/>
    <w:uiPriority w:val="0"/>
    <w:pPr>
      <w:tabs>
        <w:tab w:val="left" w:pos="1021"/>
      </w:tabs>
      <w:adjustRightInd w:val="0"/>
      <w:spacing w:line="360" w:lineRule="auto"/>
    </w:pPr>
    <w:rPr>
      <w:rFonts w:ascii="Times New Roman"/>
      <w:b/>
      <w:color w:val="000000"/>
      <w:kern w:val="24"/>
      <w:sz w:val="24"/>
      <w:szCs w:val="24"/>
    </w:rPr>
  </w:style>
  <w:style w:type="character" w:customStyle="1" w:styleId="126">
    <w:name w:val="副标题 Char"/>
    <w:autoRedefine/>
    <w:qFormat/>
    <w:uiPriority w:val="0"/>
    <w:rPr>
      <w:rFonts w:ascii="Cambria" w:hAnsi="Cambria" w:cs="Times New Roman"/>
      <w:b/>
      <w:bCs/>
      <w:kern w:val="28"/>
      <w:sz w:val="32"/>
      <w:szCs w:val="32"/>
    </w:rPr>
  </w:style>
  <w:style w:type="character" w:customStyle="1" w:styleId="127">
    <w:name w:val="段落 Char1"/>
    <w:link w:val="21"/>
    <w:autoRedefine/>
    <w:qFormat/>
    <w:uiPriority w:val="0"/>
    <w:rPr>
      <w:snapToGrid w:val="0"/>
      <w:color w:val="000000"/>
      <w:kern w:val="24"/>
      <w:sz w:val="24"/>
      <w:szCs w:val="24"/>
      <w:lang w:val="en-US" w:eastAsia="zh-CN"/>
    </w:rPr>
  </w:style>
  <w:style w:type="character" w:customStyle="1" w:styleId="128">
    <w:name w:val="正文首行缩进 2 + Times New Roman Char"/>
    <w:link w:val="129"/>
    <w:autoRedefine/>
    <w:qFormat/>
    <w:uiPriority w:val="0"/>
    <w:rPr>
      <w:sz w:val="24"/>
      <w:szCs w:val="24"/>
    </w:rPr>
  </w:style>
  <w:style w:type="paragraph" w:customStyle="1" w:styleId="129">
    <w:name w:val="正文首行缩进 2 + Times New Roman"/>
    <w:basedOn w:val="1"/>
    <w:link w:val="128"/>
    <w:autoRedefine/>
    <w:qFormat/>
    <w:uiPriority w:val="0"/>
    <w:pPr>
      <w:tabs>
        <w:tab w:val="left" w:pos="0"/>
        <w:tab w:val="left" w:pos="870"/>
        <w:tab w:val="left" w:pos="3150"/>
      </w:tabs>
      <w:autoSpaceDE w:val="0"/>
      <w:autoSpaceDN w:val="0"/>
      <w:spacing w:line="360" w:lineRule="auto"/>
      <w:ind w:firstLine="480" w:firstLineChars="200"/>
    </w:pPr>
    <w:rPr>
      <w:kern w:val="0"/>
      <w:sz w:val="24"/>
    </w:rPr>
  </w:style>
  <w:style w:type="character" w:customStyle="1" w:styleId="130">
    <w:name w:val="正文居中 Char"/>
    <w:link w:val="131"/>
    <w:autoRedefine/>
    <w:qFormat/>
    <w:locked/>
    <w:uiPriority w:val="0"/>
    <w:rPr>
      <w:snapToGrid w:val="0"/>
      <w:kern w:val="28"/>
      <w:sz w:val="28"/>
      <w:lang w:val="en-US" w:eastAsia="zh-CN"/>
    </w:rPr>
  </w:style>
  <w:style w:type="paragraph" w:customStyle="1" w:styleId="131">
    <w:name w:val="正文居中"/>
    <w:basedOn w:val="1"/>
    <w:link w:val="130"/>
    <w:autoRedefine/>
    <w:qFormat/>
    <w:uiPriority w:val="0"/>
    <w:pPr>
      <w:widowControl/>
      <w:topLinePunct/>
      <w:adjustRightInd w:val="0"/>
      <w:snapToGrid w:val="0"/>
      <w:spacing w:line="324" w:lineRule="auto"/>
      <w:jc w:val="center"/>
    </w:pPr>
    <w:rPr>
      <w:snapToGrid w:val="0"/>
      <w:kern w:val="28"/>
      <w:sz w:val="28"/>
      <w:szCs w:val="20"/>
    </w:rPr>
  </w:style>
  <w:style w:type="character" w:customStyle="1" w:styleId="132">
    <w:name w:val="表字居中 Char"/>
    <w:link w:val="133"/>
    <w:autoRedefine/>
    <w:qFormat/>
    <w:uiPriority w:val="0"/>
    <w:rPr>
      <w:spacing w:val="-4"/>
      <w:sz w:val="21"/>
      <w:szCs w:val="21"/>
      <w:lang w:val="zh-CN"/>
    </w:rPr>
  </w:style>
  <w:style w:type="paragraph" w:customStyle="1" w:styleId="133">
    <w:name w:val="表字居中"/>
    <w:basedOn w:val="1"/>
    <w:link w:val="132"/>
    <w:autoRedefine/>
    <w:qFormat/>
    <w:uiPriority w:val="0"/>
    <w:pPr>
      <w:spacing w:line="320" w:lineRule="exact"/>
      <w:jc w:val="center"/>
    </w:pPr>
    <w:rPr>
      <w:spacing w:val="-4"/>
      <w:kern w:val="0"/>
      <w:szCs w:val="21"/>
      <w:lang w:val="zh-CN"/>
    </w:rPr>
  </w:style>
  <w:style w:type="character" w:customStyle="1" w:styleId="134">
    <w:name w:val="正文（自定义） Char"/>
    <w:link w:val="135"/>
    <w:autoRedefine/>
    <w:qFormat/>
    <w:uiPriority w:val="0"/>
    <w:rPr>
      <w:rFonts w:ascii="Calibri" w:hAnsi="Calibri"/>
      <w:sz w:val="24"/>
      <w:szCs w:val="22"/>
      <w:lang w:bidi="en-US"/>
    </w:rPr>
  </w:style>
  <w:style w:type="paragraph" w:customStyle="1" w:styleId="135">
    <w:name w:val="正文（自定义）"/>
    <w:basedOn w:val="1"/>
    <w:link w:val="134"/>
    <w:autoRedefine/>
    <w:qFormat/>
    <w:uiPriority w:val="0"/>
    <w:pPr>
      <w:widowControl/>
      <w:spacing w:line="360" w:lineRule="auto"/>
      <w:ind w:firstLine="200" w:firstLineChars="200"/>
      <w:jc w:val="left"/>
    </w:pPr>
    <w:rPr>
      <w:rFonts w:ascii="Calibri" w:hAnsi="Calibri"/>
      <w:kern w:val="0"/>
      <w:sz w:val="24"/>
      <w:szCs w:val="22"/>
      <w:lang w:bidi="en-US"/>
    </w:rPr>
  </w:style>
  <w:style w:type="character" w:customStyle="1" w:styleId="136">
    <w:name w:val="表题注 Char"/>
    <w:link w:val="137"/>
    <w:autoRedefine/>
    <w:qFormat/>
    <w:uiPriority w:val="0"/>
    <w:rPr>
      <w:b/>
      <w:color w:val="000000"/>
      <w:kern w:val="2"/>
      <w:sz w:val="24"/>
    </w:rPr>
  </w:style>
  <w:style w:type="paragraph" w:customStyle="1" w:styleId="137">
    <w:name w:val="表题注"/>
    <w:basedOn w:val="16"/>
    <w:next w:val="15"/>
    <w:link w:val="136"/>
    <w:autoRedefine/>
    <w:qFormat/>
    <w:uiPriority w:val="0"/>
    <w:pPr>
      <w:ind w:firstLine="422"/>
      <w:jc w:val="center"/>
    </w:pPr>
    <w:rPr>
      <w:color w:val="000000"/>
      <w:sz w:val="24"/>
      <w:szCs w:val="20"/>
    </w:rPr>
  </w:style>
  <w:style w:type="character" w:customStyle="1" w:styleId="138">
    <w:name w:val="表格文字 Char"/>
    <w:link w:val="139"/>
    <w:autoRedefine/>
    <w:qFormat/>
    <w:uiPriority w:val="0"/>
    <w:rPr>
      <w:kern w:val="2"/>
      <w:sz w:val="21"/>
      <w:szCs w:val="21"/>
    </w:rPr>
  </w:style>
  <w:style w:type="paragraph" w:customStyle="1" w:styleId="139">
    <w:name w:val="表格文字"/>
    <w:basedOn w:val="9"/>
    <w:link w:val="138"/>
    <w:autoRedefine/>
    <w:qFormat/>
    <w:uiPriority w:val="0"/>
    <w:pPr>
      <w:widowControl w:val="0"/>
      <w:snapToGrid/>
      <w:spacing w:before="0" w:after="0" w:line="240" w:lineRule="auto"/>
      <w:ind w:right="0"/>
    </w:pPr>
    <w:rPr>
      <w:kern w:val="2"/>
      <w:sz w:val="21"/>
      <w:szCs w:val="21"/>
    </w:rPr>
  </w:style>
  <w:style w:type="character" w:customStyle="1" w:styleId="140">
    <w:name w:val="轧制表2 Char"/>
    <w:autoRedefine/>
    <w:qFormat/>
    <w:uiPriority w:val="0"/>
    <w:rPr>
      <w:rFonts w:ascii="宋体" w:hAnsi="Courier New" w:eastAsia="宋体" w:cs="Courier New"/>
      <w:szCs w:val="21"/>
    </w:rPr>
  </w:style>
  <w:style w:type="paragraph" w:customStyle="1" w:styleId="141">
    <w:name w:val="表格1-02"/>
    <w:basedOn w:val="1"/>
    <w:autoRedefine/>
    <w:qFormat/>
    <w:uiPriority w:val="0"/>
    <w:pPr>
      <w:tabs>
        <w:tab w:val="left" w:pos="540"/>
      </w:tabs>
      <w:adjustRightInd w:val="0"/>
      <w:snapToGrid w:val="0"/>
      <w:jc w:val="center"/>
    </w:pPr>
    <w:rPr>
      <w:kern w:val="0"/>
      <w:szCs w:val="21"/>
    </w:rPr>
  </w:style>
  <w:style w:type="paragraph" w:customStyle="1" w:styleId="142">
    <w:name w:val="Char Char Char Char"/>
    <w:basedOn w:val="1"/>
    <w:autoRedefine/>
    <w:qFormat/>
    <w:uiPriority w:val="0"/>
    <w:pPr>
      <w:snapToGrid w:val="0"/>
      <w:spacing w:line="360" w:lineRule="auto"/>
      <w:ind w:firstLine="200" w:firstLineChars="200"/>
    </w:pPr>
    <w:rPr>
      <w:rFonts w:eastAsia="仿宋_GB2312"/>
      <w:sz w:val="24"/>
    </w:rPr>
  </w:style>
  <w:style w:type="paragraph" w:customStyle="1" w:styleId="143">
    <w:name w:val="表题1"/>
    <w:basedOn w:val="1"/>
    <w:autoRedefine/>
    <w:qFormat/>
    <w:uiPriority w:val="0"/>
    <w:pPr>
      <w:spacing w:beforeLines="50"/>
      <w:jc w:val="center"/>
    </w:pPr>
    <w:rPr>
      <w:b/>
      <w:sz w:val="24"/>
      <w:szCs w:val="20"/>
    </w:rPr>
  </w:style>
  <w:style w:type="paragraph" w:customStyle="1" w:styleId="144">
    <w:name w:val="Body 2"/>
    <w:basedOn w:val="1"/>
    <w:autoRedefine/>
    <w:qFormat/>
    <w:uiPriority w:val="0"/>
    <w:pPr>
      <w:widowControl/>
      <w:spacing w:after="120" w:line="360" w:lineRule="auto"/>
      <w:jc w:val="left"/>
    </w:pPr>
    <w:rPr>
      <w:rFonts w:ascii="Arial" w:hAnsi="Arial"/>
      <w:kern w:val="0"/>
      <w:sz w:val="22"/>
      <w:szCs w:val="20"/>
    </w:rPr>
  </w:style>
  <w:style w:type="paragraph" w:customStyle="1" w:styleId="145">
    <w:name w:val="表头 Char Char"/>
    <w:basedOn w:val="1"/>
    <w:autoRedefine/>
    <w:qFormat/>
    <w:uiPriority w:val="0"/>
    <w:pPr>
      <w:tabs>
        <w:tab w:val="left" w:pos="1021"/>
      </w:tabs>
      <w:spacing w:line="460" w:lineRule="exact"/>
      <w:ind w:firstLine="472" w:firstLineChars="196"/>
    </w:pPr>
    <w:rPr>
      <w:rFonts w:ascii="Calibri" w:hAnsi="Calibri"/>
      <w:bCs/>
      <w:sz w:val="24"/>
    </w:rPr>
  </w:style>
  <w:style w:type="paragraph" w:customStyle="1" w:styleId="146">
    <w:name w:val="Char1"/>
    <w:basedOn w:val="1"/>
    <w:autoRedefine/>
    <w:qFormat/>
    <w:uiPriority w:val="0"/>
    <w:pPr>
      <w:keepNext/>
      <w:keepLines/>
      <w:tabs>
        <w:tab w:val="left" w:pos="2160"/>
      </w:tabs>
      <w:adjustRightInd w:val="0"/>
      <w:snapToGrid w:val="0"/>
      <w:spacing w:before="120" w:after="120" w:line="360" w:lineRule="auto"/>
      <w:ind w:left="2160" w:hanging="420"/>
      <w:outlineLvl w:val="3"/>
    </w:pPr>
    <w:rPr>
      <w:rFonts w:ascii="Arial" w:hAnsi="Arial"/>
      <w:bCs/>
      <w:kern w:val="0"/>
      <w:sz w:val="28"/>
      <w:szCs w:val="21"/>
    </w:rPr>
  </w:style>
  <w:style w:type="paragraph" w:customStyle="1" w:styleId="147">
    <w:name w:val="Heading 3"/>
    <w:basedOn w:val="1"/>
    <w:autoRedefine/>
    <w:qFormat/>
    <w:uiPriority w:val="1"/>
    <w:pPr>
      <w:autoSpaceDE w:val="0"/>
      <w:autoSpaceDN w:val="0"/>
      <w:adjustRightInd w:val="0"/>
      <w:spacing w:before="148" w:line="360" w:lineRule="auto"/>
      <w:ind w:left="241"/>
      <w:jc w:val="left"/>
      <w:outlineLvl w:val="2"/>
    </w:pPr>
    <w:rPr>
      <w:rFonts w:ascii="宋体" w:cs="宋体"/>
      <w:b/>
      <w:bCs/>
      <w:kern w:val="0"/>
      <w:sz w:val="28"/>
      <w:szCs w:val="28"/>
    </w:rPr>
  </w:style>
  <w:style w:type="paragraph" w:customStyle="1" w:styleId="148">
    <w:name w:val="Char Char Char Char Char Char1 Char"/>
    <w:basedOn w:val="1"/>
    <w:autoRedefine/>
    <w:qFormat/>
    <w:uiPriority w:val="0"/>
    <w:pPr>
      <w:tabs>
        <w:tab w:val="left" w:pos="360"/>
      </w:tabs>
    </w:pPr>
  </w:style>
  <w:style w:type="paragraph" w:customStyle="1" w:styleId="149">
    <w:name w:val="灾标2"/>
    <w:next w:val="1"/>
    <w:autoRedefine/>
    <w:qFormat/>
    <w:uiPriority w:val="0"/>
    <w:pPr>
      <w:spacing w:beforeLines="100" w:afterLines="50"/>
      <w:ind w:left="592" w:leftChars="282"/>
      <w:outlineLvl w:val="1"/>
    </w:pPr>
    <w:rPr>
      <w:rFonts w:ascii="Times New Roman" w:hAnsi="Times New Roman" w:eastAsia="宋体" w:cs="Times New Roman"/>
      <w:b/>
      <w:sz w:val="30"/>
      <w:szCs w:val="30"/>
      <w:lang w:val="en-US" w:eastAsia="zh-CN" w:bidi="ar-SA"/>
    </w:rPr>
  </w:style>
  <w:style w:type="paragraph" w:customStyle="1" w:styleId="150">
    <w:name w:val="1文章"/>
    <w:basedOn w:val="1"/>
    <w:autoRedefine/>
    <w:qFormat/>
    <w:uiPriority w:val="0"/>
    <w:pPr>
      <w:snapToGrid w:val="0"/>
      <w:spacing w:line="360" w:lineRule="auto"/>
      <w:ind w:firstLine="573"/>
    </w:pPr>
    <w:rPr>
      <w:rFonts w:eastAsia="仿宋_GB2312"/>
      <w:sz w:val="28"/>
      <w:szCs w:val="20"/>
    </w:rPr>
  </w:style>
  <w:style w:type="paragraph" w:customStyle="1" w:styleId="151">
    <w:name w:val="p正文"/>
    <w:basedOn w:val="1"/>
    <w:autoRedefine/>
    <w:qFormat/>
    <w:uiPriority w:val="0"/>
    <w:pPr>
      <w:spacing w:line="440" w:lineRule="exact"/>
      <w:ind w:firstLine="200" w:firstLineChars="200"/>
    </w:pPr>
    <w:rPr>
      <w:sz w:val="24"/>
      <w:szCs w:val="20"/>
    </w:rPr>
  </w:style>
  <w:style w:type="paragraph" w:customStyle="1" w:styleId="152">
    <w:name w:val="xl31"/>
    <w:basedOn w:val="1"/>
    <w:autoRedefine/>
    <w:qFormat/>
    <w:uiPriority w:val="0"/>
    <w:pPr>
      <w:widowControl/>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153">
    <w:name w:val="表格 23"/>
    <w:basedOn w:val="1"/>
    <w:autoRedefine/>
    <w:qFormat/>
    <w:uiPriority w:val="0"/>
    <w:pPr>
      <w:autoSpaceDE w:val="0"/>
      <w:autoSpaceDN w:val="0"/>
      <w:adjustRightInd w:val="0"/>
      <w:jc w:val="center"/>
    </w:pPr>
    <w:rPr>
      <w:rFonts w:eastAsia="仿宋体"/>
      <w:kern w:val="0"/>
      <w:szCs w:val="20"/>
    </w:rPr>
  </w:style>
  <w:style w:type="paragraph" w:customStyle="1" w:styleId="154">
    <w:name w:val="Char Char Char Char1"/>
    <w:basedOn w:val="1"/>
    <w:next w:val="1"/>
    <w:autoRedefine/>
    <w:qFormat/>
    <w:uiPriority w:val="0"/>
    <w:pPr>
      <w:spacing w:line="360" w:lineRule="auto"/>
      <w:ind w:firstLine="200" w:firstLineChars="200"/>
    </w:pPr>
  </w:style>
  <w:style w:type="paragraph" w:customStyle="1" w:styleId="155">
    <w:name w:val="项目2"/>
    <w:basedOn w:val="1"/>
    <w:autoRedefine/>
    <w:qFormat/>
    <w:uiPriority w:val="0"/>
    <w:pPr>
      <w:spacing w:line="360" w:lineRule="auto"/>
      <w:ind w:left="720" w:hanging="720"/>
    </w:pPr>
    <w:rPr>
      <w:szCs w:val="21"/>
    </w:rPr>
  </w:style>
  <w:style w:type="paragraph" w:customStyle="1" w:styleId="156">
    <w:name w:val="单元格格式"/>
    <w:autoRedefine/>
    <w:qFormat/>
    <w:uiPriority w:val="0"/>
    <w:pPr>
      <w:widowControl w:val="0"/>
      <w:adjustRightInd w:val="0"/>
      <w:spacing w:before="60" w:after="60" w:line="280" w:lineRule="exact"/>
      <w:jc w:val="center"/>
    </w:pPr>
    <w:rPr>
      <w:rFonts w:ascii="宋体" w:hAnsi="宋体" w:eastAsia="宋体" w:cs="Times New Roman"/>
      <w:sz w:val="28"/>
      <w:lang w:val="en-US" w:eastAsia="zh-CN" w:bidi="ar-SA"/>
    </w:rPr>
  </w:style>
  <w:style w:type="paragraph" w:customStyle="1" w:styleId="157">
    <w:name w:val="Char"/>
    <w:basedOn w:val="1"/>
    <w:autoRedefine/>
    <w:qFormat/>
    <w:uiPriority w:val="0"/>
  </w:style>
  <w:style w:type="paragraph" w:customStyle="1" w:styleId="158">
    <w:name w:val="正文3"/>
    <w:autoRedefine/>
    <w:semiHidden/>
    <w:qFormat/>
    <w:uiPriority w:val="99"/>
    <w:pPr>
      <w:spacing w:line="360" w:lineRule="auto"/>
      <w:ind w:firstLine="200" w:firstLineChars="200"/>
    </w:pPr>
    <w:rPr>
      <w:rFonts w:ascii="Times New Roman" w:hAnsi="Times New Roman" w:eastAsia="宋体" w:cs="Times New Roman"/>
      <w:sz w:val="24"/>
      <w:szCs w:val="22"/>
      <w:lang w:val="en-US" w:eastAsia="zh-CN" w:bidi="ar-SA"/>
    </w:rPr>
  </w:style>
  <w:style w:type="paragraph" w:customStyle="1" w:styleId="159">
    <w:name w:val="Char Char Char Char Char Char Char Char Char Char Char Char Char Char Char1 Char Char Char Char Char Char Char Char Char Char Char Char Char"/>
    <w:basedOn w:val="1"/>
    <w:autoRedefine/>
    <w:qFormat/>
    <w:uiPriority w:val="0"/>
    <w:pPr>
      <w:autoSpaceDE w:val="0"/>
      <w:autoSpaceDN w:val="0"/>
      <w:adjustRightInd w:val="0"/>
      <w:snapToGrid w:val="0"/>
      <w:spacing w:before="50" w:after="50" w:line="360" w:lineRule="auto"/>
      <w:ind w:firstLine="560" w:firstLineChars="200"/>
    </w:pPr>
    <w:rPr>
      <w:rFonts w:eastAsia="仿宋_GB2312"/>
      <w:color w:val="000000"/>
      <w:sz w:val="24"/>
    </w:rPr>
  </w:style>
  <w:style w:type="paragraph" w:customStyle="1" w:styleId="160">
    <w:name w:val="Char2"/>
    <w:basedOn w:val="1"/>
    <w:autoRedefine/>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161">
    <w:name w:val="表格文字2"/>
    <w:basedOn w:val="1"/>
    <w:autoRedefine/>
    <w:qFormat/>
    <w:uiPriority w:val="0"/>
    <w:pPr>
      <w:tabs>
        <w:tab w:val="left" w:pos="277"/>
        <w:tab w:val="left" w:pos="600"/>
        <w:tab w:val="left" w:pos="780"/>
        <w:tab w:val="left" w:pos="2517"/>
      </w:tabs>
      <w:adjustRightInd w:val="0"/>
      <w:jc w:val="center"/>
      <w:textAlignment w:val="baseline"/>
    </w:pPr>
    <w:rPr>
      <w:rFonts w:cs="宋体"/>
      <w:kern w:val="0"/>
      <w:szCs w:val="21"/>
    </w:rPr>
  </w:style>
  <w:style w:type="paragraph" w:customStyle="1" w:styleId="162">
    <w:name w:val="君邦正文"/>
    <w:autoRedefine/>
    <w:qFormat/>
    <w:uiPriority w:val="0"/>
    <w:pPr>
      <w:spacing w:after="60" w:line="360" w:lineRule="auto"/>
      <w:ind w:firstLine="480" w:firstLineChars="200"/>
      <w:jc w:val="both"/>
    </w:pPr>
    <w:rPr>
      <w:rFonts w:ascii="Times New Roman" w:hAnsi="Times New Roman" w:eastAsia="宋体" w:cs="Times New Roman"/>
      <w:bCs/>
      <w:snapToGrid w:val="0"/>
      <w:sz w:val="24"/>
      <w:lang w:val="en-US" w:eastAsia="zh-CN" w:bidi="ar-SA"/>
    </w:rPr>
  </w:style>
  <w:style w:type="paragraph" w:customStyle="1" w:styleId="163">
    <w:name w:val="样式8"/>
    <w:basedOn w:val="1"/>
    <w:autoRedefine/>
    <w:qFormat/>
    <w:uiPriority w:val="0"/>
    <w:pPr>
      <w:adjustRightInd w:val="0"/>
      <w:snapToGrid w:val="0"/>
      <w:jc w:val="center"/>
    </w:pPr>
    <w:rPr>
      <w:rFonts w:ascii="仿宋" w:hAnsi="仿宋" w:eastAsia="仿宋"/>
      <w:szCs w:val="21"/>
    </w:rPr>
  </w:style>
  <w:style w:type="paragraph" w:customStyle="1" w:styleId="164">
    <w:name w:val="正文5"/>
    <w:autoRedefine/>
    <w:qFormat/>
    <w:uiPriority w:val="0"/>
    <w:pPr>
      <w:spacing w:line="360" w:lineRule="auto"/>
      <w:ind w:firstLine="200" w:firstLineChars="200"/>
    </w:pPr>
    <w:rPr>
      <w:rFonts w:ascii="Times New Roman" w:hAnsi="Times New Roman" w:eastAsia="宋体" w:cs="宋体"/>
      <w:sz w:val="24"/>
      <w:szCs w:val="22"/>
      <w:lang w:val="en-US" w:eastAsia="zh-CN" w:bidi="ar-SA"/>
    </w:rPr>
  </w:style>
  <w:style w:type="paragraph" w:customStyle="1" w:styleId="165">
    <w:name w:val="表文(G)"/>
    <w:basedOn w:val="1"/>
    <w:autoRedefine/>
    <w:qFormat/>
    <w:uiPriority w:val="0"/>
    <w:pPr>
      <w:tabs>
        <w:tab w:val="left" w:pos="1021"/>
      </w:tabs>
      <w:jc w:val="center"/>
    </w:pPr>
    <w:rPr>
      <w:rFonts w:hAnsi="宋体"/>
      <w:kern w:val="0"/>
      <w:position w:val="-24"/>
      <w:szCs w:val="21"/>
    </w:rPr>
  </w:style>
  <w:style w:type="paragraph" w:styleId="166">
    <w:name w:val="List Paragraph"/>
    <w:basedOn w:val="1"/>
    <w:autoRedefine/>
    <w:qFormat/>
    <w:uiPriority w:val="0"/>
    <w:pPr>
      <w:ind w:firstLine="420" w:firstLineChars="200"/>
    </w:pPr>
    <w:rPr>
      <w:sz w:val="24"/>
    </w:rPr>
  </w:style>
  <w:style w:type="character" w:customStyle="1" w:styleId="167">
    <w:name w:val="表格1 Char"/>
    <w:link w:val="168"/>
    <w:autoRedefine/>
    <w:qFormat/>
    <w:uiPriority w:val="0"/>
    <w:rPr>
      <w:rFonts w:ascii="宋体" w:hAnsi="Impact"/>
      <w:kern w:val="24"/>
      <w:sz w:val="28"/>
    </w:rPr>
  </w:style>
  <w:style w:type="paragraph" w:customStyle="1" w:styleId="168">
    <w:name w:val="表格1"/>
    <w:basedOn w:val="1"/>
    <w:next w:val="1"/>
    <w:link w:val="167"/>
    <w:autoRedefine/>
    <w:qFormat/>
    <w:uiPriority w:val="0"/>
    <w:pPr>
      <w:topLinePunct/>
      <w:autoSpaceDE w:val="0"/>
      <w:autoSpaceDN w:val="0"/>
      <w:adjustRightInd w:val="0"/>
      <w:jc w:val="center"/>
      <w:textAlignment w:val="baseline"/>
    </w:pPr>
    <w:rPr>
      <w:rFonts w:ascii="宋体" w:hAnsi="Impact"/>
      <w:kern w:val="24"/>
      <w:sz w:val="28"/>
      <w:szCs w:val="20"/>
    </w:rPr>
  </w:style>
  <w:style w:type="paragraph" w:customStyle="1" w:styleId="169">
    <w:name w:val="表内容"/>
    <w:basedOn w:val="1"/>
    <w:autoRedefine/>
    <w:qFormat/>
    <w:uiPriority w:val="0"/>
    <w:pPr>
      <w:spacing w:line="320" w:lineRule="exact"/>
      <w:jc w:val="center"/>
    </w:pPr>
    <w:rPr>
      <w:szCs w:val="20"/>
    </w:rPr>
  </w:style>
  <w:style w:type="paragraph" w:customStyle="1" w:styleId="170">
    <w:name w:val="正文 + 小四"/>
    <w:basedOn w:val="1"/>
    <w:autoRedefine/>
    <w:qFormat/>
    <w:uiPriority w:val="0"/>
    <w:pPr>
      <w:spacing w:line="480" w:lineRule="exact"/>
      <w:ind w:firstLine="420" w:firstLineChars="200"/>
    </w:pPr>
    <w:rPr>
      <w:color w:val="000000"/>
      <w:sz w:val="24"/>
      <w:szCs w:val="21"/>
    </w:rPr>
  </w:style>
  <w:style w:type="paragraph" w:customStyle="1" w:styleId="171">
    <w:name w:val="表图题"/>
    <w:basedOn w:val="1"/>
    <w:autoRedefine/>
    <w:qFormat/>
    <w:uiPriority w:val="0"/>
    <w:pPr>
      <w:spacing w:line="440" w:lineRule="exact"/>
      <w:jc w:val="center"/>
    </w:pPr>
    <w:rPr>
      <w:rFonts w:ascii="Calibri" w:hAnsi="Calibri" w:eastAsia="华文细黑"/>
      <w:b/>
      <w:szCs w:val="28"/>
    </w:rPr>
  </w:style>
  <w:style w:type="paragraph" w:customStyle="1" w:styleId="172">
    <w:name w:val="表格正文"/>
    <w:basedOn w:val="1"/>
    <w:autoRedefine/>
    <w:qFormat/>
    <w:uiPriority w:val="0"/>
    <w:pPr>
      <w:spacing w:line="360" w:lineRule="exact"/>
      <w:jc w:val="center"/>
    </w:pPr>
    <w:rPr>
      <w:rFonts w:ascii="Calibri" w:hAnsi="Calibri"/>
      <w:snapToGrid w:val="0"/>
      <w:kern w:val="0"/>
    </w:rPr>
  </w:style>
  <w:style w:type="character" w:customStyle="1" w:styleId="173">
    <w:name w:val="表格文字 Char Char"/>
    <w:autoRedefine/>
    <w:qFormat/>
    <w:uiPriority w:val="0"/>
    <w:rPr>
      <w:rFonts w:ascii="宋体" w:hAnsi="宋体" w:eastAsia="宋体"/>
      <w:kern w:val="2"/>
      <w:sz w:val="21"/>
      <w:szCs w:val="18"/>
      <w:lang w:val="en-US" w:eastAsia="zh-CN" w:bidi="ar-SA"/>
    </w:rPr>
  </w:style>
  <w:style w:type="character" w:customStyle="1" w:styleId="174">
    <w:name w:val="font41"/>
    <w:autoRedefine/>
    <w:qFormat/>
    <w:uiPriority w:val="0"/>
    <w:rPr>
      <w:rFonts w:hint="default" w:ascii="Times New Roman" w:hAnsi="Times New Roman" w:cs="Times New Roman"/>
      <w:color w:val="000000"/>
      <w:sz w:val="18"/>
      <w:szCs w:val="18"/>
      <w:u w:val="none"/>
    </w:rPr>
  </w:style>
  <w:style w:type="character" w:customStyle="1" w:styleId="175">
    <w:name w:val="批注文字 字符"/>
    <w:autoRedefine/>
    <w:qFormat/>
    <w:uiPriority w:val="0"/>
    <w:rPr>
      <w:kern w:val="2"/>
      <w:sz w:val="21"/>
      <w:szCs w:val="24"/>
    </w:rPr>
  </w:style>
  <w:style w:type="character" w:customStyle="1" w:styleId="176">
    <w:name w:val="样式 小四 居中 Char"/>
    <w:link w:val="177"/>
    <w:autoRedefine/>
    <w:qFormat/>
    <w:uiPriority w:val="0"/>
    <w:rPr>
      <w:rFonts w:cs="宋体"/>
      <w:kern w:val="2"/>
      <w:sz w:val="21"/>
    </w:rPr>
  </w:style>
  <w:style w:type="paragraph" w:customStyle="1" w:styleId="177">
    <w:name w:val="样式 小四 居中"/>
    <w:basedOn w:val="1"/>
    <w:link w:val="176"/>
    <w:autoRedefine/>
    <w:qFormat/>
    <w:uiPriority w:val="0"/>
    <w:pPr>
      <w:jc w:val="center"/>
    </w:pPr>
    <w:rPr>
      <w:szCs w:val="20"/>
    </w:rPr>
  </w:style>
  <w:style w:type="character" w:customStyle="1" w:styleId="178">
    <w:name w:val="正文缩进 字符"/>
    <w:autoRedefine/>
    <w:qFormat/>
    <w:uiPriority w:val="0"/>
    <w:rPr>
      <w:rFonts w:ascii="宋体" w:hAnsi="宋体" w:eastAsia="宋体"/>
      <w:kern w:val="2"/>
      <w:sz w:val="21"/>
      <w:szCs w:val="24"/>
      <w:lang w:val="en-US" w:eastAsia="zh-CN" w:bidi="ar-SA"/>
    </w:rPr>
  </w:style>
  <w:style w:type="character" w:customStyle="1" w:styleId="179">
    <w:name w:val="font11"/>
    <w:basedOn w:val="47"/>
    <w:autoRedefine/>
    <w:qFormat/>
    <w:uiPriority w:val="0"/>
    <w:rPr>
      <w:rFonts w:hint="default" w:ascii="Times New Roman" w:hAnsi="Times New Roman" w:cs="Times New Roman"/>
      <w:color w:val="000000"/>
      <w:sz w:val="18"/>
      <w:szCs w:val="18"/>
      <w:u w:val="none"/>
      <w:vertAlign w:val="superscript"/>
    </w:rPr>
  </w:style>
  <w:style w:type="character" w:customStyle="1" w:styleId="180">
    <w:name w:val="正文首行缩进 2 + Times New Roman Char Char"/>
    <w:autoRedefine/>
    <w:qFormat/>
    <w:uiPriority w:val="0"/>
    <w:rPr>
      <w:sz w:val="24"/>
      <w:szCs w:val="24"/>
    </w:rPr>
  </w:style>
  <w:style w:type="character" w:customStyle="1" w:styleId="181">
    <w:name w:val="font21"/>
    <w:basedOn w:val="47"/>
    <w:autoRedefine/>
    <w:qFormat/>
    <w:uiPriority w:val="0"/>
    <w:rPr>
      <w:rFonts w:hint="default" w:ascii="Times New Roman" w:hAnsi="Times New Roman" w:cs="Times New Roman"/>
      <w:color w:val="000000"/>
      <w:sz w:val="18"/>
      <w:szCs w:val="18"/>
      <w:u w:val="none"/>
      <w:vertAlign w:val="subscript"/>
    </w:rPr>
  </w:style>
  <w:style w:type="character" w:customStyle="1" w:styleId="182">
    <w:name w:val="oblog_text"/>
    <w:basedOn w:val="47"/>
    <w:autoRedefine/>
    <w:qFormat/>
    <w:uiPriority w:val="0"/>
  </w:style>
  <w:style w:type="character" w:customStyle="1" w:styleId="183">
    <w:name w:val="文本正文 Char Char"/>
    <w:link w:val="184"/>
    <w:autoRedefine/>
    <w:qFormat/>
    <w:uiPriority w:val="0"/>
    <w:rPr>
      <w:rFonts w:cs="宋体"/>
      <w:sz w:val="28"/>
      <w:szCs w:val="28"/>
    </w:rPr>
  </w:style>
  <w:style w:type="paragraph" w:customStyle="1" w:styleId="184">
    <w:name w:val="文本正文"/>
    <w:basedOn w:val="1"/>
    <w:link w:val="183"/>
    <w:autoRedefine/>
    <w:qFormat/>
    <w:uiPriority w:val="0"/>
    <w:pPr>
      <w:snapToGrid w:val="0"/>
      <w:spacing w:line="360" w:lineRule="auto"/>
      <w:ind w:firstLine="560" w:firstLineChars="200"/>
      <w:jc w:val="left"/>
    </w:pPr>
    <w:rPr>
      <w:kern w:val="0"/>
      <w:sz w:val="28"/>
      <w:szCs w:val="28"/>
    </w:rPr>
  </w:style>
  <w:style w:type="character" w:customStyle="1" w:styleId="185">
    <w:name w:val="3级 Char Char"/>
    <w:link w:val="186"/>
    <w:autoRedefine/>
    <w:qFormat/>
    <w:uiPriority w:val="0"/>
    <w:rPr>
      <w:b/>
      <w:kern w:val="2"/>
      <w:sz w:val="28"/>
      <w:szCs w:val="24"/>
    </w:rPr>
  </w:style>
  <w:style w:type="paragraph" w:customStyle="1" w:styleId="186">
    <w:name w:val="3级"/>
    <w:basedOn w:val="1"/>
    <w:link w:val="185"/>
    <w:autoRedefine/>
    <w:qFormat/>
    <w:uiPriority w:val="0"/>
    <w:pPr>
      <w:tabs>
        <w:tab w:val="left" w:pos="425"/>
      </w:tabs>
      <w:spacing w:line="360" w:lineRule="auto"/>
      <w:ind w:left="1860" w:hanging="420"/>
      <w:jc w:val="left"/>
      <w:outlineLvl w:val="2"/>
    </w:pPr>
    <w:rPr>
      <w:b/>
      <w:sz w:val="28"/>
    </w:rPr>
  </w:style>
  <w:style w:type="character" w:customStyle="1" w:styleId="187">
    <w:name w:val="样式 样式 小四 段前: 7.8 磅 段后: 7.8 磅 行距: 1.5 倍行距 + 首行缩进:  2 字符 Char"/>
    <w:link w:val="188"/>
    <w:autoRedefine/>
    <w:qFormat/>
    <w:locked/>
    <w:uiPriority w:val="0"/>
    <w:rPr>
      <w:kern w:val="2"/>
      <w:sz w:val="24"/>
      <w:lang w:val="zh-CN"/>
    </w:rPr>
  </w:style>
  <w:style w:type="paragraph" w:customStyle="1" w:styleId="188">
    <w:name w:val="样式 样式 小四 段前: 7.8 磅 段后: 7.8 磅 行距: 1.5 倍行距 + 首行缩进:  2 字符"/>
    <w:basedOn w:val="1"/>
    <w:link w:val="187"/>
    <w:autoRedefine/>
    <w:qFormat/>
    <w:uiPriority w:val="0"/>
    <w:pPr>
      <w:spacing w:line="360" w:lineRule="auto"/>
      <w:ind w:firstLine="480" w:firstLineChars="200"/>
    </w:pPr>
    <w:rPr>
      <w:sz w:val="24"/>
      <w:szCs w:val="20"/>
      <w:lang w:val="zh-CN"/>
    </w:rPr>
  </w:style>
  <w:style w:type="character" w:customStyle="1" w:styleId="189">
    <w:name w:val="postbody1"/>
    <w:autoRedefine/>
    <w:qFormat/>
    <w:uiPriority w:val="0"/>
    <w:rPr>
      <w:sz w:val="21"/>
      <w:szCs w:val="21"/>
    </w:rPr>
  </w:style>
  <w:style w:type="character" w:customStyle="1" w:styleId="190">
    <w:name w:val="font31"/>
    <w:autoRedefine/>
    <w:qFormat/>
    <w:uiPriority w:val="0"/>
    <w:rPr>
      <w:rFonts w:hint="eastAsia" w:ascii="宋体" w:hAnsi="宋体" w:eastAsia="宋体" w:cs="宋体"/>
      <w:color w:val="000000"/>
      <w:sz w:val="18"/>
      <w:szCs w:val="18"/>
      <w:u w:val="none"/>
    </w:rPr>
  </w:style>
  <w:style w:type="character" w:customStyle="1" w:styleId="191">
    <w:name w:val="content1"/>
    <w:autoRedefine/>
    <w:qFormat/>
    <w:uiPriority w:val="0"/>
    <w:rPr>
      <w:color w:val="000000"/>
      <w:sz w:val="20"/>
      <w:szCs w:val="20"/>
    </w:rPr>
  </w:style>
  <w:style w:type="character" w:customStyle="1" w:styleId="192">
    <w:name w:val="hover8"/>
    <w:basedOn w:val="47"/>
    <w:autoRedefine/>
    <w:qFormat/>
    <w:uiPriority w:val="0"/>
    <w:rPr>
      <w:color w:val="1258AD"/>
      <w:u w:val="none"/>
      <w:bdr w:val="single" w:color="0199E4" w:sz="6" w:space="0"/>
    </w:rPr>
  </w:style>
  <w:style w:type="character" w:customStyle="1" w:styleId="193">
    <w:name w:val="称呼 Char"/>
    <w:autoRedefine/>
    <w:qFormat/>
    <w:uiPriority w:val="0"/>
    <w:rPr>
      <w:kern w:val="2"/>
      <w:sz w:val="21"/>
      <w:szCs w:val="24"/>
    </w:rPr>
  </w:style>
  <w:style w:type="character" w:customStyle="1" w:styleId="194">
    <w:name w:val="称呼 字符1"/>
    <w:autoRedefine/>
    <w:qFormat/>
    <w:uiPriority w:val="0"/>
    <w:rPr>
      <w:kern w:val="2"/>
      <w:sz w:val="21"/>
      <w:szCs w:val="24"/>
    </w:rPr>
  </w:style>
  <w:style w:type="character" w:customStyle="1" w:styleId="195">
    <w:name w:val="表格字体 Char"/>
    <w:link w:val="196"/>
    <w:autoRedefine/>
    <w:qFormat/>
    <w:uiPriority w:val="0"/>
    <w:rPr>
      <w:rFonts w:ascii="Arial" w:hAnsi="Arial"/>
      <w:kern w:val="2"/>
      <w:sz w:val="21"/>
    </w:rPr>
  </w:style>
  <w:style w:type="paragraph" w:customStyle="1" w:styleId="196">
    <w:name w:val="表格字体"/>
    <w:basedOn w:val="1"/>
    <w:link w:val="195"/>
    <w:autoRedefine/>
    <w:qFormat/>
    <w:uiPriority w:val="0"/>
    <w:pPr>
      <w:jc w:val="center"/>
    </w:pPr>
    <w:rPr>
      <w:rFonts w:ascii="Arial" w:hAnsi="Arial"/>
      <w:szCs w:val="20"/>
    </w:rPr>
  </w:style>
  <w:style w:type="character" w:customStyle="1" w:styleId="197">
    <w:name w:val="表头 Char Char Char"/>
    <w:autoRedefine/>
    <w:qFormat/>
    <w:uiPriority w:val="0"/>
    <w:rPr>
      <w:b/>
      <w:color w:val="000000"/>
      <w:kern w:val="24"/>
      <w:sz w:val="21"/>
      <w:szCs w:val="21"/>
      <w:u w:val="none"/>
    </w:rPr>
  </w:style>
  <w:style w:type="character" w:customStyle="1" w:styleId="198">
    <w:name w:val="纯文本 字符"/>
    <w:autoRedefine/>
    <w:qFormat/>
    <w:uiPriority w:val="0"/>
    <w:rPr>
      <w:rFonts w:ascii="宋体" w:hAnsi="Courier New"/>
      <w:kern w:val="2"/>
      <w:sz w:val="28"/>
    </w:rPr>
  </w:style>
  <w:style w:type="character" w:customStyle="1" w:styleId="199">
    <w:name w:val="称呼 Char1"/>
    <w:autoRedefine/>
    <w:qFormat/>
    <w:uiPriority w:val="0"/>
    <w:rPr>
      <w:kern w:val="2"/>
      <w:sz w:val="21"/>
      <w:szCs w:val="24"/>
    </w:rPr>
  </w:style>
  <w:style w:type="paragraph" w:customStyle="1" w:styleId="200">
    <w:name w:val="环评表内容"/>
    <w:basedOn w:val="1"/>
    <w:autoRedefine/>
    <w:qFormat/>
    <w:uiPriority w:val="0"/>
    <w:pPr>
      <w:spacing w:line="260" w:lineRule="exact"/>
      <w:jc w:val="center"/>
    </w:pPr>
    <w:rPr>
      <w:rFonts w:ascii="Tahoma" w:hAnsi="Tahoma" w:cs="Tahoma"/>
      <w:szCs w:val="20"/>
    </w:rPr>
  </w:style>
  <w:style w:type="paragraph" w:customStyle="1" w:styleId="201">
    <w:name w:val="列出段落1"/>
    <w:basedOn w:val="1"/>
    <w:autoRedefine/>
    <w:qFormat/>
    <w:uiPriority w:val="0"/>
    <w:pPr>
      <w:ind w:firstLine="420" w:firstLineChars="200"/>
    </w:pPr>
    <w:rPr>
      <w:sz w:val="24"/>
    </w:rPr>
  </w:style>
  <w:style w:type="paragraph" w:customStyle="1" w:styleId="202">
    <w:name w:val="1级"/>
    <w:basedOn w:val="1"/>
    <w:autoRedefine/>
    <w:qFormat/>
    <w:uiPriority w:val="0"/>
    <w:pPr>
      <w:tabs>
        <w:tab w:val="left" w:pos="425"/>
      </w:tabs>
      <w:spacing w:line="360" w:lineRule="auto"/>
      <w:ind w:left="425" w:hanging="425"/>
      <w:jc w:val="center"/>
      <w:outlineLvl w:val="0"/>
    </w:pPr>
    <w:rPr>
      <w:b/>
      <w:sz w:val="32"/>
    </w:rPr>
  </w:style>
  <w:style w:type="paragraph" w:customStyle="1" w:styleId="203">
    <w:name w:val="环评小节标题"/>
    <w:basedOn w:val="10"/>
    <w:next w:val="204"/>
    <w:autoRedefine/>
    <w:qFormat/>
    <w:uiPriority w:val="0"/>
    <w:pPr>
      <w:tabs>
        <w:tab w:val="left" w:pos="720"/>
      </w:tabs>
      <w:spacing w:beforeLines="80" w:afterLines="50" w:line="240" w:lineRule="auto"/>
      <w:ind w:left="900" w:hanging="720"/>
      <w:jc w:val="left"/>
    </w:pPr>
    <w:rPr>
      <w:rFonts w:ascii="Tahoma" w:hAnsi="Tahoma"/>
      <w:bCs w:val="0"/>
      <w:sz w:val="24"/>
      <w:szCs w:val="20"/>
    </w:rPr>
  </w:style>
  <w:style w:type="paragraph" w:customStyle="1" w:styleId="204">
    <w:name w:val="环评正文"/>
    <w:basedOn w:val="1"/>
    <w:autoRedefine/>
    <w:qFormat/>
    <w:uiPriority w:val="0"/>
    <w:pPr>
      <w:spacing w:beforeLines="30"/>
      <w:ind w:firstLine="480" w:firstLineChars="200"/>
    </w:pPr>
    <w:rPr>
      <w:rFonts w:ascii="Tahoma" w:hAnsi="Tahoma" w:cs="Tahoma"/>
      <w:kern w:val="0"/>
      <w:sz w:val="24"/>
      <w:szCs w:val="20"/>
    </w:rPr>
  </w:style>
  <w:style w:type="paragraph" w:customStyle="1" w:styleId="205">
    <w:name w:val="Char11"/>
    <w:basedOn w:val="1"/>
    <w:autoRedefine/>
    <w:qFormat/>
    <w:uiPriority w:val="0"/>
    <w:pPr>
      <w:keepNext/>
      <w:keepLines/>
      <w:tabs>
        <w:tab w:val="left" w:pos="2160"/>
      </w:tabs>
      <w:adjustRightInd w:val="0"/>
      <w:snapToGrid w:val="0"/>
      <w:spacing w:before="120" w:after="120" w:line="360" w:lineRule="auto"/>
      <w:ind w:left="2160" w:hanging="420"/>
      <w:outlineLvl w:val="3"/>
    </w:pPr>
    <w:rPr>
      <w:rFonts w:ascii="Arial" w:hAnsi="Arial"/>
      <w:bCs/>
      <w:kern w:val="0"/>
      <w:sz w:val="28"/>
      <w:szCs w:val="21"/>
    </w:rPr>
  </w:style>
  <w:style w:type="paragraph" w:customStyle="1" w:styleId="206">
    <w:name w:val="环评图标题"/>
    <w:basedOn w:val="1"/>
    <w:next w:val="204"/>
    <w:autoRedefine/>
    <w:qFormat/>
    <w:uiPriority w:val="0"/>
    <w:pPr>
      <w:widowControl/>
      <w:tabs>
        <w:tab w:val="left" w:pos="1440"/>
      </w:tabs>
      <w:spacing w:afterLines="50"/>
      <w:jc w:val="center"/>
    </w:pPr>
    <w:rPr>
      <w:rFonts w:ascii="Tahoma" w:hAnsi="Tahoma"/>
      <w:sz w:val="20"/>
      <w:szCs w:val="20"/>
    </w:rPr>
  </w:style>
  <w:style w:type="paragraph" w:customStyle="1" w:styleId="207">
    <w:name w:val="Char Char Char Char Char Char1 Char1"/>
    <w:basedOn w:val="1"/>
    <w:autoRedefine/>
    <w:qFormat/>
    <w:uiPriority w:val="0"/>
    <w:pPr>
      <w:tabs>
        <w:tab w:val="left" w:pos="360"/>
      </w:tabs>
    </w:pPr>
  </w:style>
  <w:style w:type="paragraph" w:customStyle="1" w:styleId="208">
    <w:name w:val="Char Char Char Char Char Char Char Char Char Char Char Char Char Char Char1 Char Char Char Char Char Char Char Char Char Char Char Char Char1"/>
    <w:basedOn w:val="1"/>
    <w:autoRedefine/>
    <w:qFormat/>
    <w:uiPriority w:val="0"/>
    <w:pPr>
      <w:autoSpaceDE w:val="0"/>
      <w:autoSpaceDN w:val="0"/>
      <w:adjustRightInd w:val="0"/>
      <w:snapToGrid w:val="0"/>
      <w:spacing w:before="50" w:after="50" w:line="360" w:lineRule="auto"/>
      <w:ind w:firstLine="560" w:firstLineChars="200"/>
    </w:pPr>
    <w:rPr>
      <w:rFonts w:eastAsia="仿宋_GB2312"/>
      <w:color w:val="000000"/>
      <w:sz w:val="24"/>
    </w:rPr>
  </w:style>
  <w:style w:type="paragraph" w:customStyle="1" w:styleId="209">
    <w:name w:val="4级"/>
    <w:basedOn w:val="1"/>
    <w:autoRedefine/>
    <w:qFormat/>
    <w:uiPriority w:val="0"/>
    <w:pPr>
      <w:tabs>
        <w:tab w:val="left" w:pos="425"/>
      </w:tabs>
      <w:spacing w:line="360" w:lineRule="auto"/>
      <w:jc w:val="left"/>
      <w:outlineLvl w:val="3"/>
    </w:pPr>
    <w:rPr>
      <w:b/>
      <w:sz w:val="24"/>
    </w:rPr>
  </w:style>
  <w:style w:type="paragraph" w:customStyle="1" w:styleId="210">
    <w:name w:val="Char3"/>
    <w:basedOn w:val="1"/>
    <w:autoRedefine/>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11">
    <w:name w:val="Char Char Char Char Char Char Char Char Char Char Char Char Char1 Char Char Char Char"/>
    <w:basedOn w:val="1"/>
    <w:autoRedefine/>
    <w:qFormat/>
    <w:uiPriority w:val="0"/>
    <w:pPr>
      <w:adjustRightInd w:val="0"/>
      <w:spacing w:line="360" w:lineRule="auto"/>
    </w:pPr>
    <w:rPr>
      <w:szCs w:val="20"/>
    </w:rPr>
  </w:style>
  <w:style w:type="paragraph" w:customStyle="1" w:styleId="212">
    <w:name w:val="环评节标题"/>
    <w:basedOn w:val="7"/>
    <w:next w:val="204"/>
    <w:autoRedefine/>
    <w:qFormat/>
    <w:uiPriority w:val="0"/>
    <w:pPr>
      <w:keepLines/>
      <w:tabs>
        <w:tab w:val="left" w:pos="575"/>
      </w:tabs>
      <w:spacing w:before="100" w:afterLines="0" w:line="413" w:lineRule="auto"/>
      <w:ind w:left="1115" w:hanging="575"/>
      <w:jc w:val="left"/>
    </w:pPr>
    <w:rPr>
      <w:rFonts w:ascii="Verdana" w:hAnsi="Verdana" w:eastAsia="黑体" w:cs="Georgia"/>
      <w:b/>
      <w:sz w:val="28"/>
      <w:szCs w:val="20"/>
    </w:rPr>
  </w:style>
  <w:style w:type="paragraph" w:customStyle="1" w:styleId="213">
    <w:name w:val="永环图标标题格式"/>
    <w:basedOn w:val="1"/>
    <w:autoRedefine/>
    <w:qFormat/>
    <w:uiPriority w:val="0"/>
    <w:pPr>
      <w:spacing w:beforeLines="20" w:afterLines="20" w:line="560" w:lineRule="exact"/>
      <w:jc w:val="center"/>
    </w:pPr>
    <w:rPr>
      <w:rFonts w:eastAsia="黑体"/>
      <w:bCs/>
      <w:szCs w:val="20"/>
    </w:rPr>
  </w:style>
  <w:style w:type="paragraph" w:customStyle="1" w:styleId="214">
    <w:name w:val="Char Char Char Char2"/>
    <w:basedOn w:val="1"/>
    <w:next w:val="1"/>
    <w:autoRedefine/>
    <w:qFormat/>
    <w:uiPriority w:val="0"/>
    <w:pPr>
      <w:spacing w:line="360" w:lineRule="auto"/>
      <w:ind w:firstLine="200" w:firstLineChars="200"/>
    </w:pPr>
  </w:style>
  <w:style w:type="paragraph" w:customStyle="1" w:styleId="215">
    <w:name w:val="2级"/>
    <w:basedOn w:val="1"/>
    <w:autoRedefine/>
    <w:qFormat/>
    <w:uiPriority w:val="0"/>
    <w:pPr>
      <w:tabs>
        <w:tab w:val="left" w:pos="425"/>
      </w:tabs>
      <w:spacing w:line="360" w:lineRule="auto"/>
      <w:ind w:left="425" w:hanging="425"/>
      <w:jc w:val="left"/>
      <w:outlineLvl w:val="1"/>
    </w:pPr>
    <w:rPr>
      <w:b/>
      <w:sz w:val="30"/>
    </w:rPr>
  </w:style>
  <w:style w:type="paragraph" w:customStyle="1" w:styleId="216">
    <w:name w:val="环评表标题"/>
    <w:basedOn w:val="1"/>
    <w:next w:val="1"/>
    <w:autoRedefine/>
    <w:qFormat/>
    <w:uiPriority w:val="0"/>
    <w:pPr>
      <w:tabs>
        <w:tab w:val="left" w:pos="1583"/>
      </w:tabs>
      <w:spacing w:beforeLines="100" w:afterLines="20"/>
      <w:ind w:left="3600"/>
      <w:jc w:val="center"/>
    </w:pPr>
    <w:rPr>
      <w:rFonts w:ascii="Tahoma" w:hAnsi="Tahoma"/>
      <w:sz w:val="24"/>
      <w:szCs w:val="20"/>
    </w:rPr>
  </w:style>
  <w:style w:type="paragraph" w:customStyle="1" w:styleId="217">
    <w:name w:val="环科院正文"/>
    <w:basedOn w:val="1"/>
    <w:autoRedefine/>
    <w:qFormat/>
    <w:uiPriority w:val="0"/>
    <w:pPr>
      <w:spacing w:line="360" w:lineRule="auto"/>
      <w:ind w:firstLine="480" w:firstLineChars="200"/>
    </w:pPr>
    <w:rPr>
      <w:sz w:val="24"/>
    </w:rPr>
  </w:style>
  <w:style w:type="paragraph" w:customStyle="1" w:styleId="218">
    <w:name w:val="表格式"/>
    <w:basedOn w:val="1"/>
    <w:autoRedefine/>
    <w:qFormat/>
    <w:uiPriority w:val="0"/>
    <w:pPr>
      <w:jc w:val="left"/>
    </w:pPr>
    <w:rPr>
      <w:rFonts w:ascii="Calibri" w:hAnsi="Calibri"/>
      <w:color w:val="000000"/>
      <w:sz w:val="24"/>
      <w:szCs w:val="21"/>
    </w:rPr>
  </w:style>
  <w:style w:type="paragraph" w:customStyle="1" w:styleId="219">
    <w:name w:val="表、图名宋旭峰"/>
    <w:basedOn w:val="1"/>
    <w:autoRedefine/>
    <w:qFormat/>
    <w:uiPriority w:val="0"/>
    <w:pPr>
      <w:spacing w:line="440" w:lineRule="exact"/>
      <w:jc w:val="center"/>
    </w:pPr>
    <w:rPr>
      <w:rFonts w:hAnsi="宋体"/>
      <w:b/>
      <w:kern w:val="0"/>
      <w:szCs w:val="21"/>
    </w:rPr>
  </w:style>
  <w:style w:type="paragraph" w:customStyle="1" w:styleId="220">
    <w:name w:val="p0"/>
    <w:basedOn w:val="1"/>
    <w:autoRedefine/>
    <w:qFormat/>
    <w:uiPriority w:val="0"/>
    <w:pPr>
      <w:widowControl/>
    </w:pPr>
    <w:rPr>
      <w:kern w:val="0"/>
      <w:szCs w:val="21"/>
    </w:rPr>
  </w:style>
  <w:style w:type="paragraph" w:customStyle="1" w:styleId="221">
    <w:name w:val="环评章标题"/>
    <w:basedOn w:val="2"/>
    <w:autoRedefine/>
    <w:qFormat/>
    <w:uiPriority w:val="0"/>
    <w:pPr>
      <w:keepLines/>
      <w:pageBreakBefore/>
      <w:tabs>
        <w:tab w:val="left" w:pos="432"/>
      </w:tabs>
      <w:overflowPunct/>
      <w:snapToGrid/>
      <w:spacing w:before="100" w:after="100" w:line="576" w:lineRule="auto"/>
    </w:pPr>
    <w:rPr>
      <w:rFonts w:ascii="Georgia" w:hAnsi="Georgia" w:eastAsia="宋体" w:cs="Georgia"/>
      <w:bCs w:val="0"/>
      <w:color w:val="auto"/>
      <w:spacing w:val="17"/>
      <w:sz w:val="32"/>
      <w:szCs w:val="20"/>
    </w:rPr>
  </w:style>
  <w:style w:type="paragraph" w:customStyle="1" w:styleId="222">
    <w:name w:val="报告宋体小四"/>
    <w:next w:val="1"/>
    <w:autoRedefine/>
    <w:qFormat/>
    <w:uiPriority w:val="0"/>
    <w:pPr>
      <w:widowControl w:val="0"/>
      <w:ind w:firstLine="483" w:firstLineChars="200"/>
      <w:jc w:val="both"/>
    </w:pPr>
    <w:rPr>
      <w:rFonts w:ascii="Times New Roman" w:hAnsi="Times New Roman" w:eastAsia="宋体" w:cs="Times New Roman"/>
      <w:iCs/>
      <w:color w:val="000000"/>
      <w:sz w:val="24"/>
      <w:lang w:val="en-US" w:eastAsia="zh-CN" w:bidi="ar-SA"/>
    </w:rPr>
  </w:style>
  <w:style w:type="character" w:customStyle="1" w:styleId="223">
    <w:name w:val="Char Char Char Char11"/>
    <w:autoRedefine/>
    <w:qFormat/>
    <w:uiPriority w:val="0"/>
    <w:rPr>
      <w:rFonts w:ascii="宋体" w:hAnsi="宋体" w:cs="宋体"/>
      <w:kern w:val="2"/>
      <w:sz w:val="24"/>
      <w:szCs w:val="24"/>
    </w:rPr>
  </w:style>
  <w:style w:type="paragraph" w:customStyle="1" w:styleId="224">
    <w:name w:val="表1 五号"/>
    <w:basedOn w:val="1"/>
    <w:next w:val="1"/>
    <w:autoRedefine/>
    <w:qFormat/>
    <w:uiPriority w:val="0"/>
    <w:pPr>
      <w:adjustRightInd w:val="0"/>
      <w:snapToGrid w:val="0"/>
      <w:jc w:val="center"/>
    </w:pPr>
  </w:style>
  <w:style w:type="character" w:customStyle="1" w:styleId="225">
    <w:name w:val="正文缩进 Char2"/>
    <w:autoRedefine/>
    <w:qFormat/>
    <w:locked/>
    <w:uiPriority w:val="0"/>
    <w:rPr>
      <w:rFonts w:ascii="宋体" w:hAnsi="宋体" w:eastAsia="宋体"/>
      <w:kern w:val="2"/>
      <w:sz w:val="21"/>
      <w:szCs w:val="24"/>
      <w:lang w:val="en-US" w:eastAsia="zh-CN" w:bidi="ar-SA"/>
    </w:rPr>
  </w:style>
  <w:style w:type="table" w:customStyle="1" w:styleId="226">
    <w:name w:val="网格型1"/>
    <w:basedOn w:val="45"/>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7">
    <w:name w:val="Default1"/>
    <w:next w:val="1"/>
    <w:autoRedefine/>
    <w:qFormat/>
    <w:uiPriority w:val="0"/>
    <w:pPr>
      <w:widowControl w:val="0"/>
      <w:autoSpaceDE w:val="0"/>
      <w:autoSpaceDN w:val="0"/>
      <w:adjustRightInd w:val="0"/>
      <w:spacing w:line="360" w:lineRule="auto"/>
      <w:jc w:val="right"/>
    </w:pPr>
    <w:rPr>
      <w:rFonts w:ascii="宋体" w:hAnsi="Times New Roman" w:eastAsia="宋体" w:cs="宋体"/>
      <w:color w:val="000000"/>
      <w:sz w:val="24"/>
      <w:szCs w:val="24"/>
      <w:lang w:val="en-US" w:eastAsia="zh-CN" w:bidi="ar-SA"/>
    </w:rPr>
  </w:style>
  <w:style w:type="table" w:customStyle="1" w:styleId="228">
    <w:name w:val="网格型2"/>
    <w:basedOn w:val="45"/>
    <w:autoRedefine/>
    <w:qFormat/>
    <w:uiPriority w:val="0"/>
    <w:rPr>
      <w:rFonts w:ascii="Calibri" w:hAnsi="Calibri"/>
      <w:kern w:val="2"/>
      <w:sz w:val="21"/>
      <w:szCs w:val="22"/>
    </w:rPr>
    <w:tblPr>
      <w:jc w:val="center"/>
      <w:tblBorders>
        <w:top w:val="single" w:color="auto" w:sz="12" w:space="0"/>
        <w:bottom w:val="single" w:color="auto" w:sz="12" w:space="0"/>
        <w:insideH w:val="single" w:color="auto" w:sz="6" w:space="0"/>
        <w:insideV w:val="single" w:color="auto" w:sz="6" w:space="0"/>
      </w:tblBorders>
      <w:tblCellMar>
        <w:top w:w="0" w:type="dxa"/>
        <w:left w:w="108" w:type="dxa"/>
        <w:bottom w:w="0" w:type="dxa"/>
        <w:right w:w="108" w:type="dxa"/>
      </w:tblCellMar>
    </w:tblPr>
    <w:trPr>
      <w:jc w:val="center"/>
    </w:trPr>
    <w:tcPr>
      <w:vAlign w:val="center"/>
    </w:tcPr>
  </w:style>
  <w:style w:type="character" w:customStyle="1" w:styleId="229">
    <w:name w:val="正文首行缩进 Char1"/>
    <w:autoRedefine/>
    <w:qFormat/>
    <w:locked/>
    <w:uiPriority w:val="0"/>
    <w:rPr>
      <w:rFonts w:ascii="Times New Roman" w:hAnsi="Times New Roman" w:eastAsia="宋体" w:cs="Times New Roman"/>
      <w:szCs w:val="24"/>
    </w:rPr>
  </w:style>
  <w:style w:type="paragraph" w:customStyle="1" w:styleId="230">
    <w:name w:val="WPSOffice手动目录 1"/>
    <w:autoRedefine/>
    <w:qFormat/>
    <w:uiPriority w:val="0"/>
    <w:rPr>
      <w:rFonts w:ascii="Times New Roman" w:hAnsi="Times New Roman" w:eastAsia="宋体" w:cs="Times New Roman"/>
      <w:lang w:val="en-US" w:eastAsia="zh-CN" w:bidi="ar-SA"/>
    </w:rPr>
  </w:style>
  <w:style w:type="paragraph" w:customStyle="1" w:styleId="231">
    <w:name w:val="表格中"/>
    <w:basedOn w:val="1"/>
    <w:autoRedefine/>
    <w:semiHidden/>
    <w:qFormat/>
    <w:uiPriority w:val="0"/>
    <w:pPr>
      <w:adjustRightInd w:val="0"/>
      <w:snapToGrid w:val="0"/>
      <w:spacing w:line="280" w:lineRule="exact"/>
    </w:pPr>
    <w:rPr>
      <w:rFonts w:ascii="宋体"/>
      <w:szCs w:val="21"/>
    </w:rPr>
  </w:style>
  <w:style w:type="paragraph" w:customStyle="1" w:styleId="232">
    <w:name w:val="表"/>
    <w:autoRedefine/>
    <w:qFormat/>
    <w:uiPriority w:val="0"/>
    <w:pPr>
      <w:adjustRightInd w:val="0"/>
      <w:snapToGrid w:val="0"/>
      <w:jc w:val="center"/>
    </w:pPr>
    <w:rPr>
      <w:rFonts w:ascii="Times New Roman" w:hAnsi="Times New Roman" w:eastAsia="宋体" w:cs="Times New Roman"/>
      <w:b/>
      <w:kern w:val="10"/>
      <w:sz w:val="24"/>
      <w:szCs w:val="24"/>
      <w:lang w:val="en-US" w:eastAsia="zh-CN" w:bidi="ar-SA"/>
    </w:rPr>
  </w:style>
  <w:style w:type="paragraph" w:customStyle="1" w:styleId="233">
    <w:name w:val="样式 样式 (符号) 宋体 小四 行距: 1.5 倍行距 + (符号) Times New Roman 上标"/>
    <w:basedOn w:val="234"/>
    <w:autoRedefine/>
    <w:semiHidden/>
    <w:qFormat/>
    <w:uiPriority w:val="0"/>
    <w:pPr>
      <w:spacing w:line="480" w:lineRule="exact"/>
      <w:ind w:firstLine="200"/>
    </w:pPr>
    <w:rPr>
      <w:rFonts w:hAnsi="Times New Roman"/>
    </w:rPr>
  </w:style>
  <w:style w:type="paragraph" w:customStyle="1" w:styleId="234">
    <w:name w:val="样式 (符号) 宋体 小四 行距: 1.5 倍行距"/>
    <w:basedOn w:val="1"/>
    <w:autoRedefine/>
    <w:qFormat/>
    <w:uiPriority w:val="0"/>
    <w:pPr>
      <w:spacing w:line="360" w:lineRule="auto"/>
      <w:ind w:firstLine="480" w:firstLineChars="200"/>
    </w:pPr>
    <w:rPr>
      <w:rFonts w:hAnsi="宋体" w:cs="宋体"/>
    </w:rPr>
  </w:style>
  <w:style w:type="paragraph" w:customStyle="1" w:styleId="235">
    <w:name w:val="报告正文"/>
    <w:basedOn w:val="1"/>
    <w:autoRedefine/>
    <w:qFormat/>
    <w:uiPriority w:val="0"/>
    <w:pPr>
      <w:adjustRightInd w:val="0"/>
      <w:snapToGrid w:val="0"/>
      <w:spacing w:line="300" w:lineRule="auto"/>
    </w:pPr>
    <w:rPr>
      <w:rFonts w:ascii="宋体"/>
      <w:sz w:val="28"/>
      <w:szCs w:val="20"/>
    </w:rPr>
  </w:style>
  <w:style w:type="table" w:customStyle="1" w:styleId="236">
    <w:name w:val="Table Normal"/>
    <w:autoRedefine/>
    <w:semiHidden/>
    <w:unhideWhenUsed/>
    <w:qFormat/>
    <w:uiPriority w:val="0"/>
    <w:tblPr>
      <w:tblCellMar>
        <w:top w:w="0" w:type="dxa"/>
        <w:left w:w="0" w:type="dxa"/>
        <w:bottom w:w="0" w:type="dxa"/>
        <w:right w:w="0" w:type="dxa"/>
      </w:tblCellMar>
    </w:tblPr>
  </w:style>
  <w:style w:type="paragraph" w:customStyle="1" w:styleId="237">
    <w:name w:val="Table Text"/>
    <w:basedOn w:val="1"/>
    <w:autoRedefine/>
    <w:semiHidden/>
    <w:qFormat/>
    <w:uiPriority w:val="0"/>
    <w:rPr>
      <w:rFonts w:ascii="宋体" w:hAnsi="宋体" w:eastAsia="宋体" w:cs="宋体"/>
      <w:sz w:val="20"/>
      <w:szCs w:val="20"/>
      <w:lang w:val="en-US" w:eastAsia="en-US" w:bidi="ar-SA"/>
    </w:rPr>
  </w:style>
  <w:style w:type="paragraph" w:customStyle="1" w:styleId="238">
    <w:name w:val="至科正文"/>
    <w:basedOn w:val="1"/>
    <w:autoRedefine/>
    <w:qFormat/>
    <w:uiPriority w:val="0"/>
    <w:pPr>
      <w:adjustRightInd/>
      <w:snapToGrid/>
      <w:spacing w:line="360" w:lineRule="auto"/>
      <w:ind w:firstLine="720" w:firstLineChars="200"/>
      <w:jc w:val="left"/>
    </w:pPr>
    <w:rPr>
      <w:rFonts w:ascii="宋体" w:hAnsi="宋体" w:eastAsia="宋体" w:cs="宋体"/>
      <w:bCs/>
      <w:sz w:val="24"/>
      <w:szCs w:val="21"/>
    </w:rPr>
  </w:style>
  <w:style w:type="paragraph" w:customStyle="1" w:styleId="239">
    <w:name w:val="万马"/>
    <w:basedOn w:val="1"/>
    <w:autoRedefine/>
    <w:qFormat/>
    <w:uiPriority w:val="0"/>
    <w:pPr>
      <w:adjustRightInd/>
      <w:snapToGrid/>
      <w:spacing w:line="360" w:lineRule="auto"/>
      <w:ind w:firstLine="720" w:firstLineChars="200"/>
      <w:jc w:val="left"/>
    </w:pPr>
    <w:rPr>
      <w:rFonts w:ascii="宋体" w:hAnsi="宋体" w:eastAsia="宋体" w:cs="宋体"/>
      <w:bCs/>
      <w:sz w:val="24"/>
      <w:szCs w:val="21"/>
    </w:rPr>
  </w:style>
  <w:style w:type="paragraph" w:customStyle="1" w:styleId="240">
    <w:name w:val="至科表头"/>
    <w:basedOn w:val="1"/>
    <w:autoRedefine/>
    <w:qFormat/>
    <w:uiPriority w:val="0"/>
    <w:pPr>
      <w:spacing w:line="240" w:lineRule="auto"/>
      <w:ind w:firstLine="0" w:firstLineChars="0"/>
      <w:jc w:val="center"/>
    </w:pPr>
    <w:rPr>
      <w:rFonts w:ascii="宋体" w:hAnsi="宋体" w:eastAsia="宋体" w:cs="宋体"/>
      <w:b/>
      <w:bCs/>
      <w:szCs w:val="21"/>
    </w:rPr>
  </w:style>
  <w:style w:type="paragraph" w:customStyle="1" w:styleId="241">
    <w:name w:val="正文-易恒"/>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242">
    <w:name w:val="表头-易恒"/>
    <w:basedOn w:val="241"/>
    <w:next w:val="241"/>
    <w:qFormat/>
    <w:uiPriority w:val="0"/>
    <w:pPr>
      <w:spacing w:before="50" w:beforeLines="50" w:line="240" w:lineRule="auto"/>
      <w:ind w:firstLine="0" w:firstLineChars="0"/>
      <w:jc w:val="center"/>
    </w:pPr>
    <w:rPr>
      <w:b/>
    </w:rPr>
  </w:style>
  <w:style w:type="paragraph" w:customStyle="1" w:styleId="243">
    <w:name w:val="表格-易恒"/>
    <w:basedOn w:val="241"/>
    <w:qFormat/>
    <w:uiPriority w:val="1"/>
    <w:pPr>
      <w:spacing w:line="240" w:lineRule="auto"/>
      <w:ind w:firstLine="0" w:firstLineChars="0"/>
      <w:jc w:val="center"/>
    </w:pPr>
    <w:rPr>
      <w:sz w:val="21"/>
    </w:rPr>
  </w:style>
  <w:style w:type="character" w:customStyle="1" w:styleId="244">
    <w:name w:val="font51"/>
    <w:basedOn w:val="47"/>
    <w:qFormat/>
    <w:uiPriority w:val="0"/>
    <w:rPr>
      <w:rFonts w:ascii="宋体" w:hAnsi="宋体" w:eastAsia="宋体" w:cs="宋体"/>
      <w:color w:val="000000"/>
      <w:sz w:val="30"/>
      <w:szCs w:val="30"/>
      <w:u w:val="none"/>
    </w:rPr>
  </w:style>
  <w:style w:type="character" w:customStyle="1" w:styleId="245">
    <w:name w:val="font61"/>
    <w:basedOn w:val="47"/>
    <w:qFormat/>
    <w:uiPriority w:val="0"/>
    <w:rPr>
      <w:rFonts w:ascii="宋体" w:hAnsi="宋体" w:eastAsia="宋体" w:cs="宋体"/>
      <w:color w:val="000000"/>
      <w:sz w:val="20"/>
      <w:szCs w:val="20"/>
      <w:u w:val="none"/>
    </w:rPr>
  </w:style>
  <w:style w:type="character" w:customStyle="1" w:styleId="246">
    <w:name w:val="font71"/>
    <w:basedOn w:val="47"/>
    <w:qFormat/>
    <w:uiPriority w:val="0"/>
    <w:rPr>
      <w:rFonts w:hint="default" w:ascii="Arial" w:hAnsi="Arial" w:cs="Arial"/>
      <w:color w:val="000000"/>
      <w:sz w:val="13"/>
      <w:szCs w:val="13"/>
      <w:u w:val="none"/>
    </w:rPr>
  </w:style>
  <w:style w:type="character" w:customStyle="1" w:styleId="247">
    <w:name w:val="font81"/>
    <w:basedOn w:val="47"/>
    <w:qFormat/>
    <w:uiPriority w:val="0"/>
    <w:rPr>
      <w:rFonts w:hint="default" w:ascii="Arial" w:hAnsi="Arial" w:cs="Arial"/>
      <w:color w:val="000000"/>
      <w:sz w:val="6"/>
      <w:szCs w:val="6"/>
      <w:u w:val="none"/>
    </w:rPr>
  </w:style>
  <w:style w:type="character" w:customStyle="1" w:styleId="248">
    <w:name w:val="font91"/>
    <w:basedOn w:val="47"/>
    <w:qFormat/>
    <w:uiPriority w:val="0"/>
    <w:rPr>
      <w:rFonts w:hint="default" w:ascii="Arial" w:hAnsi="Arial" w:cs="Arial"/>
      <w:color w:val="000000"/>
      <w:sz w:val="12"/>
      <w:szCs w:val="12"/>
      <w:u w:val="none"/>
    </w:rPr>
  </w:style>
  <w:style w:type="paragraph" w:customStyle="1" w:styleId="249">
    <w:name w:val="表格文字1"/>
    <w:basedOn w:val="1"/>
    <w:qFormat/>
    <w:uiPriority w:val="0"/>
    <w:pPr>
      <w:spacing w:line="240" w:lineRule="auto"/>
      <w:ind w:firstLine="0" w:firstLineChars="0"/>
      <w:jc w:val="center"/>
    </w:pPr>
    <w:rPr>
      <w:rFonts w:cs="Times New Roman"/>
      <w:color w:val="auto"/>
      <w:kern w:val="2"/>
      <w:sz w:val="21"/>
      <w:szCs w:val="24"/>
      <w:lang w:eastAsia="zh-CN"/>
    </w:rPr>
  </w:style>
  <w:style w:type="character" w:customStyle="1" w:styleId="250">
    <w:name w:val="font101"/>
    <w:basedOn w:val="47"/>
    <w:qFormat/>
    <w:uiPriority w:val="0"/>
    <w:rPr>
      <w:rFonts w:ascii="宋体" w:hAnsi="宋体" w:eastAsia="宋体" w:cs="宋体"/>
      <w:color w:val="000000"/>
      <w:sz w:val="20"/>
      <w:szCs w:val="20"/>
      <w:u w:val="none"/>
    </w:rPr>
  </w:style>
  <w:style w:type="paragraph" w:customStyle="1" w:styleId="251">
    <w:name w:val="样式9"/>
    <w:basedOn w:val="1"/>
    <w:autoRedefine/>
    <w:qFormat/>
    <w:uiPriority w:val="0"/>
    <w:rPr>
      <w:szCs w:val="26"/>
    </w:rPr>
  </w:style>
  <w:style w:type="paragraph" w:customStyle="1" w:styleId="252">
    <w:name w:val="lh-正文-报告表"/>
    <w:basedOn w:val="1"/>
    <w:qFormat/>
    <w:uiPriority w:val="0"/>
    <w:pPr>
      <w:spacing w:line="360" w:lineRule="auto"/>
      <w:ind w:firstLine="200" w:firstLineChars="200"/>
    </w:pPr>
    <w:rPr>
      <w:kern w:val="0"/>
      <w:sz w:val="24"/>
      <w:szCs w:val="21"/>
    </w:rPr>
  </w:style>
  <w:style w:type="paragraph" w:customStyle="1" w:styleId="253">
    <w:name w:val="表格格式"/>
    <w:basedOn w:val="1"/>
    <w:qFormat/>
    <w:uiPriority w:val="0"/>
    <w:pPr>
      <w:wordWrap/>
      <w:topLinePunct w:val="0"/>
      <w:spacing w:line="240" w:lineRule="auto"/>
      <w:ind w:firstLine="0" w:firstLineChars="0"/>
      <w:jc w:val="center"/>
    </w:pPr>
    <w:rPr>
      <w:rFonts w:ascii="宋体"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BA8D20-5DB2-4213-8479-0AAFC3BAD4D0}">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77</Pages>
  <Words>6935</Words>
  <Characters>7277</Characters>
  <Lines>450</Lines>
  <Paragraphs>126</Paragraphs>
  <TotalTime>10</TotalTime>
  <ScaleCrop>false</ScaleCrop>
  <LinksUpToDate>false</LinksUpToDate>
  <CharactersWithSpaces>7472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2022-10-27T04:48:00Z</dcterms:created>
  <dc:creator>lhj</dc:creator>
  <cp:lastModifiedBy>yi.w</cp:lastModifiedBy>
  <cp:lastPrinted>2023-09-04T06:13:00Z</cp:lastPrinted>
  <dcterms:modified xsi:type="dcterms:W3CDTF">2026-04-21T01:30:05Z</dcterms:modified>
  <dc:title>附件2</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C9D0F62ACD1C41A0BA7455829811ADD1_13</vt:lpwstr>
  </property>
  <property fmtid="{D5CDD505-2E9C-101B-9397-08002B2CF9AE}" pid="4" name="KSOTemplateDocerSaveRecord">
    <vt:lpwstr>eyJoZGlkIjoiY2Q2NmI5ZDcyOTIwZmM1N2RmZTczMzMzODQ2NDI5ZDEiLCJ1c2VySWQiOiI1MjAzMTExMDUifQ==</vt:lpwstr>
  </property>
</Properties>
</file>